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0"/>
        <w:jc w:val="left"/>
      </w:pPr>
      <w:r>
        <w:rPr>
          <w:rFonts w:ascii="Newsreader" w:hAnsi="Newsreader" w:cs="Newsreader"/>
          <w:color w:val="161412"/>
          <w:sz w:val="80"/>
        </w:rPr>
        <w:t>Diseñando lo que ocurre</w:t>
      </w:r>
    </w:p>
    <w:p>
      <w:pPr>
        <w:spacing w:before="160"/>
      </w:pPr>
      <w:r>
        <w:rPr>
          <w:rFonts w:ascii="IBM Plex Sans" w:hAnsi="IBM Plex Sans" w:cs="IBM Plex Sans"/>
          <w:color w:val="6A635A"/>
          <w:sz w:val="28"/>
        </w:rPr>
        <w:t>Una gramática de eventos para interfaces de usuario</w:t>
      </w:r>
    </w:p>
    <w:p>
      <w:pPr>
        <w:spacing w:before="600" w:after="120"/>
      </w:pPr>
      <w:r>
        <w:rPr>
          <w:rFonts w:ascii="Newsreader" w:hAnsi="Newsreader" w:cs="Newsreader"/>
          <w:color w:val="161412"/>
          <w:sz w:val="32"/>
        </w:rPr>
        <w:t>Juan V. Navarro Leal</w:t>
      </w:r>
    </w:p>
    <w:p>
      <w:r>
        <w:br w:type="page"/>
      </w:r>
    </w:p>
    <w:p>
      <w:pPr>
        <w:spacing w:before="5200" w:after="90" w:line="264" w:lineRule="auto"/>
      </w:pPr>
      <w:r>
        <w:rPr>
          <w:rFonts w:ascii="IBM Plex Sans" w:hAnsi="IBM Plex Sans" w:cs="IBM Plex Sans"/>
          <w:color w:val="6A635A"/>
          <w:sz w:val="18"/>
        </w:rPr>
        <w:t xml:space="preserve">Diseñando lo que ocurre — Una gramática de eventos para interfaces de usuario</w:t>
      </w:r>
    </w:p>
    <w:p>
      <w:pPr>
        <w:spacing w:after="90" w:line="264" w:lineRule="auto"/>
      </w:pPr>
      <w:r>
        <w:rPr>
          <w:rFonts w:ascii="IBM Plex Sans" w:hAnsi="IBM Plex Sans" w:cs="IBM Plex Sans"/>
          <w:color w:val="6A635A"/>
          <w:sz w:val="18"/>
        </w:rPr>
        <w:t xml:space="preserve">© 2026 Juan V. Navarro Leal</w:t>
      </w:r>
    </w:p>
    <w:p>
      <w:pPr>
        <w:spacing w:after="90" w:line="264" w:lineRule="auto"/>
      </w:pPr>
      <w:r>
        <w:rPr>
          <w:rFonts w:ascii="IBM Plex Sans" w:hAnsi="IBM Plex Sans" w:cs="IBM Plex Sans"/>
          <w:color w:val="6A635A"/>
          <w:sz w:val="18"/>
        </w:rPr>
        <w:t xml:space="preserve">Todos los derechos reservados. Ninguna parte de esta publicación puede reproducirse, almacenarse o transmitirse por ningún medio sin permiso previo y por escrito del autor, salvo citas breves con mención de la fuente.</w:t>
      </w:r>
    </w:p>
    <w:p>
      <w:pPr>
        <w:spacing w:after="90" w:line="264" w:lineRule="auto"/>
      </w:pPr>
      <w:r>
        <w:rPr>
          <w:rFonts w:ascii="IBM Plex Sans" w:hAnsi="IBM Plex Sans" w:cs="IBM Plex Sans"/>
          <w:color w:val="6A635A"/>
          <w:sz w:val="18"/>
        </w:rPr>
        <w:t xml:space="preserve">Primera edición: julio de 2026</w:t>
      </w:r>
    </w:p>
    <w:p>
      <w:pPr>
        <w:spacing w:after="90" w:line="264" w:lineRule="auto"/>
      </w:pPr>
      <w:r>
        <w:rPr>
          <w:rFonts w:ascii="IBM Plex Sans" w:hAnsi="IBM Plex Sans" w:cs="IBM Plex Sans"/>
          <w:color w:val="6A635A"/>
          <w:sz w:val="18"/>
        </w:rPr>
        <w:t xml:space="preserve">Escrito, compuesto y maquetado por el autor.</w:t>
      </w:r>
    </w:p>
    <w:p>
      <w:r>
        <w:br w:type="page"/>
      </w:r>
    </w:p>
    <w:p>
      <w:pPr>
        <w:spacing w:after="60" w:line="240" w:lineRule="auto"/>
      </w:pPr>
      <w:r>
        <w:rPr>
          <w:rFonts w:ascii="Newsreader" w:hAnsi="Newsreader" w:cs="Newsreader"/>
          <w:color w:val="161412"/>
          <w:sz w:val="60"/>
        </w:rPr>
        <w:t xml:space="preserve">Índice</w:t>
      </w:r>
    </w:p>
    <w:p>
      <w:pPr>
        <w:pBdr>
          <w:bottom w:val="single" w:sz="4" w:space="4" w:color="1F3A5F"/>
        </w:pBdr>
      </w:pPr>
    </w:p>
    <w:p>
      <w:pPr>
        <w:spacing w:before="320" w:after="40"/>
      </w:pPr>
    </w:p>
    <w:p>
      <w:pPr>
        <w:tabs>
          <w:tab w:val="right" w:leader="dot" w:pos="8316"/>
        </w:tabs>
        <w:spacing w:after="40" w:line="264" w:lineRule="auto"/>
      </w:pPr>
      <w:r>
        <w:rPr>
          <w:rFonts w:ascii="Newsreader" w:hAnsi="Newsreader" w:cs="Newsreader"/>
          <w:b w:val="0"/>
          <w:color w:val="161412"/>
          <w:sz w:val="22"/>
        </w:rPr>
        <w:t xml:space="preserve">Introducción</w:t>
      </w:r>
      <w:r>
        <w:rPr>
          <w:rFonts w:ascii="Newsreader" w:hAnsi="Newsreader" w:cs="Newsreader"/>
          <w:b w:val="0"/>
          <w:color w:val="161412"/>
          <w:sz w:val="22"/>
        </w:rPr>
        <w:tab/>
        <w:t xml:space="preserve">5</w:t>
      </w:r>
    </w:p>
    <w:p>
      <w:pPr>
        <w:tabs>
          <w:tab w:val="right" w:leader="dot" w:pos="8316"/>
        </w:tabs>
        <w:spacing w:after="40" w:line="264" w:lineRule="auto"/>
      </w:pPr>
      <w:r>
        <w:rPr>
          <w:rFonts w:ascii="Newsreader" w:hAnsi="Newsreader" w:cs="Newsreader"/>
          <w:b w:val="0"/>
          <w:color w:val="161412"/>
          <w:sz w:val="22"/>
        </w:rPr>
        <w:t xml:space="preserve">Alcance de la propuesta</w:t>
      </w:r>
      <w:r>
        <w:rPr>
          <w:rFonts w:ascii="Newsreader" w:hAnsi="Newsreader" w:cs="Newsreader"/>
          <w:b w:val="0"/>
          <w:color w:val="161412"/>
          <w:sz w:val="22"/>
        </w:rPr>
        <w:tab/>
        <w:t xml:space="preserve">8</w:t>
      </w:r>
    </w:p>
    <w:p>
      <w:pPr>
        <w:tabs>
          <w:tab w:val="right" w:leader="dot" w:pos="8316"/>
        </w:tabs>
        <w:spacing w:after="40" w:line="264" w:lineRule="auto"/>
      </w:pPr>
      <w:r>
        <w:rPr>
          <w:rFonts w:ascii="Newsreader" w:hAnsi="Newsreader" w:cs="Newsreader"/>
          <w:b w:val="0"/>
          <w:color w:val="161412"/>
          <w:sz w:val="22"/>
        </w:rPr>
        <w:t xml:space="preserve">Nota terminológica</w:t>
      </w:r>
      <w:r>
        <w:rPr>
          <w:rFonts w:ascii="Newsreader" w:hAnsi="Newsreader" w:cs="Newsreader"/>
          <w:b w:val="0"/>
          <w:color w:val="161412"/>
          <w:sz w:val="22"/>
        </w:rPr>
        <w:tab/>
        <w:t xml:space="preserve">9</w:t>
      </w:r>
    </w:p>
    <w:p>
      <w:pPr>
        <w:tabs>
          <w:tab w:val="right" w:leader="dot" w:pos="8316"/>
        </w:tabs>
        <w:spacing w:after="40" w:line="264" w:lineRule="auto"/>
      </w:pPr>
      <w:r>
        <w:rPr>
          <w:rFonts w:ascii="Newsreader" w:hAnsi="Newsreader" w:cs="Newsreader"/>
          <w:b w:val="0"/>
          <w:color w:val="161412"/>
          <w:sz w:val="22"/>
        </w:rPr>
        <w:t xml:space="preserve">Dónde se sitúa esta propuesta</w:t>
      </w:r>
      <w:r>
        <w:rPr>
          <w:rFonts w:ascii="Newsreader" w:hAnsi="Newsreader" w:cs="Newsreader"/>
          <w:b w:val="0"/>
          <w:color w:val="161412"/>
          <w:sz w:val="22"/>
        </w:rPr>
        <w:tab/>
        <w:t xml:space="preserve">10</w:t>
      </w:r>
    </w:p>
    <w:p>
      <w:pPr>
        <w:tabs>
          <w:tab w:val="right" w:leader="dot" w:pos="8316"/>
        </w:tabs>
        <w:spacing w:after="40" w:line="264" w:lineRule="auto"/>
      </w:pPr>
      <w:r>
        <w:rPr>
          <w:rFonts w:ascii="Newsreader" w:hAnsi="Newsreader" w:cs="Newsreader"/>
          <w:b w:val="0"/>
          <w:color w:val="161412"/>
          <w:sz w:val="22"/>
        </w:rPr>
        <w:t xml:space="preserve">Qué afirma este libro, y con cuánta seguridad</w:t>
      </w:r>
      <w:r>
        <w:rPr>
          <w:rFonts w:ascii="Newsreader" w:hAnsi="Newsreader" w:cs="Newsreader"/>
          <w:b w:val="0"/>
          <w:color w:val="161412"/>
          <w:sz w:val="22"/>
        </w:rPr>
        <w:tab/>
        <w:t xml:space="preserve">12</w:t>
      </w:r>
    </w:p>
    <w:p>
      <w:pPr>
        <w:tabs>
          <w:tab w:val="right" w:leader="dot" w:pos="8316"/>
        </w:tabs>
        <w:spacing w:after="40" w:line="264" w:lineRule="auto"/>
      </w:pPr>
      <w:r>
        <w:rPr>
          <w:rFonts w:ascii="Newsreader" w:hAnsi="Newsreader" w:cs="Newsreader"/>
          <w:b w:val="0"/>
          <w:color w:val="161412"/>
          <w:sz w:val="22"/>
        </w:rPr>
        <w:t xml:space="preserve">Cómo recorrer este libro</w:t>
      </w:r>
      <w:r>
        <w:rPr>
          <w:rFonts w:ascii="Newsreader" w:hAnsi="Newsreader" w:cs="Newsreader"/>
          <w:b w:val="0"/>
          <w:color w:val="161412"/>
          <w:sz w:val="22"/>
        </w:rPr>
        <w:tab/>
        <w:t xml:space="preserve">14</w:t>
      </w:r>
    </w:p>
    <w:p>
      <w:pPr>
        <w:tabs>
          <w:tab w:val="right" w:leader="dot" w:pos="8316"/>
        </w:tabs>
        <w:spacing w:before="160" w:after="40" w:line="264" w:lineRule="auto"/>
      </w:pPr>
      <w:r>
        <w:rPr>
          <w:rFonts w:ascii="Newsreader" w:hAnsi="Newsreader" w:cs="Newsreader"/>
          <w:b/>
          <w:color w:val="161412"/>
          <w:sz w:val="22"/>
        </w:rPr>
        <w:t xml:space="preserve">PARTE I — Fundamentos</w:t>
      </w:r>
      <w:r>
        <w:rPr>
          <w:rFonts w:ascii="Newsreader" w:hAnsi="Newsreader" w:cs="Newsreader"/>
          <w:b/>
          <w:color w:val="161412"/>
          <w:sz w:val="22"/>
        </w:rPr>
        <w:tab/>
        <w:t xml:space="preserve">16</w:t>
      </w:r>
    </w:p>
    <w:p>
      <w:pPr>
        <w:tabs>
          <w:tab w:val="right" w:leader="dot" w:pos="8316"/>
        </w:tabs>
        <w:spacing w:after="40" w:line="264" w:lineRule="auto"/>
        <w:ind w:left="360"/>
      </w:pPr>
      <w:r>
        <w:rPr>
          <w:rFonts w:ascii="Newsreader" w:hAnsi="Newsreader" w:cs="Newsreader"/>
          <w:b w:val="0"/>
          <w:color w:val="161412"/>
          <w:sz w:val="22"/>
        </w:rPr>
        <w:t xml:space="preserve">1 · Qué entendemos por interfaz</w:t>
      </w:r>
      <w:r>
        <w:rPr>
          <w:rFonts w:ascii="Newsreader" w:hAnsi="Newsreader" w:cs="Newsreader"/>
          <w:b w:val="0"/>
          <w:color w:val="161412"/>
          <w:sz w:val="22"/>
        </w:rPr>
        <w:tab/>
        <w:t xml:space="preserve">17</w:t>
      </w:r>
    </w:p>
    <w:p>
      <w:pPr>
        <w:tabs>
          <w:tab w:val="right" w:leader="dot" w:pos="8316"/>
        </w:tabs>
        <w:spacing w:after="40" w:line="264" w:lineRule="auto"/>
        <w:ind w:left="360"/>
      </w:pPr>
      <w:r>
        <w:rPr>
          <w:rFonts w:ascii="Newsreader" w:hAnsi="Newsreader" w:cs="Newsreader"/>
          <w:b w:val="0"/>
          <w:color w:val="161412"/>
          <w:sz w:val="22"/>
        </w:rPr>
        <w:t xml:space="preserve">2 · Por qué preguntamos ahora</w:t>
      </w:r>
      <w:r>
        <w:rPr>
          <w:rFonts w:ascii="Newsreader" w:hAnsi="Newsreader" w:cs="Newsreader"/>
          <w:b w:val="0"/>
          <w:color w:val="161412"/>
          <w:sz w:val="22"/>
        </w:rPr>
        <w:tab/>
        <w:t xml:space="preserve">32</w:t>
      </w:r>
    </w:p>
    <w:p>
      <w:pPr>
        <w:tabs>
          <w:tab w:val="right" w:leader="dot" w:pos="8316"/>
        </w:tabs>
        <w:spacing w:after="40" w:line="264" w:lineRule="auto"/>
        <w:ind w:left="360"/>
      </w:pPr>
      <w:r>
        <w:rPr>
          <w:rFonts w:ascii="Newsreader" w:hAnsi="Newsreader" w:cs="Newsreader"/>
          <w:b w:val="0"/>
          <w:color w:val="161412"/>
          <w:sz w:val="22"/>
        </w:rPr>
        <w:t xml:space="preserve">3 · Fundamentos psicoperceptivos de la interfaz</w:t>
      </w:r>
      <w:r>
        <w:rPr>
          <w:rFonts w:ascii="Newsreader" w:hAnsi="Newsreader" w:cs="Newsreader"/>
          <w:b w:val="0"/>
          <w:color w:val="161412"/>
          <w:sz w:val="22"/>
        </w:rPr>
        <w:tab/>
        <w:t xml:space="preserve">49</w:t>
      </w:r>
    </w:p>
    <w:p>
      <w:pPr>
        <w:tabs>
          <w:tab w:val="right" w:leader="dot" w:pos="8316"/>
        </w:tabs>
        <w:spacing w:after="40" w:line="264" w:lineRule="auto"/>
        <w:ind w:left="360"/>
      </w:pPr>
      <w:r>
        <w:rPr>
          <w:rFonts w:ascii="Newsreader" w:hAnsi="Newsreader" w:cs="Newsreader"/>
          <w:b w:val="0"/>
          <w:color w:val="161412"/>
          <w:sz w:val="22"/>
        </w:rPr>
        <w:t xml:space="preserve">4 · El evento como unidad básica de cambio</w:t>
      </w:r>
      <w:r>
        <w:rPr>
          <w:rFonts w:ascii="Newsreader" w:hAnsi="Newsreader" w:cs="Newsreader"/>
          <w:b w:val="0"/>
          <w:color w:val="161412"/>
          <w:sz w:val="22"/>
        </w:rPr>
        <w:tab/>
        <w:t xml:space="preserve">62</w:t>
      </w:r>
    </w:p>
    <w:p>
      <w:pPr>
        <w:tabs>
          <w:tab w:val="right" w:leader="dot" w:pos="8316"/>
        </w:tabs>
        <w:spacing w:after="40" w:line="264" w:lineRule="auto"/>
        <w:ind w:left="360"/>
      </w:pPr>
      <w:r>
        <w:rPr>
          <w:rFonts w:ascii="Newsreader" w:hAnsi="Newsreader" w:cs="Newsreader"/>
          <w:b w:val="0"/>
          <w:color w:val="161412"/>
          <w:sz w:val="22"/>
        </w:rPr>
        <w:t xml:space="preserve">5 · Por qué una gramática de eventos</w:t>
      </w:r>
      <w:r>
        <w:rPr>
          <w:rFonts w:ascii="Newsreader" w:hAnsi="Newsreader" w:cs="Newsreader"/>
          <w:b w:val="0"/>
          <w:color w:val="161412"/>
          <w:sz w:val="22"/>
        </w:rPr>
        <w:tab/>
        <w:t xml:space="preserve">77</w:t>
      </w:r>
    </w:p>
    <w:p>
      <w:pPr>
        <w:tabs>
          <w:tab w:val="right" w:leader="dot" w:pos="8316"/>
        </w:tabs>
        <w:spacing w:after="40" w:line="264" w:lineRule="auto"/>
        <w:ind w:left="360"/>
      </w:pPr>
      <w:r>
        <w:rPr>
          <w:rFonts w:ascii="Newsreader" w:hAnsi="Newsreader" w:cs="Newsreader"/>
          <w:b w:val="0"/>
          <w:color w:val="161412"/>
          <w:sz w:val="22"/>
        </w:rPr>
        <w:t xml:space="preserve">6 · Qué es una interacción semántica</w:t>
      </w:r>
      <w:r>
        <w:rPr>
          <w:rFonts w:ascii="Newsreader" w:hAnsi="Newsreader" w:cs="Newsreader"/>
          <w:b w:val="0"/>
          <w:color w:val="161412"/>
          <w:sz w:val="22"/>
        </w:rPr>
        <w:tab/>
        <w:t xml:space="preserve">91</w:t>
      </w:r>
    </w:p>
    <w:p>
      <w:pPr>
        <w:tabs>
          <w:tab w:val="right" w:leader="dot" w:pos="8316"/>
        </w:tabs>
        <w:spacing w:after="40" w:line="264" w:lineRule="auto"/>
        <w:ind w:left="360"/>
      </w:pPr>
      <w:r>
        <w:rPr>
          <w:rFonts w:ascii="Newsreader" w:hAnsi="Newsreader" w:cs="Newsreader"/>
          <w:b w:val="0"/>
          <w:color w:val="161412"/>
          <w:sz w:val="22"/>
        </w:rPr>
        <w:t xml:space="preserve">7 · Criterios para identificar una interacción semántica</w:t>
      </w:r>
      <w:r>
        <w:rPr>
          <w:rFonts w:ascii="Newsreader" w:hAnsi="Newsreader" w:cs="Newsreader"/>
          <w:b w:val="0"/>
          <w:color w:val="161412"/>
          <w:sz w:val="22"/>
        </w:rPr>
        <w:tab/>
        <w:t xml:space="preserve">107</w:t>
      </w:r>
    </w:p>
    <w:p>
      <w:pPr>
        <w:tabs>
          <w:tab w:val="right" w:leader="dot" w:pos="8316"/>
        </w:tabs>
        <w:spacing w:after="40" w:line="264" w:lineRule="auto"/>
        <w:ind w:left="360"/>
      </w:pPr>
      <w:r>
        <w:rPr>
          <w:rFonts w:ascii="Newsreader" w:hAnsi="Newsreader" w:cs="Newsreader"/>
          <w:b w:val="0"/>
          <w:color w:val="161412"/>
          <w:sz w:val="22"/>
        </w:rPr>
        <w:t xml:space="preserve">8 · De las clases de evento a las familias semánticas</w:t>
      </w:r>
      <w:r>
        <w:rPr>
          <w:rFonts w:ascii="Newsreader" w:hAnsi="Newsreader" w:cs="Newsreader"/>
          <w:b w:val="0"/>
          <w:color w:val="161412"/>
          <w:sz w:val="22"/>
        </w:rPr>
        <w:tab/>
        <w:t xml:space="preserve">119</w:t>
      </w:r>
    </w:p>
    <w:p>
      <w:pPr>
        <w:tabs>
          <w:tab w:val="right" w:leader="dot" w:pos="8316"/>
        </w:tabs>
        <w:spacing w:after="40" w:line="264" w:lineRule="auto"/>
        <w:ind w:left="360"/>
      </w:pPr>
      <w:r>
        <w:rPr>
          <w:rFonts w:ascii="Newsreader" w:hAnsi="Newsreader" w:cs="Newsreader"/>
          <w:b w:val="0"/>
          <w:color w:val="161412"/>
          <w:sz w:val="22"/>
        </w:rPr>
        <w:t xml:space="preserve">9 · Semánticas valenciales y transicionales</w:t>
      </w:r>
      <w:r>
        <w:rPr>
          <w:rFonts w:ascii="Newsreader" w:hAnsi="Newsreader" w:cs="Newsreader"/>
          <w:b w:val="0"/>
          <w:color w:val="161412"/>
          <w:sz w:val="22"/>
        </w:rPr>
        <w:tab/>
        <w:t xml:space="preserve">131</w:t>
      </w:r>
    </w:p>
    <w:p>
      <w:pPr>
        <w:tabs>
          <w:tab w:val="right" w:leader="dot" w:pos="8316"/>
        </w:tabs>
        <w:spacing w:after="40" w:line="264" w:lineRule="auto"/>
        <w:ind w:left="360"/>
      </w:pPr>
      <w:r>
        <w:rPr>
          <w:rFonts w:ascii="Newsreader" w:hAnsi="Newsreader" w:cs="Newsreader"/>
          <w:b w:val="0"/>
          <w:color w:val="161412"/>
          <w:sz w:val="22"/>
        </w:rPr>
        <w:t xml:space="preserve">10 · Intent: más allá del semáforo</w:t>
      </w:r>
      <w:r>
        <w:rPr>
          <w:rFonts w:ascii="Newsreader" w:hAnsi="Newsreader" w:cs="Newsreader"/>
          <w:b w:val="0"/>
          <w:color w:val="161412"/>
          <w:sz w:val="22"/>
        </w:rPr>
        <w:tab/>
        <w:t xml:space="preserve">142</w:t>
      </w:r>
    </w:p>
    <w:p>
      <w:pPr>
        <w:tabs>
          <w:tab w:val="right" w:leader="dot" w:pos="8316"/>
        </w:tabs>
        <w:spacing w:before="160" w:after="40" w:line="264" w:lineRule="auto"/>
      </w:pPr>
      <w:r>
        <w:rPr>
          <w:rFonts w:ascii="Newsreader" w:hAnsi="Newsreader" w:cs="Newsreader"/>
          <w:b/>
          <w:color w:val="161412"/>
          <w:sz w:val="22"/>
        </w:rPr>
        <w:t xml:space="preserve">PARTE II — Canales</w:t>
      </w:r>
      <w:r>
        <w:rPr>
          <w:rFonts w:ascii="Newsreader" w:hAnsi="Newsreader" w:cs="Newsreader"/>
          <w:b/>
          <w:color w:val="161412"/>
          <w:sz w:val="22"/>
        </w:rPr>
        <w:tab/>
        <w:t xml:space="preserve">152</w:t>
      </w:r>
    </w:p>
    <w:p>
      <w:pPr>
        <w:tabs>
          <w:tab w:val="right" w:leader="dot" w:pos="8316"/>
        </w:tabs>
        <w:spacing w:after="40" w:line="264" w:lineRule="auto"/>
        <w:ind w:left="360"/>
      </w:pPr>
      <w:r>
        <w:rPr>
          <w:rFonts w:ascii="Newsreader" w:hAnsi="Newsreader" w:cs="Newsreader"/>
          <w:b w:val="0"/>
          <w:color w:val="161412"/>
          <w:sz w:val="22"/>
        </w:rPr>
        <w:t xml:space="preserve">11 · Los canales de expresión del evento</w:t>
      </w:r>
      <w:r>
        <w:rPr>
          <w:rFonts w:ascii="Newsreader" w:hAnsi="Newsreader" w:cs="Newsreader"/>
          <w:b w:val="0"/>
          <w:color w:val="161412"/>
          <w:sz w:val="22"/>
        </w:rPr>
        <w:tab/>
        <w:t xml:space="preserve">153</w:t>
      </w:r>
    </w:p>
    <w:p>
      <w:pPr>
        <w:tabs>
          <w:tab w:val="right" w:leader="dot" w:pos="8316"/>
        </w:tabs>
        <w:spacing w:after="40" w:line="264" w:lineRule="auto"/>
        <w:ind w:left="360"/>
      </w:pPr>
      <w:r>
        <w:rPr>
          <w:rFonts w:ascii="Newsreader" w:hAnsi="Newsreader" w:cs="Newsreader"/>
          <w:b w:val="0"/>
          <w:color w:val="161412"/>
          <w:sz w:val="22"/>
        </w:rPr>
        <w:t xml:space="preserve">12 · Tiempo, latencia y sincronía</w:t>
      </w:r>
      <w:r>
        <w:rPr>
          <w:rFonts w:ascii="Newsreader" w:hAnsi="Newsreader" w:cs="Newsreader"/>
          <w:b w:val="0"/>
          <w:color w:val="161412"/>
          <w:sz w:val="22"/>
        </w:rPr>
        <w:tab/>
        <w:t xml:space="preserve">161</w:t>
      </w:r>
    </w:p>
    <w:p>
      <w:pPr>
        <w:tabs>
          <w:tab w:val="right" w:leader="dot" w:pos="8316"/>
        </w:tabs>
        <w:spacing w:after="40" w:line="264" w:lineRule="auto"/>
        <w:ind w:left="360"/>
      </w:pPr>
      <w:r>
        <w:rPr>
          <w:rFonts w:ascii="Newsreader" w:hAnsi="Newsreader" w:cs="Newsreader"/>
          <w:b w:val="0"/>
          <w:color w:val="161412"/>
          <w:sz w:val="22"/>
        </w:rPr>
        <w:t xml:space="preserve">13 · Motion: la física percibida del evento</w:t>
      </w:r>
      <w:r>
        <w:rPr>
          <w:rFonts w:ascii="Newsreader" w:hAnsi="Newsreader" w:cs="Newsreader"/>
          <w:b w:val="0"/>
          <w:color w:val="161412"/>
          <w:sz w:val="22"/>
        </w:rPr>
        <w:tab/>
        <w:t xml:space="preserve">168</w:t>
      </w:r>
    </w:p>
    <w:p>
      <w:pPr>
        <w:tabs>
          <w:tab w:val="right" w:leader="dot" w:pos="8316"/>
        </w:tabs>
        <w:spacing w:after="40" w:line="264" w:lineRule="auto"/>
        <w:ind w:left="360"/>
      </w:pPr>
      <w:r>
        <w:rPr>
          <w:rFonts w:ascii="Newsreader" w:hAnsi="Newsreader" w:cs="Newsreader"/>
          <w:b w:val="0"/>
          <w:color w:val="161412"/>
          <w:sz w:val="22"/>
        </w:rPr>
        <w:t xml:space="preserve">14 · Presencia y profundidad</w:t>
      </w:r>
      <w:r>
        <w:rPr>
          <w:rFonts w:ascii="Newsreader" w:hAnsi="Newsreader" w:cs="Newsreader"/>
          <w:b w:val="0"/>
          <w:color w:val="161412"/>
          <w:sz w:val="22"/>
        </w:rPr>
        <w:tab/>
        <w:t xml:space="preserve">173</w:t>
      </w:r>
    </w:p>
    <w:p>
      <w:pPr>
        <w:tabs>
          <w:tab w:val="right" w:leader="dot" w:pos="8316"/>
        </w:tabs>
        <w:spacing w:after="40" w:line="264" w:lineRule="auto"/>
        <w:ind w:left="360"/>
      </w:pPr>
      <w:r>
        <w:rPr>
          <w:rFonts w:ascii="Newsreader" w:hAnsi="Newsreader" w:cs="Newsreader"/>
          <w:b w:val="0"/>
          <w:color w:val="161412"/>
          <w:sz w:val="22"/>
        </w:rPr>
        <w:t xml:space="preserve">15 · Forma: límite, affordance e iconografía</w:t>
      </w:r>
      <w:r>
        <w:rPr>
          <w:rFonts w:ascii="Newsreader" w:hAnsi="Newsreader" w:cs="Newsreader"/>
          <w:b w:val="0"/>
          <w:color w:val="161412"/>
          <w:sz w:val="22"/>
        </w:rPr>
        <w:tab/>
        <w:t xml:space="preserve">181</w:t>
      </w:r>
    </w:p>
    <w:p>
      <w:pPr>
        <w:tabs>
          <w:tab w:val="right" w:leader="dot" w:pos="8316"/>
        </w:tabs>
        <w:spacing w:after="40" w:line="264" w:lineRule="auto"/>
        <w:ind w:left="360"/>
      </w:pPr>
      <w:r>
        <w:rPr>
          <w:rFonts w:ascii="Newsreader" w:hAnsi="Newsreader" w:cs="Newsreader"/>
          <w:b w:val="0"/>
          <w:color w:val="161412"/>
          <w:sz w:val="22"/>
        </w:rPr>
        <w:t xml:space="preserve">16 · Color: refuerzo semántico y valencia</w:t>
      </w:r>
      <w:r>
        <w:rPr>
          <w:rFonts w:ascii="Newsreader" w:hAnsi="Newsreader" w:cs="Newsreader"/>
          <w:b w:val="0"/>
          <w:color w:val="161412"/>
          <w:sz w:val="22"/>
        </w:rPr>
        <w:tab/>
        <w:t xml:space="preserve">188</w:t>
      </w:r>
    </w:p>
    <w:p>
      <w:pPr>
        <w:tabs>
          <w:tab w:val="right" w:leader="dot" w:pos="8316"/>
        </w:tabs>
        <w:spacing w:after="40" w:line="264" w:lineRule="auto"/>
        <w:ind w:left="360"/>
      </w:pPr>
      <w:r>
        <w:rPr>
          <w:rFonts w:ascii="Newsreader" w:hAnsi="Newsreader" w:cs="Newsreader"/>
          <w:b w:val="0"/>
          <w:color w:val="161412"/>
          <w:sz w:val="22"/>
        </w:rPr>
        <w:t xml:space="preserve">17 · Sonido: urgencia, valencia y microeventos auditivos</w:t>
      </w:r>
      <w:r>
        <w:rPr>
          <w:rFonts w:ascii="Newsreader" w:hAnsi="Newsreader" w:cs="Newsreader"/>
          <w:b w:val="0"/>
          <w:color w:val="161412"/>
          <w:sz w:val="22"/>
        </w:rPr>
        <w:tab/>
        <w:t xml:space="preserve">194</w:t>
      </w:r>
    </w:p>
    <w:p>
      <w:pPr>
        <w:tabs>
          <w:tab w:val="right" w:leader="dot" w:pos="8316"/>
        </w:tabs>
        <w:spacing w:after="40" w:line="264" w:lineRule="auto"/>
        <w:ind w:left="360"/>
      </w:pPr>
      <w:r>
        <w:rPr>
          <w:rFonts w:ascii="Newsreader" w:hAnsi="Newsreader" w:cs="Newsreader"/>
          <w:b w:val="0"/>
          <w:color w:val="161412"/>
          <w:sz w:val="22"/>
        </w:rPr>
        <w:t xml:space="preserve">18 · Háptica y vibración</w:t>
      </w:r>
      <w:r>
        <w:rPr>
          <w:rFonts w:ascii="Newsreader" w:hAnsi="Newsreader" w:cs="Newsreader"/>
          <w:b w:val="0"/>
          <w:color w:val="161412"/>
          <w:sz w:val="22"/>
        </w:rPr>
        <w:tab/>
        <w:t xml:space="preserve">202</w:t>
      </w:r>
    </w:p>
    <w:p>
      <w:pPr>
        <w:tabs>
          <w:tab w:val="right" w:leader="dot" w:pos="8316"/>
        </w:tabs>
        <w:spacing w:after="40" w:line="264" w:lineRule="auto"/>
        <w:ind w:left="360"/>
      </w:pPr>
      <w:r>
        <w:rPr>
          <w:rFonts w:ascii="Newsreader" w:hAnsi="Newsreader" w:cs="Newsreader"/>
          <w:b w:val="0"/>
          <w:color w:val="161412"/>
          <w:sz w:val="22"/>
        </w:rPr>
        <w:t xml:space="preserve">19 · Accesibilidad perceptiva y reducción de canales</w:t>
      </w:r>
      <w:r>
        <w:rPr>
          <w:rFonts w:ascii="Newsreader" w:hAnsi="Newsreader" w:cs="Newsreader"/>
          <w:b w:val="0"/>
          <w:color w:val="161412"/>
          <w:sz w:val="22"/>
        </w:rPr>
        <w:tab/>
        <w:t xml:space="preserve">210</w:t>
      </w:r>
    </w:p>
    <w:p>
      <w:pPr>
        <w:tabs>
          <w:tab w:val="right" w:leader="dot" w:pos="8316"/>
        </w:tabs>
        <w:spacing w:after="40" w:line="264" w:lineRule="auto"/>
        <w:ind w:left="360"/>
      </w:pPr>
      <w:r>
        <w:rPr>
          <w:rFonts w:ascii="Newsreader" w:hAnsi="Newsreader" w:cs="Newsreader"/>
          <w:b w:val="0"/>
          <w:color w:val="161412"/>
          <w:sz w:val="22"/>
        </w:rPr>
        <w:t xml:space="preserve">20 · Coordinación multicanal</w:t>
      </w:r>
      <w:r>
        <w:rPr>
          <w:rFonts w:ascii="Newsreader" w:hAnsi="Newsreader" w:cs="Newsreader"/>
          <w:b w:val="0"/>
          <w:color w:val="161412"/>
          <w:sz w:val="22"/>
        </w:rPr>
        <w:tab/>
        <w:t xml:space="preserve">215</w:t>
      </w:r>
    </w:p>
    <w:p>
      <w:pPr>
        <w:tabs>
          <w:tab w:val="right" w:leader="dot" w:pos="8316"/>
        </w:tabs>
        <w:spacing w:before="160" w:after="40" w:line="264" w:lineRule="auto"/>
      </w:pPr>
      <w:r>
        <w:rPr>
          <w:rFonts w:ascii="Newsreader" w:hAnsi="Newsreader" w:cs="Newsreader"/>
          <w:b/>
          <w:color w:val="161412"/>
          <w:sz w:val="22"/>
        </w:rPr>
        <w:t xml:space="preserve">PARTE III — Familias</w:t>
      </w:r>
      <w:r>
        <w:rPr>
          <w:rFonts w:ascii="Newsreader" w:hAnsi="Newsreader" w:cs="Newsreader"/>
          <w:b/>
          <w:color w:val="161412"/>
          <w:sz w:val="22"/>
        </w:rPr>
        <w:tab/>
        <w:t xml:space="preserve">220</w:t>
      </w:r>
    </w:p>
    <w:p>
      <w:pPr>
        <w:tabs>
          <w:tab w:val="right" w:leader="dot" w:pos="8316"/>
        </w:tabs>
        <w:spacing w:after="40" w:line="264" w:lineRule="auto"/>
        <w:ind w:left="360"/>
      </w:pPr>
      <w:r>
        <w:rPr>
          <w:rFonts w:ascii="Newsreader" w:hAnsi="Newsreader" w:cs="Newsreader"/>
          <w:b w:val="0"/>
          <w:color w:val="161412"/>
          <w:sz w:val="22"/>
        </w:rPr>
        <w:t xml:space="preserve">21 · Cómo leer los capítulos de familia</w:t>
      </w:r>
      <w:r>
        <w:rPr>
          <w:rFonts w:ascii="Newsreader" w:hAnsi="Newsreader" w:cs="Newsreader"/>
          <w:b w:val="0"/>
          <w:color w:val="161412"/>
          <w:sz w:val="22"/>
        </w:rPr>
        <w:tab/>
        <w:t xml:space="preserve">221</w:t>
      </w:r>
    </w:p>
    <w:p>
      <w:pPr>
        <w:tabs>
          <w:tab w:val="right" w:leader="dot" w:pos="8316"/>
        </w:tabs>
        <w:spacing w:after="40" w:line="264" w:lineRule="auto"/>
        <w:ind w:left="360"/>
      </w:pPr>
      <w:r>
        <w:rPr>
          <w:rFonts w:ascii="Newsreader" w:hAnsi="Newsreader" w:cs="Newsreader"/>
          <w:b w:val="0"/>
          <w:color w:val="161412"/>
          <w:sz w:val="22"/>
        </w:rPr>
        <w:t xml:space="preserve">22 · Contact</w:t>
      </w:r>
      <w:r>
        <w:rPr>
          <w:rFonts w:ascii="Newsreader" w:hAnsi="Newsreader" w:cs="Newsreader"/>
          <w:b w:val="0"/>
          <w:color w:val="161412"/>
          <w:sz w:val="22"/>
        </w:rPr>
        <w:tab/>
        <w:t xml:space="preserve">225</w:t>
      </w:r>
    </w:p>
    <w:p>
      <w:pPr>
        <w:tabs>
          <w:tab w:val="right" w:leader="dot" w:pos="8316"/>
        </w:tabs>
        <w:spacing w:after="40" w:line="264" w:lineRule="auto"/>
        <w:ind w:left="360"/>
      </w:pPr>
      <w:r>
        <w:rPr>
          <w:rFonts w:ascii="Newsreader" w:hAnsi="Newsreader" w:cs="Newsreader"/>
          <w:b w:val="0"/>
          <w:color w:val="161412"/>
          <w:sz w:val="22"/>
        </w:rPr>
        <w:t xml:space="preserve">23 · Commit</w:t>
      </w:r>
      <w:r>
        <w:rPr>
          <w:rFonts w:ascii="Newsreader" w:hAnsi="Newsreader" w:cs="Newsreader"/>
          <w:b w:val="0"/>
          <w:color w:val="161412"/>
          <w:sz w:val="22"/>
        </w:rPr>
        <w:tab/>
        <w:t xml:space="preserve">233</w:t>
      </w:r>
    </w:p>
    <w:p>
      <w:pPr>
        <w:tabs>
          <w:tab w:val="right" w:leader="dot" w:pos="8316"/>
        </w:tabs>
        <w:spacing w:after="40" w:line="264" w:lineRule="auto"/>
        <w:ind w:left="360"/>
      </w:pPr>
      <w:r>
        <w:rPr>
          <w:rFonts w:ascii="Newsreader" w:hAnsi="Newsreader" w:cs="Newsreader"/>
          <w:b w:val="0"/>
          <w:color w:val="161412"/>
          <w:sz w:val="22"/>
        </w:rPr>
        <w:t xml:space="preserve">24 · Signal</w:t>
      </w:r>
      <w:r>
        <w:rPr>
          <w:rFonts w:ascii="Newsreader" w:hAnsi="Newsreader" w:cs="Newsreader"/>
          <w:b w:val="0"/>
          <w:color w:val="161412"/>
          <w:sz w:val="22"/>
        </w:rPr>
        <w:tab/>
        <w:t xml:space="preserve">241</w:t>
      </w:r>
    </w:p>
    <w:p>
      <w:pPr>
        <w:tabs>
          <w:tab w:val="right" w:leader="dot" w:pos="8316"/>
        </w:tabs>
        <w:spacing w:after="40" w:line="264" w:lineRule="auto"/>
        <w:ind w:left="360"/>
      </w:pPr>
      <w:r>
        <w:rPr>
          <w:rFonts w:ascii="Newsreader" w:hAnsi="Newsreader" w:cs="Newsreader"/>
          <w:b w:val="0"/>
          <w:color w:val="161412"/>
          <w:sz w:val="22"/>
        </w:rPr>
        <w:t xml:space="preserve">25 · Handle</w:t>
      </w:r>
      <w:r>
        <w:rPr>
          <w:rFonts w:ascii="Newsreader" w:hAnsi="Newsreader" w:cs="Newsreader"/>
          <w:b w:val="0"/>
          <w:color w:val="161412"/>
          <w:sz w:val="22"/>
        </w:rPr>
        <w:tab/>
        <w:t xml:space="preserve">249</w:t>
      </w:r>
    </w:p>
    <w:p>
      <w:pPr>
        <w:tabs>
          <w:tab w:val="right" w:leader="dot" w:pos="8316"/>
        </w:tabs>
        <w:spacing w:after="40" w:line="264" w:lineRule="auto"/>
        <w:ind w:left="360"/>
      </w:pPr>
      <w:r>
        <w:rPr>
          <w:rFonts w:ascii="Newsreader" w:hAnsi="Newsreader" w:cs="Newsreader"/>
          <w:b w:val="0"/>
          <w:color w:val="161412"/>
          <w:sz w:val="22"/>
        </w:rPr>
        <w:t xml:space="preserve">26 · Emerge</w:t>
      </w:r>
      <w:r>
        <w:rPr>
          <w:rFonts w:ascii="Newsreader" w:hAnsi="Newsreader" w:cs="Newsreader"/>
          <w:b w:val="0"/>
          <w:color w:val="161412"/>
          <w:sz w:val="22"/>
        </w:rPr>
        <w:tab/>
        <w:t xml:space="preserve">256</w:t>
      </w:r>
    </w:p>
    <w:p>
      <w:pPr>
        <w:tabs>
          <w:tab w:val="right" w:leader="dot" w:pos="8316"/>
        </w:tabs>
        <w:spacing w:after="40" w:line="264" w:lineRule="auto"/>
        <w:ind w:left="360"/>
      </w:pPr>
      <w:r>
        <w:rPr>
          <w:rFonts w:ascii="Newsreader" w:hAnsi="Newsreader" w:cs="Newsreader"/>
          <w:b w:val="0"/>
          <w:color w:val="161412"/>
          <w:sz w:val="22"/>
        </w:rPr>
        <w:t xml:space="preserve">27 · Shift</w:t>
      </w:r>
      <w:r>
        <w:rPr>
          <w:rFonts w:ascii="Newsreader" w:hAnsi="Newsreader" w:cs="Newsreader"/>
          <w:b w:val="0"/>
          <w:color w:val="161412"/>
          <w:sz w:val="22"/>
        </w:rPr>
        <w:tab/>
        <w:t xml:space="preserve">265</w:t>
      </w:r>
    </w:p>
    <w:p>
      <w:pPr>
        <w:tabs>
          <w:tab w:val="right" w:leader="dot" w:pos="8316"/>
        </w:tabs>
        <w:spacing w:after="40" w:line="264" w:lineRule="auto"/>
        <w:ind w:left="360"/>
      </w:pPr>
      <w:r>
        <w:rPr>
          <w:rFonts w:ascii="Newsreader" w:hAnsi="Newsreader" w:cs="Newsreader"/>
          <w:b w:val="0"/>
          <w:color w:val="161412"/>
          <w:sz w:val="22"/>
        </w:rPr>
        <w:t xml:space="preserve">28 · Sustain</w:t>
      </w:r>
      <w:r>
        <w:rPr>
          <w:rFonts w:ascii="Newsreader" w:hAnsi="Newsreader" w:cs="Newsreader"/>
          <w:b w:val="0"/>
          <w:color w:val="161412"/>
          <w:sz w:val="22"/>
        </w:rPr>
        <w:tab/>
        <w:t xml:space="preserve">273</w:t>
      </w:r>
    </w:p>
    <w:p>
      <w:pPr>
        <w:tabs>
          <w:tab w:val="right" w:leader="dot" w:pos="8316"/>
        </w:tabs>
        <w:spacing w:after="40" w:line="264" w:lineRule="auto"/>
        <w:ind w:left="360"/>
      </w:pPr>
      <w:r>
        <w:rPr>
          <w:rFonts w:ascii="Newsreader" w:hAnsi="Newsreader" w:cs="Newsreader"/>
          <w:b w:val="0"/>
          <w:color w:val="161412"/>
          <w:sz w:val="22"/>
        </w:rPr>
        <w:t xml:space="preserve">29 · Delegate</w:t>
      </w:r>
      <w:r>
        <w:rPr>
          <w:rFonts w:ascii="Newsreader" w:hAnsi="Newsreader" w:cs="Newsreader"/>
          <w:b w:val="0"/>
          <w:color w:val="161412"/>
          <w:sz w:val="22"/>
        </w:rPr>
        <w:tab/>
        <w:t xml:space="preserve">282</w:t>
      </w:r>
    </w:p>
    <w:p>
      <w:pPr>
        <w:tabs>
          <w:tab w:val="right" w:leader="dot" w:pos="8316"/>
        </w:tabs>
        <w:spacing w:before="160" w:after="40" w:line="264" w:lineRule="auto"/>
      </w:pPr>
      <w:r>
        <w:rPr>
          <w:rFonts w:ascii="Newsreader" w:hAnsi="Newsreader" w:cs="Newsreader"/>
          <w:b/>
          <w:color w:val="161412"/>
          <w:sz w:val="22"/>
        </w:rPr>
        <w:t xml:space="preserve">PARTE IV — Sistema</w:t>
      </w:r>
      <w:r>
        <w:rPr>
          <w:rFonts w:ascii="Newsreader" w:hAnsi="Newsreader" w:cs="Newsreader"/>
          <w:b/>
          <w:color w:val="161412"/>
          <w:sz w:val="22"/>
        </w:rPr>
        <w:tab/>
        <w:t xml:space="preserve">303</w:t>
      </w:r>
    </w:p>
    <w:p>
      <w:pPr>
        <w:tabs>
          <w:tab w:val="right" w:leader="dot" w:pos="8316"/>
        </w:tabs>
        <w:spacing w:after="40" w:line="264" w:lineRule="auto"/>
        <w:ind w:left="360"/>
      </w:pPr>
      <w:r>
        <w:rPr>
          <w:rFonts w:ascii="Newsreader" w:hAnsi="Newsreader" w:cs="Newsreader"/>
          <w:b w:val="0"/>
          <w:color w:val="161412"/>
          <w:sz w:val="22"/>
        </w:rPr>
        <w:t xml:space="preserve">30 · Composición de eventos semánticos</w:t>
      </w:r>
      <w:r>
        <w:rPr>
          <w:rFonts w:ascii="Newsreader" w:hAnsi="Newsreader" w:cs="Newsreader"/>
          <w:b w:val="0"/>
          <w:color w:val="161412"/>
          <w:sz w:val="22"/>
        </w:rPr>
        <w:tab/>
        <w:t xml:space="preserve">304</w:t>
      </w:r>
    </w:p>
    <w:p>
      <w:pPr>
        <w:tabs>
          <w:tab w:val="right" w:leader="dot" w:pos="8316"/>
        </w:tabs>
        <w:spacing w:after="40" w:line="264" w:lineRule="auto"/>
        <w:ind w:left="360"/>
      </w:pPr>
      <w:r>
        <w:rPr>
          <w:rFonts w:ascii="Newsreader" w:hAnsi="Newsreader" w:cs="Newsreader"/>
          <w:b w:val="0"/>
          <w:color w:val="161412"/>
          <w:sz w:val="22"/>
        </w:rPr>
        <w:t xml:space="preserve">31 · Matrices semánticas</w:t>
      </w:r>
      <w:r>
        <w:rPr>
          <w:rFonts w:ascii="Newsreader" w:hAnsi="Newsreader" w:cs="Newsreader"/>
          <w:b w:val="0"/>
          <w:color w:val="161412"/>
          <w:sz w:val="22"/>
        </w:rPr>
        <w:tab/>
        <w:t xml:space="preserve">320</w:t>
      </w:r>
    </w:p>
    <w:p>
      <w:pPr>
        <w:tabs>
          <w:tab w:val="right" w:leader="dot" w:pos="8316"/>
        </w:tabs>
        <w:spacing w:after="40" w:line="264" w:lineRule="auto"/>
        <w:ind w:left="360"/>
      </w:pPr>
      <w:r>
        <w:rPr>
          <w:rFonts w:ascii="Newsreader" w:hAnsi="Newsreader" w:cs="Newsreader"/>
          <w:b w:val="0"/>
          <w:color w:val="161412"/>
          <w:sz w:val="22"/>
        </w:rPr>
        <w:t xml:space="preserve">32 · Rangos psicoperceptivos orientativos</w:t>
      </w:r>
      <w:r>
        <w:rPr>
          <w:rFonts w:ascii="Newsreader" w:hAnsi="Newsreader" w:cs="Newsreader"/>
          <w:b w:val="0"/>
          <w:color w:val="161412"/>
          <w:sz w:val="22"/>
        </w:rPr>
        <w:tab/>
        <w:t xml:space="preserve">331</w:t>
      </w:r>
    </w:p>
    <w:p>
      <w:pPr>
        <w:tabs>
          <w:tab w:val="right" w:leader="dot" w:pos="8316"/>
        </w:tabs>
        <w:spacing w:after="40" w:line="264" w:lineRule="auto"/>
        <w:ind w:left="360"/>
      </w:pPr>
      <w:r>
        <w:rPr>
          <w:rFonts w:ascii="Newsreader" w:hAnsi="Newsreader" w:cs="Newsreader"/>
          <w:b w:val="0"/>
          <w:color w:val="161412"/>
          <w:sz w:val="22"/>
        </w:rPr>
        <w:t xml:space="preserve">33 · Accesibilidad aplicada</w:t>
      </w:r>
      <w:r>
        <w:rPr>
          <w:rFonts w:ascii="Newsreader" w:hAnsi="Newsreader" w:cs="Newsreader"/>
          <w:b w:val="0"/>
          <w:color w:val="161412"/>
          <w:sz w:val="22"/>
        </w:rPr>
        <w:tab/>
        <w:t xml:space="preserve">342</w:t>
      </w:r>
    </w:p>
    <w:p>
      <w:pPr>
        <w:tabs>
          <w:tab w:val="right" w:leader="dot" w:pos="8316"/>
        </w:tabs>
        <w:spacing w:after="40" w:line="264" w:lineRule="auto"/>
        <w:ind w:left="360"/>
      </w:pPr>
      <w:r>
        <w:rPr>
          <w:rFonts w:ascii="Newsreader" w:hAnsi="Newsreader" w:cs="Newsreader"/>
          <w:b w:val="0"/>
          <w:color w:val="161412"/>
          <w:sz w:val="22"/>
        </w:rPr>
        <w:t xml:space="preserve">34 · Antipatrones globales</w:t>
      </w:r>
      <w:r>
        <w:rPr>
          <w:rFonts w:ascii="Newsreader" w:hAnsi="Newsreader" w:cs="Newsreader"/>
          <w:b w:val="0"/>
          <w:color w:val="161412"/>
          <w:sz w:val="22"/>
        </w:rPr>
        <w:tab/>
        <w:t xml:space="preserve">352</w:t>
      </w:r>
    </w:p>
    <w:p>
      <w:pPr>
        <w:tabs>
          <w:tab w:val="right" w:leader="dot" w:pos="8316"/>
        </w:tabs>
        <w:spacing w:after="40" w:line="264" w:lineRule="auto"/>
        <w:ind w:left="360"/>
      </w:pPr>
      <w:r>
        <w:rPr>
          <w:rFonts w:ascii="Newsreader" w:hAnsi="Newsreader" w:cs="Newsreader"/>
          <w:b w:val="0"/>
          <w:color w:val="161412"/>
          <w:sz w:val="22"/>
        </w:rPr>
        <w:t xml:space="preserve">35 · Validación de una semántica perceptiva</w:t>
      </w:r>
      <w:r>
        <w:rPr>
          <w:rFonts w:ascii="Newsreader" w:hAnsi="Newsreader" w:cs="Newsreader"/>
          <w:b w:val="0"/>
          <w:color w:val="161412"/>
          <w:sz w:val="22"/>
        </w:rPr>
        <w:tab/>
        <w:t xml:space="preserve">364</w:t>
      </w:r>
    </w:p>
    <w:p>
      <w:pPr>
        <w:tabs>
          <w:tab w:val="right" w:leader="dot" w:pos="8316"/>
        </w:tabs>
        <w:spacing w:after="40" w:line="264" w:lineRule="auto"/>
        <w:ind w:left="360"/>
      </w:pPr>
      <w:r>
        <w:rPr>
          <w:rFonts w:ascii="Newsreader" w:hAnsi="Newsreader" w:cs="Newsreader"/>
          <w:b w:val="0"/>
          <w:color w:val="161412"/>
          <w:sz w:val="22"/>
        </w:rPr>
        <w:t xml:space="preserve">36 · De la gramática al sistema</w:t>
      </w:r>
      <w:r>
        <w:rPr>
          <w:rFonts w:ascii="Newsreader" w:hAnsi="Newsreader" w:cs="Newsreader"/>
          <w:b w:val="0"/>
          <w:color w:val="161412"/>
          <w:sz w:val="22"/>
        </w:rPr>
        <w:tab/>
        <w:t xml:space="preserve">374</w:t>
      </w:r>
    </w:p>
    <w:p>
      <w:pPr>
        <w:tabs>
          <w:tab w:val="right" w:leader="dot" w:pos="8316"/>
        </w:tabs>
        <w:spacing w:before="160" w:after="40" w:line="264" w:lineRule="auto"/>
      </w:pPr>
      <w:r>
        <w:rPr>
          <w:rFonts w:ascii="Newsreader" w:hAnsi="Newsreader" w:cs="Newsreader"/>
          <w:b/>
          <w:color w:val="161412"/>
          <w:sz w:val="22"/>
        </w:rPr>
        <w:t xml:space="preserve">Cierre</w:t>
      </w:r>
      <w:r>
        <w:rPr>
          <w:rFonts w:ascii="Newsreader" w:hAnsi="Newsreader" w:cs="Newsreader"/>
          <w:b/>
          <w:color w:val="161412"/>
          <w:sz w:val="22"/>
        </w:rPr>
        <w:tab/>
        <w:t xml:space="preserve">384</w:t>
      </w:r>
    </w:p>
    <w:p>
      <w:pPr>
        <w:tabs>
          <w:tab w:val="right" w:leader="dot" w:pos="8316"/>
        </w:tabs>
        <w:spacing w:after="40" w:line="264" w:lineRule="auto"/>
      </w:pPr>
      <w:r>
        <w:rPr>
          <w:rFonts w:ascii="Newsreader" w:hAnsi="Newsreader" w:cs="Newsreader"/>
          <w:b w:val="0"/>
          <w:color w:val="161412"/>
          <w:sz w:val="22"/>
        </w:rPr>
        <w:t xml:space="preserve">Apéndice A · Capa semántica declarativa</w:t>
      </w:r>
      <w:r>
        <w:rPr>
          <w:rFonts w:ascii="Newsreader" w:hAnsi="Newsreader" w:cs="Newsreader"/>
          <w:b w:val="0"/>
          <w:color w:val="161412"/>
          <w:sz w:val="22"/>
        </w:rPr>
        <w:tab/>
        <w:t xml:space="preserve">390</w:t>
      </w:r>
    </w:p>
    <w:p>
      <w:pPr>
        <w:tabs>
          <w:tab w:val="right" w:leader="dot" w:pos="8316"/>
        </w:tabs>
        <w:spacing w:after="40" w:line="264" w:lineRule="auto"/>
      </w:pPr>
      <w:r>
        <w:rPr>
          <w:rFonts w:ascii="Newsreader" w:hAnsi="Newsreader" w:cs="Newsreader"/>
          <w:b w:val="0"/>
          <w:color w:val="161412"/>
          <w:sz w:val="22"/>
        </w:rPr>
        <w:t xml:space="preserve">Apéndice B · Firmas de expresión y matriz mínima</w:t>
      </w:r>
      <w:r>
        <w:rPr>
          <w:rFonts w:ascii="Newsreader" w:hAnsi="Newsreader" w:cs="Newsreader"/>
          <w:b w:val="0"/>
          <w:color w:val="161412"/>
          <w:sz w:val="22"/>
        </w:rPr>
        <w:tab/>
        <w:t xml:space="preserve">394</w:t>
      </w:r>
    </w:p>
    <w:p>
      <w:pPr>
        <w:tabs>
          <w:tab w:val="right" w:leader="dot" w:pos="8316"/>
        </w:tabs>
        <w:spacing w:after="40" w:line="264" w:lineRule="auto"/>
      </w:pPr>
      <w:r>
        <w:rPr>
          <w:rFonts w:ascii="Newsreader" w:hAnsi="Newsreader" w:cs="Newsreader"/>
          <w:b w:val="0"/>
          <w:color w:val="161412"/>
          <w:sz w:val="22"/>
        </w:rPr>
        <w:t xml:space="preserve">Apéndice C · Tres casos de estudio</w:t>
      </w:r>
      <w:r>
        <w:rPr>
          <w:rFonts w:ascii="Newsreader" w:hAnsi="Newsreader" w:cs="Newsreader"/>
          <w:b w:val="0"/>
          <w:color w:val="161412"/>
          <w:sz w:val="22"/>
        </w:rPr>
        <w:tab/>
        <w:t xml:space="preserve">399</w:t>
      </w:r>
    </w:p>
    <w:p>
      <w:pPr>
        <w:tabs>
          <w:tab w:val="right" w:leader="dot" w:pos="8316"/>
        </w:tabs>
        <w:spacing w:after="40" w:line="264" w:lineRule="auto"/>
      </w:pPr>
      <w:r>
        <w:rPr>
          <w:rFonts w:ascii="Newsreader" w:hAnsi="Newsreader" w:cs="Newsreader"/>
          <w:b w:val="0"/>
          <w:color w:val="161412"/>
          <w:sz w:val="22"/>
        </w:rPr>
        <w:t xml:space="preserve">Apéndice D · De la gramática al código: el caso Sema</w:t>
      </w:r>
      <w:r>
        <w:rPr>
          <w:rFonts w:ascii="Newsreader" w:hAnsi="Newsreader" w:cs="Newsreader"/>
          <w:b w:val="0"/>
          <w:color w:val="161412"/>
          <w:sz w:val="22"/>
        </w:rPr>
        <w:tab/>
        <w:t xml:space="preserve">402</w:t>
      </w:r>
    </w:p>
    <w:p>
      <w:pPr>
        <w:tabs>
          <w:tab w:val="right" w:leader="dot" w:pos="8316"/>
        </w:tabs>
        <w:spacing w:after="40" w:line="264" w:lineRule="auto"/>
      </w:pPr>
      <w:r>
        <w:rPr>
          <w:rFonts w:ascii="Newsreader" w:hAnsi="Newsreader" w:cs="Newsreader"/>
          <w:b w:val="0"/>
          <w:color w:val="161412"/>
          <w:sz w:val="22"/>
        </w:rPr>
        <w:t xml:space="preserve">Apéndice E · Casos difíciles: donde la gramática suda</w:t>
      </w:r>
      <w:r>
        <w:rPr>
          <w:rFonts w:ascii="Newsreader" w:hAnsi="Newsreader" w:cs="Newsreader"/>
          <w:b w:val="0"/>
          <w:color w:val="161412"/>
          <w:sz w:val="22"/>
        </w:rPr>
        <w:tab/>
        <w:t xml:space="preserve">414</w:t>
      </w:r>
    </w:p>
    <w:p>
      <w:pPr>
        <w:tabs>
          <w:tab w:val="right" w:leader="dot" w:pos="8316"/>
        </w:tabs>
        <w:spacing w:after="40" w:line="264" w:lineRule="auto"/>
      </w:pPr>
      <w:r>
        <w:rPr>
          <w:rFonts w:ascii="Newsreader" w:hAnsi="Newsreader" w:cs="Newsreader"/>
          <w:b w:val="0"/>
          <w:color w:val="161412"/>
          <w:sz w:val="22"/>
        </w:rPr>
        <w:t xml:space="preserve">Glosario</w:t>
      </w:r>
      <w:r>
        <w:rPr>
          <w:rFonts w:ascii="Newsreader" w:hAnsi="Newsreader" w:cs="Newsreader"/>
          <w:b w:val="0"/>
          <w:color w:val="161412"/>
          <w:sz w:val="22"/>
        </w:rPr>
        <w:tab/>
        <w:t xml:space="preserve">421</w:t>
      </w:r>
    </w:p>
    <w:p>
      <w:pPr>
        <w:tabs>
          <w:tab w:val="right" w:leader="dot" w:pos="8316"/>
        </w:tabs>
        <w:spacing w:after="40" w:line="264" w:lineRule="auto"/>
      </w:pPr>
      <w:r>
        <w:rPr>
          <w:rFonts w:ascii="Newsreader" w:hAnsi="Newsreader" w:cs="Newsreader"/>
          <w:b w:val="0"/>
          <w:color w:val="161412"/>
          <w:sz w:val="22"/>
        </w:rPr>
        <w:t xml:space="preserve">Índice analítico</w:t>
      </w:r>
      <w:r>
        <w:rPr>
          <w:rFonts w:ascii="Newsreader" w:hAnsi="Newsreader" w:cs="Newsreader"/>
          <w:b w:val="0"/>
          <w:color w:val="161412"/>
          <w:sz w:val="22"/>
        </w:rPr>
        <w:tab/>
        <w:t xml:space="preserve">424</w:t>
      </w:r>
    </w:p>
    <w:p>
      <w:pPr>
        <w:tabs>
          <w:tab w:val="right" w:leader="dot" w:pos="8316"/>
        </w:tabs>
        <w:spacing w:after="40" w:line="264" w:lineRule="auto"/>
      </w:pPr>
      <w:r>
        <w:rPr>
          <w:rFonts w:ascii="Newsreader" w:hAnsi="Newsreader" w:cs="Newsreader"/>
          <w:b w:val="0"/>
          <w:color w:val="161412"/>
          <w:sz w:val="22"/>
        </w:rPr>
        <w:t xml:space="preserve">Referencias bibliográficas</w:t>
      </w:r>
      <w:r>
        <w:rPr>
          <w:rFonts w:ascii="Newsreader" w:hAnsi="Newsreader" w:cs="Newsreader"/>
          <w:b w:val="0"/>
          <w:color w:val="161412"/>
          <w:sz w:val="22"/>
        </w:rPr>
        <w:tab/>
        <w:t xml:space="preserve">425</w:t>
      </w:r>
    </w:p>
    <w:p>
      <w:pPr>
        <w:tabs>
          <w:tab w:val="right" w:leader="dot" w:pos="8316"/>
        </w:tabs>
        <w:spacing w:after="40" w:line="264" w:lineRule="auto"/>
      </w:pPr>
      <w:r>
        <w:rPr>
          <w:rFonts w:ascii="Newsreader" w:hAnsi="Newsreader" w:cs="Newsreader"/>
          <w:b w:val="0"/>
          <w:color w:val="161412"/>
          <w:sz w:val="22"/>
        </w:rPr>
        <w:t xml:space="preserve">Lecturas complementarias</w:t>
      </w:r>
      <w:r>
        <w:rPr>
          <w:rFonts w:ascii="Newsreader" w:hAnsi="Newsreader" w:cs="Newsreader"/>
          <w:b w:val="0"/>
          <w:color w:val="161412"/>
          <w:sz w:val="22"/>
        </w:rPr>
        <w:tab/>
        <w:t xml:space="preserve">427</w:t>
      </w:r>
    </w:p>
    <w:p>
      <w:pPr>
        <w:tabs>
          <w:tab w:val="right" w:leader="dot" w:pos="8316"/>
        </w:tabs>
        <w:spacing w:after="40" w:line="264" w:lineRule="auto"/>
      </w:pPr>
      <w:r>
        <w:rPr>
          <w:rFonts w:ascii="Newsreader" w:hAnsi="Newsreader" w:cs="Newsreader"/>
          <w:b w:val="0"/>
          <w:color w:val="161412"/>
          <w:sz w:val="22"/>
        </w:rPr>
        <w:t xml:space="preserve">Sobre el autor</w:t>
      </w:r>
      <w:r>
        <w:rPr>
          <w:rFonts w:ascii="Newsreader" w:hAnsi="Newsreader" w:cs="Newsreader"/>
          <w:b w:val="0"/>
          <w:color w:val="161412"/>
          <w:sz w:val="22"/>
        </w:rPr>
        <w:tab/>
        <w:t xml:space="preserve">429</w:t>
      </w:r>
    </w:p>
    <w:p>
      <w:r>
        <w:br w:type="page"/>
      </w:r>
    </w:p>
    <w:p>
      <w:pPr>
        <w:spacing w:after="60" w:line="240" w:lineRule="auto"/>
      </w:pPr>
      <w:r>
        <w:rPr>
          <w:rFonts w:ascii="Newsreader" w:hAnsi="Newsreader" w:cs="Newsreader"/>
          <w:color w:val="161412"/>
          <w:sz w:val="60"/>
        </w:rPr>
        <w:t>Introducción</w:t>
      </w:r>
    </w:p>
    <w:p>
      <w:pPr>
        <w:pBdr>
          <w:bottom w:val="single" w:sz="4" w:space="4" w:color="1F3A5F"/>
        </w:pBdr>
      </w:pPr>
    </w:p>
    <w:p>
      <w:pPr>
        <w:spacing w:before="320" w:after="40"/>
      </w:pPr>
    </w:p>
    <w:p>
      <w:pPr>
        <w:spacing w:after="160" w:line="240" w:lineRule="auto"/>
      </w:pPr>
      <w:r>
        <w:rPr>
          <w:rFonts w:ascii="Newsreader" w:hAnsi="Newsreader" w:cs="Newsreader"/>
          <w:color w:val="161412"/>
          <w:sz w:val="38"/>
        </w:rPr>
        <w:t>La pregunta que aparece al construir interfaces</w:t>
      </w:r>
    </w:p>
    <w:p>
      <w:pPr>
        <w:spacing w:after="120" w:line="320" w:lineRule="auto"/>
        <w:jc w:val="both"/>
      </w:pPr>
      <w:r>
        <w:rPr>
          <w:rFonts w:ascii="Newsreader" w:hAnsi="Newsreader" w:cs="Newsreader"/>
          <w:b w:val="0"/>
          <w:i w:val="0"/>
          <w:color w:val="161412"/>
        </w:rPr>
        <w:t>Este libro nace de una práctica, no de una pretensión.</w:t>
      </w:r>
    </w:p>
    <w:p>
      <w:pPr>
        <w:spacing w:after="120" w:line="320" w:lineRule="auto"/>
        <w:jc w:val="both"/>
      </w:pPr>
      <w:r>
        <w:rPr>
          <w:rFonts w:ascii="Newsreader" w:hAnsi="Newsreader" w:cs="Newsreader"/>
          <w:b w:val="0"/>
          <w:i w:val="0"/>
          <w:color w:val="161412"/>
        </w:rPr>
        <w:t>Durante años, trabajando en front-end, me encontré una y otra vez con preguntas que las herramientas habituales no terminaban de responder del todo.</w:t>
      </w:r>
    </w:p>
    <w:p>
      <w:pPr>
        <w:spacing w:after="120" w:line="320" w:lineRule="auto"/>
        <w:jc w:val="both"/>
      </w:pPr>
      <w:r>
        <w:rPr>
          <w:rFonts w:ascii="Newsreader" w:hAnsi="Newsreader" w:cs="Newsreader"/>
          <w:b w:val="0"/>
          <w:i w:val="0"/>
          <w:color w:val="161412"/>
        </w:rPr>
        <w:t>No eran preguntas espectaculares. Eran preguntas pequeñas, de esas que aparecen mientras se construye una interfaz real:</w:t>
      </w:r>
    </w:p>
    <w:p>
      <w:pPr>
        <w:spacing w:after="120" w:line="320" w:lineRule="auto"/>
        <w:jc w:val="both"/>
      </w:pPr>
      <w:r>
        <w:rPr>
          <w:rFonts w:ascii="Newsreader" w:hAnsi="Newsreader" w:cs="Newsreader"/>
          <w:b w:val="0"/>
          <w:i w:val="0"/>
          <w:color w:val="161412"/>
        </w:rPr>
        <w:t>¿Por qué un botón debe responder antes de confirmar?</w:t>
      </w:r>
    </w:p>
    <w:p>
      <w:pPr>
        <w:spacing w:after="120" w:line="320" w:lineRule="auto"/>
        <w:jc w:val="both"/>
      </w:pPr>
      <w:r>
        <w:rPr>
          <w:rFonts w:ascii="Newsreader" w:hAnsi="Newsreader" w:cs="Newsreader"/>
          <w:b w:val="0"/>
          <w:i w:val="0"/>
          <w:color w:val="161412"/>
        </w:rPr>
        <w:t>¿Por qué guardar no se siente igual que completar?</w:t>
      </w:r>
    </w:p>
    <w:p>
      <w:pPr>
        <w:spacing w:after="120" w:line="320" w:lineRule="auto"/>
        <w:jc w:val="both"/>
      </w:pPr>
      <w:r>
        <w:rPr>
          <w:rFonts w:ascii="Newsreader" w:hAnsi="Newsreader" w:cs="Newsreader"/>
          <w:b w:val="0"/>
          <w:i w:val="0"/>
          <w:color w:val="161412"/>
        </w:rPr>
        <w:t>¿Por qué una espera necesita parecer viva?</w:t>
      </w:r>
    </w:p>
    <w:p>
      <w:pPr>
        <w:spacing w:after="120" w:line="320" w:lineRule="auto"/>
        <w:jc w:val="both"/>
      </w:pPr>
      <w:r>
        <w:rPr>
          <w:rFonts w:ascii="Newsreader" w:hAnsi="Newsreader" w:cs="Newsreader"/>
          <w:b w:val="0"/>
          <w:i w:val="0"/>
          <w:color w:val="161412"/>
        </w:rPr>
        <w:t>¿Por qué una advertencia corregible no debería sentirse como una amenaza?</w:t>
      </w:r>
    </w:p>
    <w:p>
      <w:pPr>
        <w:spacing w:after="120" w:line="320" w:lineRule="auto"/>
        <w:jc w:val="both"/>
      </w:pPr>
      <w:r>
        <w:rPr>
          <w:rFonts w:ascii="Newsreader" w:hAnsi="Newsreader" w:cs="Newsreader"/>
          <w:b w:val="0"/>
          <w:i w:val="0"/>
          <w:color w:val="161412"/>
        </w:rPr>
        <w:t>¿Por qué una pérdida ya producida no debería expresarse igual que un peligro todavía evitable?</w:t>
      </w:r>
    </w:p>
    <w:p>
      <w:pPr>
        <w:spacing w:after="120" w:line="320" w:lineRule="auto"/>
        <w:jc w:val="both"/>
      </w:pPr>
      <w:r>
        <w:rPr>
          <w:rFonts w:ascii="Newsreader" w:hAnsi="Newsreader" w:cs="Newsreader"/>
          <w:b w:val="0"/>
          <w:i w:val="0"/>
          <w:color w:val="161412"/>
        </w:rPr>
        <w:t>¿Por qué un modal a veces cambia el contexto y otras veces solo muestra contenido?</w:t>
      </w:r>
    </w:p>
    <w:p>
      <w:pPr>
        <w:spacing w:after="120" w:line="320" w:lineRule="auto"/>
        <w:jc w:val="both"/>
      </w:pPr>
      <w:r>
        <w:rPr>
          <w:rFonts w:ascii="Newsreader" w:hAnsi="Newsreader" w:cs="Newsreader"/>
          <w:b w:val="0"/>
          <w:i w:val="0"/>
          <w:color w:val="161412"/>
        </w:rPr>
        <w:t>¿Por qué el color ha cargado con tanta semántica?</w:t>
      </w:r>
    </w:p>
    <w:p>
      <w:pPr>
        <w:spacing w:after="120" w:line="320" w:lineRule="auto"/>
        <w:jc w:val="both"/>
      </w:pPr>
      <w:r>
        <w:rPr>
          <w:rFonts w:ascii="Newsreader" w:hAnsi="Newsreader" w:cs="Newsreader"/>
          <w:b w:val="0"/>
          <w:i w:val="0"/>
          <w:color w:val="161412"/>
        </w:rPr>
        <w:t>¿Por qué motion, sonido, forma, presencia, háptica y accesibilidad suelen tratarse como capas separadas si el usuario las vive juntas?</w:t>
      </w:r>
    </w:p>
    <w:p>
      <w:pPr>
        <w:spacing w:after="120" w:line="320" w:lineRule="auto"/>
        <w:jc w:val="both"/>
      </w:pPr>
      <w:r>
        <w:rPr>
          <w:rFonts w:ascii="Newsreader" w:hAnsi="Newsreader" w:cs="Newsreader"/>
          <w:b w:val="0"/>
          <w:i w:val="0"/>
          <w:color w:val="161412"/>
        </w:rPr>
        <w:t>No soy psicólogo. No soy neurocientífico. No pretendo dar lecciones en esos campos.</w:t>
      </w:r>
    </w:p>
    <w:p>
      <w:pPr>
        <w:spacing w:after="120" w:line="320" w:lineRule="auto"/>
        <w:jc w:val="both"/>
      </w:pPr>
      <w:r>
        <w:rPr>
          <w:rFonts w:ascii="Newsreader" w:hAnsi="Newsreader" w:cs="Newsreader"/>
          <w:b w:val="0"/>
          <w:i w:val="0"/>
          <w:color w:val="161412"/>
        </w:rPr>
        <w:t>Soy un programador que, al construir interfaces, empezó a sospechar que faltaba un lenguaje para describir algo que ocurría todos los días delante de nosotros.</w:t>
      </w:r>
    </w:p>
    <w:p>
      <w:pPr>
        <w:spacing w:after="120" w:line="320" w:lineRule="auto"/>
        <w:jc w:val="both"/>
      </w:pPr>
      <w:r>
        <w:rPr>
          <w:rFonts w:ascii="Newsreader" w:hAnsi="Newsreader" w:cs="Newsreader"/>
          <w:b w:val="0"/>
          <w:i w:val="0"/>
          <w:color w:val="161412"/>
        </w:rPr>
        <w:t>Las guías de diseño explicaban componentes. Los frameworks ofrecían patrones. Los sistemas de diseño ordenaban tokens. La accesibilidad establecía criterios necesarios. La psicología ofrecía fundamentos sobre percepción, atención, acción, evaluación y continuidad.</w:t>
      </w:r>
    </w:p>
    <w:p>
      <w:pPr>
        <w:spacing w:after="120" w:line="320" w:lineRule="auto"/>
        <w:jc w:val="both"/>
      </w:pPr>
      <w:r>
        <w:rPr>
          <w:rFonts w:ascii="Newsreader" w:hAnsi="Newsreader" w:cs="Newsreader"/>
          <w:b w:val="0"/>
          <w:i w:val="0"/>
          <w:color w:val="161412"/>
        </w:rPr>
        <w:t>Pero entre todo eso seguía apareciendo una zona difícil de nombrar: qué ocurre cuando la interfaz responde, espera, avisa, confirma, pierde, aparece, cambia de contexto o sostiene un proceso.</w:t>
      </w:r>
    </w:p>
    <w:p>
      <w:pPr>
        <w:spacing w:after="120" w:line="320" w:lineRule="auto"/>
        <w:jc w:val="both"/>
      </w:pPr>
      <w:r>
        <w:rPr>
          <w:rFonts w:ascii="Newsreader" w:hAnsi="Newsreader" w:cs="Newsreader"/>
          <w:b w:val="0"/>
          <w:i w:val="0"/>
          <w:color w:val="161412"/>
        </w:rPr>
        <w:t>Este libro intenta trabajar en esa zona.</w:t>
      </w:r>
    </w:p>
    <w:p>
      <w:pPr>
        <w:spacing w:after="120" w:line="320" w:lineRule="auto"/>
        <w:jc w:val="both"/>
      </w:pPr>
      <w:r>
        <w:rPr>
          <w:rFonts w:ascii="Newsreader" w:hAnsi="Newsreader" w:cs="Newsreader"/>
          <w:b w:val="0"/>
          <w:i w:val="0"/>
          <w:color w:val="161412"/>
        </w:rPr>
        <w:t>No viene a sustituir la teoría de interfaces existente. No viene a redefinir desde cero el diseño de interacción. No viene a invadir campos que ya tienen desarrollos sólidos.</w:t>
      </w:r>
    </w:p>
    <w:p>
      <w:pPr>
        <w:spacing w:after="120" w:line="320" w:lineRule="auto"/>
        <w:jc w:val="both"/>
      </w:pPr>
      <w:r>
        <w:rPr>
          <w:rFonts w:ascii="Newsreader" w:hAnsi="Newsreader" w:cs="Newsreader"/>
          <w:b w:val="0"/>
          <w:i w:val="0"/>
          <w:color w:val="161412"/>
        </w:rPr>
        <w:t>Viene a abordar una pregunta concreta desde otra perspectiva:</w:t>
      </w:r>
    </w:p>
    <w:p>
      <w:pPr>
        <w:spacing w:after="120" w:line="320" w:lineRule="auto"/>
        <w:jc w:val="both"/>
      </w:pPr>
      <w:r>
        <w:rPr>
          <w:rFonts w:ascii="Newsreader" w:hAnsi="Newsreader" w:cs="Newsreader"/>
          <w:b w:val="0"/>
          <w:i w:val="0"/>
          <w:color w:val="161412"/>
        </w:rPr>
        <w:t>¿Podemos pensar la interfaz como una gramática de eventos?</w:t>
      </w:r>
    </w:p>
    <w:p>
      <w:pPr>
        <w:spacing w:after="120" w:line="320" w:lineRule="auto"/>
        <w:jc w:val="both"/>
      </w:pPr>
      <w:r>
        <w:rPr>
          <w:rFonts w:ascii="Newsreader" w:hAnsi="Newsreader" w:cs="Newsreader"/>
          <w:b w:val="0"/>
          <w:i w:val="0"/>
          <w:color w:val="161412"/>
        </w:rPr>
        <w:t>La web será el campo principal de ejemplos, porque ahí trabajo y porque ahí la fragmentación se ve con mucha claridad: DOM, CSS, JavaScript, estados, eventos técnicos, tokens, componentes, motion, accesibilidad, sonido y comportamiento aparecen como capas separadas.</w:t>
      </w:r>
    </w:p>
    <w:p>
      <w:pPr>
        <w:spacing w:after="120" w:line="320" w:lineRule="auto"/>
        <w:jc w:val="both"/>
      </w:pPr>
      <w:r>
        <w:rPr>
          <w:rFonts w:ascii="Newsreader" w:hAnsi="Newsreader" w:cs="Newsreader"/>
          <w:b w:val="0"/>
          <w:i w:val="0"/>
          <w:color w:val="161412"/>
        </w:rPr>
        <w:t>Pero el usuario no vive capas. Vive eventos.</w:t>
      </w:r>
    </w:p>
    <w:p>
      <w:pPr>
        <w:spacing w:after="120" w:line="320" w:lineRule="auto"/>
        <w:jc w:val="both"/>
      </w:pPr>
      <w:r>
        <w:rPr>
          <w:rFonts w:ascii="Newsreader" w:hAnsi="Newsreader" w:cs="Newsreader"/>
          <w:b w:val="0"/>
          <w:i w:val="0"/>
          <w:color w:val="161412"/>
        </w:rPr>
        <w:t>Percibe que algo respondió. Que algo sigue ocurriendo. Que algo se guardó. Que algo reclama atención. Que algo puede perderse. Que algo ya se perdió. Que algo apareció. Que el contexto cambió. Que algo quedó completado. Que el sistema puede actuar por él.</w:t>
      </w:r>
    </w:p>
    <w:p>
      <w:pPr>
        <w:spacing w:after="120" w:line="320" w:lineRule="auto"/>
        <w:jc w:val="both"/>
      </w:pPr>
      <w:r>
        <w:rPr>
          <w:rFonts w:ascii="Newsreader" w:hAnsi="Newsreader" w:cs="Newsreader"/>
          <w:b w:val="0"/>
          <w:i w:val="0"/>
          <w:color w:val="161412"/>
        </w:rPr>
        <w:t>Este libro propone una forma de nombrar esos eventos.</w:t>
      </w:r>
    </w:p>
    <w:p>
      <w:pPr>
        <w:spacing w:after="120" w:line="320" w:lineRule="auto"/>
        <w:jc w:val="both"/>
      </w:pPr>
      <w:r>
        <w:rPr>
          <w:rFonts w:ascii="Newsreader" w:hAnsi="Newsreader" w:cs="Newsreader"/>
          <w:b w:val="0"/>
          <w:i w:val="0"/>
          <w:color w:val="161412"/>
        </w:rPr>
        <w:t>No como verdad final. No como dogma. No como framework cerrado. Sino como una herramienta para pensar mejor una parte de la interfaz que ya estaba funcionando, aunque muchas veces no tuviera nombre.</w:t>
      </w:r>
    </w:p>
    <w:p>
      <w:pPr>
        <w:spacing w:after="120" w:line="320" w:lineRule="auto"/>
        <w:jc w:val="both"/>
      </w:pPr>
      <w:r>
        <w:rPr>
          <w:rFonts w:ascii="Newsreader" w:hAnsi="Newsreader" w:cs="Newsreader"/>
          <w:b w:val="0"/>
          <w:i w:val="0"/>
          <w:color w:val="161412"/>
        </w:rPr>
        <w:t>La hipótesis es sencilla:</w:t>
      </w:r>
    </w:p>
    <w:p>
      <w:pPr>
        <w:spacing w:after="120" w:line="320" w:lineRule="auto"/>
        <w:jc w:val="both"/>
      </w:pPr>
      <w:r>
        <w:rPr>
          <w:rFonts w:ascii="Newsreader" w:hAnsi="Newsreader" w:cs="Newsreader"/>
          <w:b w:val="0"/>
          <w:i w:val="0"/>
          <w:color w:val="161412"/>
        </w:rPr>
        <w:t>La interfaz no solo tiene componentes, estados y efectos.</w:t>
      </w:r>
    </w:p>
    <w:p>
      <w:pPr>
        <w:spacing w:after="120" w:line="320" w:lineRule="auto"/>
        <w:jc w:val="both"/>
      </w:pPr>
      <w:r>
        <w:rPr>
          <w:rFonts w:ascii="Newsreader" w:hAnsi="Newsreader" w:cs="Newsreader"/>
          <w:b w:val="0"/>
          <w:i w:val="0"/>
          <w:color w:val="161412"/>
        </w:rPr>
        <w:t>Tiene eventos.</w:t>
      </w:r>
    </w:p>
    <w:p>
      <w:pPr>
        <w:spacing w:after="120" w:line="320" w:lineRule="auto"/>
        <w:jc w:val="both"/>
      </w:pPr>
      <w:r>
        <w:rPr>
          <w:rFonts w:ascii="Newsreader" w:hAnsi="Newsreader" w:cs="Newsreader"/>
          <w:b w:val="0"/>
          <w:i w:val="0"/>
          <w:color w:val="161412"/>
        </w:rPr>
        <w:t>Y esos eventos necesitan una gramática.</w:t>
      </w:r>
    </w:p>
    <w:p>
      <w:pPr>
        <w:spacing w:after="120" w:line="320" w:lineRule="auto"/>
        <w:jc w:val="both"/>
      </w:pPr>
      <w:r>
        <w:rPr>
          <w:rFonts w:ascii="Newsreader" w:hAnsi="Newsreader" w:cs="Newsreader"/>
          <w:b w:val="0"/>
          <w:i w:val="0"/>
          <w:color w:val="161412"/>
        </w:rPr>
        <w:t>Hay una forma sencilla de situar esta idea. Los sistemas de diseño modernos le dieron a los equipos un vocabulario preciso para lo que las cosas son: átomos, componentes, tokens, variantes. Lo que aún falta es un vocabulario para lo que ocurre —la respuesta, la espera, la confirmación, la pérdida, la aparición, el cambio de contexto, la acción que el sistema hace por el usuario—. Este libro propone esa segunda gramática: la capa que un sistema de diseño todavía no sabe nombrar.</w:t>
      </w:r>
    </w:p>
    <w:p>
      <w:r>
        <w:br w:type="page"/>
      </w:r>
    </w:p>
    <w:p>
      <w:pPr>
        <w:spacing w:after="60" w:line="240" w:lineRule="auto"/>
      </w:pPr>
      <w:r>
        <w:rPr>
          <w:rFonts w:ascii="Newsreader" w:hAnsi="Newsreader" w:cs="Newsreader"/>
          <w:color w:val="161412"/>
          <w:sz w:val="60"/>
        </w:rPr>
        <w:t>Alcance de la propuesta</w:t>
      </w:r>
    </w:p>
    <w:p>
      <w:pPr>
        <w:spacing w:after="280"/>
      </w:pPr>
      <w:r>
        <w:rPr>
          <w:rFonts w:ascii="IBM Plex Sans" w:hAnsi="IBM Plex Sans" w:cs="IBM Plex Sans"/>
          <w:color w:val="6A635A"/>
          <w:sz w:val="26"/>
        </w:rPr>
        <w:t>Esta gramática no pretende agotar todos los eventos posibles de cualquier interfaz ni sustituir las teorías existentes de HCI, accesibilidad o diseño de interacción.</w:t>
      </w:r>
    </w:p>
    <w:p>
      <w:pPr>
        <w:pBdr>
          <w:bottom w:val="single" w:sz="4" w:space="4" w:color="1F3A5F"/>
        </w:pBdr>
      </w:pPr>
    </w:p>
    <w:p>
      <w:pPr>
        <w:spacing w:after="120" w:line="320" w:lineRule="auto"/>
        <w:jc w:val="both"/>
      </w:pPr>
      <w:r>
        <w:rPr>
          <w:rFonts w:ascii="Newsreader" w:hAnsi="Newsreader" w:cs="Newsreader"/>
          <w:b w:val="0"/>
          <w:i w:val="0"/>
          <w:color w:val="161412"/>
        </w:rPr>
        <w:t>Propone un vocabulario operativo para describir eventos recurrentes en interfaces digitales, especialmente útil en producto digital, sistemas de diseño y desarrollo front-end.</w:t>
      </w:r>
    </w:p>
    <w:p>
      <w:pPr>
        <w:spacing w:after="120" w:line="320" w:lineRule="auto"/>
        <w:jc w:val="both"/>
      </w:pPr>
      <w:r>
        <w:rPr>
          <w:rFonts w:ascii="Newsreader" w:hAnsi="Newsreader" w:cs="Newsreader"/>
          <w:b w:val="0"/>
          <w:i w:val="0"/>
          <w:color w:val="161412"/>
        </w:rPr>
        <w:t>En dominios especializados —trading, medicina, CAD, simulación, sistemas críticos— pueden aparecer eventos propios que requieran extensiones, subfamilias o reglas específicas. La gramática no se cierra ante ellos: ofrece criterios para decidir cuándo una diferencia merece entrar en el sistema y cuándo debe tratarse como verbo, fase, intent, canal de expresión o composición.</w:t>
      </w:r>
    </w:p>
    <w:p>
      <w:pPr>
        <w:spacing w:after="120" w:line="320" w:lineRule="auto"/>
        <w:jc w:val="both"/>
      </w:pPr>
      <w:r>
        <w:rPr>
          <w:rFonts w:ascii="Newsreader" w:hAnsi="Newsreader" w:cs="Newsreader"/>
          <w:b w:val="0"/>
          <w:i w:val="0"/>
          <w:color w:val="161412"/>
        </w:rPr>
        <w:t>Este libro debe leerse como una propuesta práctica con fundamentos teóricos, no como una ley universal de la percepción ni como una especificación técnica cerrada.</w:t>
      </w:r>
    </w:p>
    <w:p>
      <w:r>
        <w:br w:type="page"/>
      </w:r>
    </w:p>
    <w:p>
      <w:pPr>
        <w:spacing w:after="60" w:line="240" w:lineRule="auto"/>
      </w:pPr>
      <w:r>
        <w:rPr>
          <w:rFonts w:ascii="Newsreader" w:hAnsi="Newsreader" w:cs="Newsreader"/>
          <w:color w:val="161412"/>
          <w:sz w:val="60"/>
        </w:rPr>
        <w:t>Nota terminológica</w:t>
      </w:r>
    </w:p>
    <w:p>
      <w:pPr>
        <w:spacing w:after="280"/>
      </w:pPr>
      <w:r>
        <w:rPr>
          <w:rFonts w:ascii="IBM Plex Sans" w:hAnsi="IBM Plex Sans" w:cs="IBM Plex Sans"/>
          <w:color w:val="6A635A"/>
          <w:sz w:val="26"/>
        </w:rPr>
        <w:t>El libro usa algunos términos ingleses porque también están pensados para funcionar en documentación técnica, diseño de sistemas y código. Las familias semánticas se nombran como contact, commit, signal, handle, emerge, shift, sustain y delegate. En el texto narrativo se explican en español; en tablas, notación y ejemplos técnicos se mantiene la etiqueta inglesa.</w:t>
      </w:r>
    </w:p>
    <w:p>
      <w:pPr>
        <w:pBdr>
          <w:bottom w:val="single" w:sz="4" w:space="4" w:color="1F3A5F"/>
        </w:pBdr>
      </w:pPr>
    </w:p>
    <w:p>
      <w:pPr>
        <w:spacing w:after="120" w:line="320" w:lineRule="auto"/>
        <w:jc w:val="both"/>
      </w:pPr>
      <w:r>
        <w:rPr>
          <w:rFonts w:ascii="Newsreader" w:hAnsi="Newsreader" w:cs="Newsreader"/>
          <w:b w:val="0"/>
          <w:i w:val="0"/>
          <w:color w:val="161412"/>
        </w:rPr>
        <w:t>La palabra intent se usa como etiqueta del sistema. No significa «intención del usuario». Significa la valoración que declara un evento sobre cómo debe percibirse. Los seis intents se nombran, como las familias, con etiquetas inglesas: neutral (neutro), affirm (confirmatorio), fulfill (resolutivo), risk (corregible), threat (amenazante) y loss (perdido). Estas equivalencias se dan aquí una sola vez; a partir de este punto, el libro usa siempre las etiquetas inglesas.</w:t>
      </w:r>
    </w:p>
    <w:p>
      <w:pPr>
        <w:spacing w:after="120" w:line="320" w:lineRule="auto"/>
        <w:jc w:val="both"/>
      </w:pPr>
      <w:r>
        <w:rPr>
          <w:rFonts w:ascii="Newsreader" w:hAnsi="Newsreader" w:cs="Newsreader"/>
          <w:b w:val="0"/>
          <w:i w:val="0"/>
          <w:color w:val="161412"/>
        </w:rPr>
        <w:t>El término motion se usa como canal de expresión. No equivale simplemente a animación técnica. La animación es la implementación; motion es el movimiento tal como participa en la lectura del evento.</w:t>
      </w:r>
    </w:p>
    <w:p>
      <w:pPr>
        <w:spacing w:after="120" w:line="320" w:lineRule="auto"/>
        <w:jc w:val="both"/>
      </w:pPr>
      <w:r>
        <w:rPr>
          <w:rFonts w:ascii="Newsreader" w:hAnsi="Newsreader" w:cs="Newsreader"/>
          <w:b w:val="0"/>
          <w:i w:val="0"/>
          <w:color w:val="161412"/>
        </w:rPr>
        <w:t xml:space="preserve">Este libro usa la palabra semántica para una sola cosa: el significado que un evento adquiere para el usuario dentro de una interfaz. No pretende construir una semántica formal en sentido lógico.</w:t>
      </w:r>
    </w:p>
    <w:p>
      <w:r>
        <w:br w:type="page"/>
      </w:r>
    </w:p>
    <w:p>
      <w:pPr>
        <w:spacing w:after="60" w:line="240" w:lineRule="auto"/>
      </w:pPr>
      <w:r>
        <w:rPr>
          <w:rFonts w:ascii="Newsreader" w:hAnsi="Newsreader" w:cs="Newsreader"/>
          <w:color w:val="161412"/>
          <w:sz w:val="60"/>
        </w:rPr>
        <w:t>Dónde se sitúa esta propuesta</w:t>
      </w:r>
    </w:p>
    <w:p>
      <w:pPr>
        <w:spacing w:after="280"/>
      </w:pPr>
      <w:r>
        <w:rPr>
          <w:rFonts w:ascii="IBM Plex Sans" w:hAnsi="IBM Plex Sans" w:cs="IBM Plex Sans"/>
          <w:color w:val="6A635A"/>
          <w:sz w:val="26"/>
        </w:rPr>
        <w:t>Esta gramática no nace en el vacío. Dialoga con tradiciones que han pensado la interacción, la acción, la percepción, la semiótica y la accesibilidad desde otros ángulos.</w:t>
      </w:r>
    </w:p>
    <w:p>
      <w:pPr>
        <w:pBdr>
          <w:bottom w:val="single" w:sz="4" w:space="4" w:color="1F3A5F"/>
        </w:pBdr>
      </w:pPr>
    </w:p>
    <w:p>
      <w:pPr>
        <w:spacing w:after="120" w:line="320" w:lineRule="auto"/>
        <w:jc w:val="both"/>
      </w:pPr>
      <w:r>
        <w:rPr>
          <w:rFonts w:ascii="Newsreader" w:hAnsi="Newsreader" w:cs="Newsreader"/>
          <w:b w:val="0"/>
          <w:i w:val="0"/>
          <w:color w:val="161412"/>
        </w:rPr>
        <w:t>La Semiotic Engineering entiende la interacción humano-computador como comunicación entre quienes diseñan el sistema y quienes lo usan. Esta propuesta comparte esa preocupación por el significado, pero trabaja en una escala más concreta: el evento que la interfaz hace perceptible.</w:t>
      </w:r>
    </w:p>
    <w:p>
      <w:pPr>
        <w:spacing w:after="120" w:line="320" w:lineRule="auto"/>
        <w:jc w:val="both"/>
      </w:pPr>
      <w:r>
        <w:rPr>
          <w:rFonts w:ascii="Newsreader" w:hAnsi="Newsreader" w:cs="Newsreader"/>
          <w:b w:val="0"/>
          <w:i w:val="0"/>
          <w:color w:val="161412"/>
        </w:rPr>
        <w:t>La Activity Theory entiende la tecnología como mediación de la actividad humana. Este libro no sustituye ese marco, pero toma de él la idea de que una interfaz no puede analizarse solo como objeto visible: debe entenderse por las acciones que habilita y transforma.</w:t>
      </w:r>
    </w:p>
    <w:p>
      <w:pPr>
        <w:spacing w:after="120" w:line="320" w:lineRule="auto"/>
        <w:jc w:val="both"/>
      </w:pPr>
      <w:r>
        <w:rPr>
          <w:rFonts w:ascii="Newsreader" w:hAnsi="Newsreader" w:cs="Newsreader"/>
          <w:b w:val="0"/>
          <w:i w:val="0"/>
          <w:color w:val="161412"/>
        </w:rPr>
        <w:t>El Ecological Interface Design trabaja la interfaz como soporte para actuar en sistemas complejos. Esta gramática comparte la preocupación por hacer visibles relaciones operativas, aunque se centra en producto digital, sistemas de diseño y eventos de interfaz.</w:t>
      </w:r>
    </w:p>
    <w:p>
      <w:pPr>
        <w:spacing w:after="120" w:line="320" w:lineRule="auto"/>
        <w:jc w:val="both"/>
      </w:pPr>
      <w:r>
        <w:rPr>
          <w:rFonts w:ascii="Newsreader" w:hAnsi="Newsreader" w:cs="Newsreader"/>
          <w:b w:val="0"/>
          <w:i w:val="0"/>
          <w:color w:val="161412"/>
        </w:rPr>
        <w:t>WAI-ARIA ya proporciona una semántica técnica para accesibilidad web mediante roles, estados y propiedades. Esta propuesta no reemplaza ARIA; intenta complementar esa semántica técnica con una gramática de eventos perceptibles para diseño e implementación.</w:t>
      </w:r>
    </w:p>
    <w:p>
      <w:pPr>
        <w:spacing w:after="120" w:line="320" w:lineRule="auto"/>
        <w:jc w:val="both"/>
      </w:pPr>
      <w:r>
        <w:rPr>
          <w:rFonts w:ascii="Newsreader" w:hAnsi="Newsreader" w:cs="Newsreader"/>
          <w:b w:val="0"/>
          <w:i w:val="0"/>
          <w:color w:val="161412"/>
        </w:rPr>
        <w:t>Los sistemas de design tokens y componentes han permitido estandarizar color, espaciado, tipografía, elevación, estados y variantes. Esta gramática no sustituye esos sistemas. Propone una capa anterior: declarar qué evento ocurre antes de decidir qué token, componente o canal de expresión lo materializa.</w:t>
      </w:r>
    </w:p>
    <w:p>
      <w:pPr>
        <w:spacing w:after="120" w:line="320" w:lineRule="auto"/>
        <w:jc w:val="both"/>
      </w:pPr>
      <w:r>
        <w:rPr>
          <w:rFonts w:ascii="Newsreader" w:hAnsi="Newsreader" w:cs="Newsreader"/>
          <w:b w:val="0"/>
          <w:i w:val="0"/>
          <w:color w:val="161412"/>
        </w:rPr>
        <w:t>Las microinteracciones, tal como las formuló Saffer, descomponen cada pequeño momento de uso en disparador, reglas, feedback y bucle. Esta gramática comparte esa atención al detalle, pero no se queda en la microinteracción aislada: ofrece un vocabulario común que va desde el acuse de un botón hasta el cambio de contexto o la acción delegada, y que permite hablar de todos ellos con las mismas categorías.</w:t>
      </w:r>
    </w:p>
    <w:p>
      <w:pPr>
        <w:spacing w:after="120" w:line="320" w:lineRule="auto"/>
        <w:jc w:val="both"/>
      </w:pPr>
      <w:r>
        <w:rPr>
          <w:rFonts w:ascii="Newsreader" w:hAnsi="Newsreader" w:cs="Newsreader"/>
          <w:b w:val="0"/>
          <w:i w:val="0"/>
          <w:color w:val="161412"/>
        </w:rPr>
        <w:t>Los sistemas de motion de las grandes bibliotecas de diseño han enseñado que el movimiento puede ser significativo y no solo decorativo. Esta propuesta toma esa convicción y la generaliza: motion es uno de varios canales al servicio del evento, no un lenguaje propio. La pregunta no es «qué animación queda bien», sino «qué evento se está expresando y qué canal lo porta mejor».</w:t>
      </w:r>
    </w:p>
    <w:p>
      <w:pPr>
        <w:spacing w:after="120" w:line="320" w:lineRule="auto"/>
        <w:jc w:val="both"/>
      </w:pPr>
      <w:r>
        <w:rPr>
          <w:rFonts w:ascii="Newsreader" w:hAnsi="Newsreader" w:cs="Newsreader"/>
          <w:b w:val="0"/>
          <w:i w:val="0"/>
          <w:color w:val="161412"/>
        </w:rPr>
        <w:t>Los patrones emergentes de las interfaces agénticas —indicadores de autonomía, líneas de tiempo de acción, controles de intervención— responden a la misma necesidad que aquí ocupa la familia delegate: hacer perceptible quién actúa. La diferencia es de alcance. Donde esos patrones forman catálogos sueltos, esta gramática integra esa pregunta en el mismo sistema que organiza el resto de los eventos, de modo que «el sistema actuó por ti» se describe con las mismas herramientas que «tu acción se registró».</w:t>
      </w:r>
    </w:p>
    <w:p>
      <w:pPr>
        <w:spacing w:after="120" w:line="320" w:lineRule="auto"/>
        <w:jc w:val="both"/>
      </w:pPr>
      <w:r>
        <w:rPr>
          <w:rFonts w:ascii="Newsreader" w:hAnsi="Newsreader" w:cs="Newsreader"/>
          <w:b w:val="0"/>
          <w:i w:val="0"/>
          <w:color w:val="161412"/>
        </w:rPr>
        <w:t>La contribución del libro no es inventar la interacción desde cero. Es ofrecer un lenguaje operativo para que diseñadores, programadores y equipos de producto puedan hablar con precisión de lo que ocurre en una interfaz.</w:t>
      </w:r>
    </w:p>
    <w:p>
      <w:r>
        <w:br w:type="page"/>
      </w:r>
    </w:p>
    <w:p>
      <w:pPr>
        <w:spacing w:after="60" w:line="240" w:lineRule="auto"/>
      </w:pPr>
      <w:r>
        <w:rPr>
          <w:rFonts w:ascii="Newsreader" w:hAnsi="Newsreader" w:cs="Newsreader"/>
          <w:color w:val="161412"/>
          <w:sz w:val="60"/>
        </w:rPr>
        <w:t xml:space="preserve">Qué afirma este libro, y con cuánta seguridad</w:t>
      </w:r>
    </w:p>
    <w:p>
      <w:pPr>
        <w:spacing w:after="280"/>
      </w:pPr>
      <w:r>
        <w:rPr>
          <w:rFonts w:ascii="IBM Plex Sans" w:hAnsi="IBM Plex Sans" w:cs="IBM Plex Sans"/>
          <w:color w:val="6A635A"/>
          <w:sz w:val="26"/>
        </w:rPr>
        <w:t xml:space="preserve">Tres niveles de afirmación, declarados antes de empezar</w:t>
      </w:r>
    </w:p>
    <w:p>
      <w:pPr>
        <w:pBdr>
          <w:bottom w:val="single" w:sz="4" w:space="4" w:color="1F3A5F"/>
        </w:pBdr>
      </w:pPr>
    </w:p>
    <w:p>
      <w:pPr>
        <w:spacing w:after="120" w:line="320" w:lineRule="auto"/>
        <w:jc w:val="both"/>
      </w:pPr>
      <w:r>
        <w:rPr>
          <w:rFonts w:ascii="Newsreader" w:hAnsi="Newsreader" w:cs="Newsreader"/>
          <w:b w:val="0"/>
          <w:i w:val="0"/>
          <w:color w:val="161412"/>
        </w:rPr>
        <w:t xml:space="preserve">Este libro mezcla, como casi cualquier propuesta de diseño, tres niveles de afirmación. Conviene declararlos antes de empezar, porque no merecen la misma confianza y sería deshonesto venderlos al mismo precio.</w:t>
      </w:r>
    </w:p>
    <w:p>
      <w:pPr>
        <w:spacing w:after="120" w:line="320" w:lineRule="auto"/>
        <w:jc w:val="both"/>
      </w:pPr>
      <w:r>
        <w:rPr>
          <w:rFonts w:ascii="Newsreader" w:hAnsi="Newsreader" w:cs="Newsreader"/>
          <w:b w:val="0"/>
          <w:i w:val="0"/>
          <w:color w:val="161412"/>
        </w:rPr>
        <w:t xml:space="preserve">El primer nivel es ciencia perceptiva consolidada, con décadas de evidencia y réplica. La percepción de causalidad que Michotte midió en laboratorio; la atribución de agencia que Heider y Simmel documentaron; la organización en figura y fondo de la Gestalt. Las affordances de Gibson; el espacio de valencia y activación de Russell; la teoría de la valoración de Scherer. Cuando el Capítulo 3 los presenta, el libro está citando, no proponiendo. Este nivel no depende de que la gramática funcione.</w:t>
      </w:r>
    </w:p>
    <w:p>
      <w:pPr>
        <w:spacing w:after="120" w:line="320" w:lineRule="auto"/>
        <w:jc w:val="both"/>
      </w:pPr>
      <w:r>
        <w:rPr>
          <w:rFonts w:ascii="Newsreader" w:hAnsi="Newsreader" w:cs="Newsreader"/>
          <w:b w:val="0"/>
          <w:i w:val="0"/>
          <w:color w:val="161412"/>
        </w:rPr>
        <w:t xml:space="preserve">El segundo nivel es extrapolación plausible: llevar esos hallazgos, obtenidos casi siempre fuera de las interfaces, al terreno de las interfaces. Que la ventana de causalidad percibida gobierne la latencia de un botón; que el espacio valencia/activación organice los intents; que la atención capturada por el movimiento explique la disciplina del canal motion. Son traslados razonables y coherentes con la evidencia — pero son traslados. Nadie ha medido la mayoría de ellos donde este libro los aplica.</w:t>
      </w:r>
    </w:p>
    <w:p>
      <w:pPr>
        <w:spacing w:after="120" w:line="320" w:lineRule="auto"/>
        <w:jc w:val="both"/>
      </w:pPr>
      <w:r>
        <w:rPr>
          <w:rFonts w:ascii="Newsreader" w:hAnsi="Newsreader" w:cs="Newsreader"/>
          <w:b w:val="0"/>
          <w:i w:val="0"/>
          <w:color w:val="161412"/>
        </w:rPr>
        <w:t xml:space="preserve">El tercer nivel es propuesta de este autor, y es el grueso del libro: las ocho familias y no otras, los seis intents y no cinco, los verbos, las reglas de composición, los rangos orientativos. Nada de eso está validado empíricamente. Es una taxonomía construida sobre los dos niveles anteriores, con criterios declarados (Capítulo 7) y con un método propuesto para ponerla a prueba (Capítulo 35) que todavía no se ha ejecutado. El Cierre lo dice y este párrafo lo adelanta: la gramática es provisional.</w:t>
      </w:r>
    </w:p>
    <w:p>
      <w:pPr>
        <w:spacing w:after="120" w:line="320" w:lineRule="auto"/>
        <w:jc w:val="both"/>
      </w:pPr>
      <w:r>
        <w:rPr>
          <w:rFonts w:ascii="Newsreader" w:hAnsi="Newsreader" w:cs="Newsreader"/>
          <w:b w:val="0"/>
          <w:i w:val="0"/>
          <w:color w:val="161412"/>
        </w:rPr>
        <w:t xml:space="preserve">Queda la palabra «gramática», que invita al escrutinio lingüístico. La analogía se asume aquí una sola vez y con sus límites. Las familias funcionan como clases de palabras; los verbos, como su morfología. Las reglas de composición, como una sintaxis mínima; el intent, como la modalidad que tiñe un enunciado. Hasta ahí llega. El libro no afirma que la interfaz sea un lenguaje, ni que exista una gramática universal de los eventos, ni que estas reglas generen significado como genera oraciones una lengua. «Gramática» nombra una ambición de estructura — diferencias, relaciones, composición — y nada más.</w:t>
      </w:r>
    </w:p>
    <w:p>
      <w:pPr>
        <w:spacing w:after="120" w:line="320" w:lineRule="auto"/>
        <w:jc w:val="both"/>
      </w:pPr>
      <w:r>
        <w:rPr>
          <w:rFonts w:ascii="Newsreader" w:hAnsi="Newsreader" w:cs="Newsreader"/>
          <w:b w:val="0"/>
          <w:i w:val="0"/>
          <w:color w:val="161412"/>
        </w:rPr>
        <w:t xml:space="preserve">La honestidad de este libro no está en fingir que todo es ciencia. Está en que los tres niveles queden a la vista — y en que el tercero, que es el más grande, se declare como lo que es: una propuesta esperando su prueba.</w:t>
      </w:r>
    </w:p>
    <w:p>
      <w:r>
        <w:br w:type="page"/>
      </w:r>
    </w:p>
    <w:p>
      <w:pPr>
        <w:spacing w:after="60" w:line="240" w:lineRule="auto"/>
      </w:pPr>
      <w:r>
        <w:rPr>
          <w:rFonts w:ascii="Newsreader" w:hAnsi="Newsreader" w:cs="Newsreader"/>
          <w:color w:val="161412"/>
          <w:sz w:val="60"/>
        </w:rPr>
        <w:t xml:space="preserve">Cómo recorrer este libro</w:t>
      </w:r>
    </w:p>
    <w:p>
      <w:pPr>
        <w:spacing w:after="280"/>
      </w:pPr>
      <w:r>
        <w:rPr>
          <w:rFonts w:ascii="IBM Plex Sans" w:hAnsi="IBM Plex Sans" w:cs="IBM Plex Sans"/>
          <w:color w:val="6A635A"/>
          <w:sz w:val="26"/>
        </w:rPr>
        <w:t xml:space="preserve">Tres itinerarios y una hora, para que cuatrocientas páginas no exijan leerse de una vez</w:t>
      </w:r>
    </w:p>
    <w:p>
      <w:pPr>
        <w:pBdr>
          <w:bottom w:val="single" w:sz="4" w:space="4" w:color="1F3A5F"/>
        </w:pBdr>
      </w:pPr>
    </w:p>
    <w:p>
      <w:pPr>
        <w:spacing w:after="120" w:line="320" w:lineRule="auto"/>
        <w:jc w:val="both"/>
      </w:pPr>
      <w:r>
        <w:rPr>
          <w:rFonts w:ascii="Newsreader" w:hAnsi="Newsreader" w:cs="Newsreader"/>
          <w:b w:val="0"/>
          <w:i w:val="0"/>
          <w:color w:val="161412"/>
        </w:rPr>
        <w:t xml:space="preserve">El libro está construido para leerse de principio a fin: cuatro partes que se apoyan — fundamentos, canales, familias, sistema—, un cierre y cinco apéndices. Pero no todo lector llega con el mismo propósito, y un libro de este tamaño debe ofrecer más de una puerta. Aquí van tres itinerarios y un atajo.</w:t>
      </w:r>
    </w:p>
    <w:p>
      <w:pPr>
        <w:spacing w:before="240" w:after="100"/>
      </w:pPr>
      <w:r>
        <w:rPr>
          <w:rFonts w:ascii="Newsreader" w:hAnsi="Newsreader" w:cs="Newsreader"/>
          <w:i/>
          <w:color w:val="1F3A5F"/>
          <w:sz w:val="28"/>
        </w:rPr>
        <w:t xml:space="preserve">El itinerario del diseñador</w:t>
      </w:r>
    </w:p>
    <w:p>
      <w:pPr>
        <w:spacing w:after="120" w:line="320" w:lineRule="auto"/>
        <w:jc w:val="both"/>
      </w:pPr>
      <w:r>
        <w:rPr>
          <w:rFonts w:ascii="Newsreader" w:hAnsi="Newsreader" w:cs="Newsreader"/>
          <w:b w:val="0"/>
          <w:i w:val="0"/>
          <w:color w:val="161412"/>
        </w:rPr>
        <w:t xml:space="preserve">Empieza por los Capítulos 1 y 2: qué es mirar la interfaz desde lo que ocurre en ella — y no como una superficie—, y por qué las convenciones heredadas ya no saben justificarse. Salta a los Capítulos 8, 9 y 10 — las ocho familias, qué acepta evaluación y los seis intents: la mercancía central del libro—. Sigue con el 21, y usa los capítulos de familia (22 a 29) como consulta, empezando siempre por su ficha visual. Cierra con el lado de decisión de la Parte IV: composición (30), matrices (31), accesibilidad aplicada (33) y el catálogo de antipatrones (34).</w:t>
      </w:r>
    </w:p>
    <w:p>
      <w:pPr>
        <w:spacing w:before="240" w:after="100"/>
      </w:pPr>
      <w:r>
        <w:rPr>
          <w:rFonts w:ascii="Newsreader" w:hAnsi="Newsreader" w:cs="Newsreader"/>
          <w:i/>
          <w:color w:val="1F3A5F"/>
          <w:sz w:val="28"/>
        </w:rPr>
        <w:t xml:space="preserve">El itinerario del developer</w:t>
      </w:r>
    </w:p>
    <w:p>
      <w:pPr>
        <w:spacing w:after="120" w:line="320" w:lineRule="auto"/>
        <w:jc w:val="both"/>
      </w:pPr>
      <w:r>
        <w:rPr>
          <w:rFonts w:ascii="Newsreader" w:hAnsi="Newsreader" w:cs="Newsreader"/>
          <w:b w:val="0"/>
          <w:i w:val="0"/>
          <w:color w:val="161412"/>
        </w:rPr>
        <w:t xml:space="preserve">El mismo arranque: 1 y 2, luego 8, 9 y 10. Después, directo a lo operativo: el 21 como mapa, los capítulos de familia en modo consulta y la Parte IV entera, con el 36 — el sistema de diseño — como destino. Los apéndices son tuyos: la referencia canónica del B, la gramática hecha código del D y los casos difíciles del E. Si vienes del código, el D puede incluso ser la primera lectura: es la prueba de carga de todo lo demás.</w:t>
      </w:r>
    </w:p>
    <w:p>
      <w:pPr>
        <w:spacing w:before="240" w:after="100"/>
      </w:pPr>
      <w:r>
        <w:rPr>
          <w:rFonts w:ascii="Newsreader" w:hAnsi="Newsreader" w:cs="Newsreader"/>
          <w:i/>
          <w:color w:val="1F3A5F"/>
          <w:sz w:val="28"/>
        </w:rPr>
        <w:t xml:space="preserve">El itinerario del investigador</w:t>
      </w:r>
    </w:p>
    <w:p>
      <w:pPr>
        <w:spacing w:after="120" w:line="320" w:lineRule="auto"/>
        <w:jc w:val="both"/>
      </w:pPr>
      <w:r>
        <w:rPr>
          <w:rFonts w:ascii="Newsreader" w:hAnsi="Newsreader" w:cs="Newsreader"/>
          <w:b w:val="0"/>
          <w:i w:val="0"/>
          <w:color w:val="161412"/>
        </w:rPr>
        <w:t xml:space="preserve">Empieza por el 2 — la genealogía de las convenciones — y el 3 — lo que la percepción ya sabía—. Sigue con el 5 (por qué una gramática y no un catálogo de patrones) y el 7 (los criterios para que una diferencia se vuelva lenguaje). Los fundamentos evaluativos viven en el 9 y el 10. La frontera declarada del sistema está en el §11 del Capítulo 29 y en el Apéndice E; el método de validación, en el 35; y la posición frente a las tradiciones, en estas páginas preliminares y en el Cierre.</w:t>
      </w:r>
    </w:p>
    <w:p>
      <w:pPr>
        <w:spacing w:before="240" w:after="100"/>
      </w:pPr>
      <w:r>
        <w:rPr>
          <w:rFonts w:ascii="Newsreader" w:hAnsi="Newsreader" w:cs="Newsreader"/>
          <w:i/>
          <w:color w:val="1F3A5F"/>
          <w:sz w:val="28"/>
        </w:rPr>
        <w:t xml:space="preserve">Si solo tienes una hora</w:t>
      </w:r>
    </w:p>
    <w:p>
      <w:pPr>
        <w:spacing w:after="120" w:line="320" w:lineRule="auto"/>
        <w:jc w:val="both"/>
      </w:pPr>
      <w:r>
        <w:rPr>
          <w:rFonts w:ascii="Newsreader" w:hAnsi="Newsreader" w:cs="Newsreader"/>
          <w:b w:val="0"/>
          <w:i w:val="0"/>
          <w:color w:val="161412"/>
        </w:rPr>
        <w:t xml:space="preserve">Lee el Capítulo 2 y el Capítulo 10. Son el porqué y la mercancía: de dónde vienen las convenciones que nadie decidió, y la diferencia entre amenaza y pérdida, entre confirmar y culminar. Con eso y la referencia canónica del Apéndice B se puede empezar a trabajar mañana — y decidir si el resto del viaje merece la pena.</w:t>
      </w:r>
    </w:p>
    <w:p>
      <w:r>
        <w:br w:type="page"/>
      </w:r>
    </w:p>
    <w:p>
      <w:pPr>
        <w:spacing w:before="1800" w:after="120"/>
      </w:pPr>
      <w:r>
        <w:rPr>
          <w:rFonts w:ascii="IBM Plex Sans" w:hAnsi="IBM Plex Sans" w:cs="IBM Plex Sans"/>
          <w:b/>
          <w:color w:val="1F3A5F"/>
          <w:sz w:val="18"/>
        </w:rPr>
        <w:t xml:space="preserve">PARTE I</w:t>
      </w:r>
    </w:p>
    <w:p>
      <w:pPr>
        <w:spacing w:after="80" w:line="240" w:lineRule="auto"/>
      </w:pPr>
      <w:r>
        <w:rPr>
          <w:rFonts w:ascii="IBM Plex Sans" w:hAnsi="IBM Plex Sans" w:cs="IBM Plex Sans"/>
          <w:color w:val="1F3A5F"/>
          <w:sz w:val="220"/>
        </w:rPr>
        <w:t>I</w:t>
      </w:r>
    </w:p>
    <w:p>
      <w:pPr>
        <w:spacing w:after="60" w:line="240" w:lineRule="auto"/>
      </w:pPr>
      <w:r>
        <w:rPr>
          <w:rFonts w:ascii="Newsreader" w:hAnsi="Newsreader" w:cs="Newsreader"/>
          <w:color w:val="161412"/>
          <w:sz w:val="72"/>
        </w:rPr>
        <w:t>Fundamentos</w:t>
      </w:r>
    </w:p>
    <w:p>
      <w:pPr>
        <w:spacing w:after="200"/>
      </w:pPr>
      <w:r>
        <w:rPr>
          <w:rFonts w:ascii="Newsreader" w:hAnsi="Newsreader" w:cs="Newsreader"/>
          <w:i/>
          <w:color w:val="6A635A"/>
          <w:sz w:val="30"/>
        </w:rPr>
        <w:t>Foundations</w:t>
      </w:r>
    </w:p>
    <w:p>
      <w:pPr>
        <w:spacing w:after="120" w:line="320" w:lineRule="auto"/>
      </w:pPr>
      <w:r>
        <w:rPr>
          <w:rFonts w:ascii="Newsreader" w:hAnsi="Newsreader" w:cs="Newsreader"/>
          <w:color w:val="161412"/>
          <w:sz w:val="26"/>
        </w:rPr>
        <w:t>Qué es una interfaz cuando se mira desde lo que ocurre en ella; qué es un evento; por qué hace falta una gramática; y qué son las interacciones semánticas, las familias y los intents.</w:t>
      </w:r>
    </w:p>
    <w:p>
      <w:r>
        <w:br w:type="page"/>
      </w:r>
    </w:p>
    <w:p>
      <w:pPr>
        <w:spacing w:after="40"/>
      </w:pPr>
      <w:r>
        <w:rPr>
          <w:rFonts w:ascii="IBM Plex Sans" w:hAnsi="IBM Plex Sans" w:cs="IBM Plex Sans"/>
          <w:b/>
          <w:color w:val="1F3A5F"/>
          <w:sz w:val="18"/>
        </w:rPr>
        <w:t>CAPÍTULO 1</w:t>
      </w:r>
    </w:p>
    <w:p>
      <w:pPr>
        <w:spacing w:after="80" w:line="240" w:lineRule="auto"/>
      </w:pPr>
      <w:r>
        <w:rPr>
          <w:rFonts w:ascii="IBM Plex Sans" w:hAnsi="IBM Plex Sans" w:cs="IBM Plex Sans"/>
          <w:color w:val="161412"/>
          <w:sz w:val="220"/>
        </w:rPr>
        <w:t>01</w:t>
      </w:r>
    </w:p>
    <w:p>
      <w:pPr>
        <w:spacing w:after="60" w:line="240" w:lineRule="auto"/>
      </w:pPr>
      <w:r>
        <w:rPr>
          <w:rFonts w:ascii="Newsreader" w:hAnsi="Newsreader" w:cs="Newsreader"/>
          <w:color w:val="161412"/>
          <w:sz w:val="60"/>
        </w:rPr>
        <w:t>Qué entendemos por interfaz</w:t>
      </w:r>
    </w:p>
    <w:p>
      <w:pPr>
        <w:spacing w:after="280"/>
      </w:pPr>
      <w:r>
        <w:rPr>
          <w:rFonts w:ascii="IBM Plex Sans" w:hAnsi="IBM Plex Sans" w:cs="IBM Plex Sans"/>
          <w:color w:val="6A635A"/>
          <w:sz w:val="26"/>
        </w:rPr>
        <w:t>Hacia una definición operativa de la interfaz</w:t>
      </w:r>
    </w:p>
    <w:p>
      <w:pPr>
        <w:pBdr>
          <w:bottom w:val="single" w:sz="4" w:space="4" w:color="1F3A5F"/>
        </w:pBdr>
      </w:pP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¿Qué es exactamente una interfaz cuando dejamos de mirarla como una superficie y empezamos a mirarla desde lo que ocurre en ella?</w:t>
      </w:r>
    </w:p>
    <w:p>
      <w:pPr>
        <w:spacing w:after="120" w:line="320" w:lineRule="auto"/>
        <w:jc w:val="both"/>
      </w:pPr>
      <w:r>
        <w:rPr>
          <w:rFonts w:ascii="Newsreader" w:hAnsi="Newsreader" w:cs="Newsreader"/>
          <w:b w:val="0"/>
          <w:i w:val="0"/>
          <w:color w:val="161412"/>
        </w:rPr>
        <w:t>La palabra interfaz parece clara hasta que uno intenta definirla con precisión.</w:t>
      </w:r>
    </w:p>
    <w:p>
      <w:pPr>
        <w:spacing w:after="120" w:line="320" w:lineRule="auto"/>
        <w:jc w:val="both"/>
      </w:pPr>
      <w:r>
        <w:rPr>
          <w:rFonts w:ascii="Newsreader" w:hAnsi="Newsreader" w:cs="Newsreader"/>
          <w:b w:val="0"/>
          <w:i w:val="0"/>
          <w:color w:val="161412"/>
        </w:rPr>
        <w:t>En el trabajo cotidiano solemos usarla sin demasiadas dudas. Decimos que una interfaz tiene botones, menús, formularios, diálogos, listas, pestañas, estados de carga, mensajes de error y acciones disponibles. Decimos que una interfaz es clara, confusa, pesada, fluida, accesible, elegante o difícil de usar.</w:t>
      </w:r>
    </w:p>
    <w:p>
      <w:pPr>
        <w:spacing w:after="120" w:line="320" w:lineRule="auto"/>
        <w:jc w:val="both"/>
      </w:pPr>
      <w:r>
        <w:rPr>
          <w:rFonts w:ascii="Newsreader" w:hAnsi="Newsreader" w:cs="Newsreader"/>
          <w:b w:val="0"/>
          <w:i w:val="0"/>
          <w:color w:val="161412"/>
        </w:rPr>
        <w:t>La palabra sirve para muchas cosas. Quizá por eso también oculta algunas.</w:t>
      </w:r>
    </w:p>
    <w:p>
      <w:pPr>
        <w:spacing w:after="120" w:line="320" w:lineRule="auto"/>
        <w:jc w:val="both"/>
      </w:pPr>
      <w:r>
        <w:rPr>
          <w:rFonts w:ascii="Newsreader" w:hAnsi="Newsreader" w:cs="Newsreader"/>
          <w:b w:val="0"/>
          <w:i w:val="0"/>
          <w:color w:val="161412"/>
        </w:rPr>
        <w:t xml:space="preserve">Conviene, antes de seguir, escuchar a la propia palabra. </w:t>
      </w:r>
      <w:r>
        <w:rPr>
          <w:rFonts w:ascii="Newsreader" w:hAnsi="Newsreader" w:cs="Newsreader"/>
          <w:b w:val="0"/>
          <w:i/>
          <w:color w:val="161412"/>
        </w:rPr>
        <w:t xml:space="preserve">Interfaz</w:t>
      </w:r>
      <w:r>
        <w:rPr>
          <w:rFonts w:ascii="Newsreader" w:hAnsi="Newsreader" w:cs="Newsreader"/>
          <w:b w:val="0"/>
          <w:i w:val="0"/>
          <w:color w:val="161412"/>
        </w:rPr>
        <w:t xml:space="preserve"> llegó al español desde el inglés, pero sus piezas son latinas: </w:t>
      </w:r>
      <w:r>
        <w:rPr>
          <w:rFonts w:ascii="Newsreader" w:hAnsi="Newsreader" w:cs="Newsreader"/>
          <w:b w:val="0"/>
          <w:i/>
          <w:color w:val="161412"/>
        </w:rPr>
        <w:t xml:space="preserve">inter</w:t>
      </w:r>
      <w:r>
        <w:rPr>
          <w:rFonts w:ascii="Newsreader" w:hAnsi="Newsreader" w:cs="Newsreader"/>
          <w:b w:val="0"/>
          <w:i w:val="0"/>
          <w:color w:val="161412"/>
        </w:rPr>
        <w:t xml:space="preserve">, «entre», y </w:t>
      </w:r>
      <w:r>
        <w:rPr>
          <w:rFonts w:ascii="Newsreader" w:hAnsi="Newsreader" w:cs="Newsreader"/>
          <w:b w:val="0"/>
          <w:i/>
          <w:color w:val="161412"/>
        </w:rPr>
        <w:t xml:space="preserve">facies</w:t>
      </w:r>
      <w:r>
        <w:rPr>
          <w:rFonts w:ascii="Newsreader" w:hAnsi="Newsreader" w:cs="Newsreader"/>
          <w:b w:val="0"/>
          <w:i w:val="0"/>
          <w:color w:val="161412"/>
        </w:rPr>
        <w:t xml:space="preserve">, «cara» — la forma con la que algo se presenta. Literalmente: lo que hay entre dos caras. La palabra no nombra una cosa, sino un encuentro: el lugar donde dos entidades se dan la cara y, con ella, su lado perceptible.</w:t>
      </w:r>
    </w:p>
    <w:p>
      <w:pPr>
        <w:spacing w:after="120" w:line="320" w:lineRule="auto"/>
        <w:jc w:val="both"/>
      </w:pPr>
      <w:r>
        <w:rPr>
          <w:rFonts w:ascii="Newsreader" w:hAnsi="Newsreader" w:cs="Newsreader"/>
          <w:b w:val="0"/>
          <w:i w:val="0"/>
          <w:color w:val="161412"/>
        </w:rPr>
        <w:t xml:space="preserve">Su primera casa fue la física del siglo XIX. Allí </w:t>
      </w:r>
      <w:r>
        <w:rPr>
          <w:rFonts w:ascii="Newsreader" w:hAnsi="Newsreader" w:cs="Newsreader"/>
          <w:b w:val="0"/>
          <w:i/>
          <w:color w:val="161412"/>
        </w:rPr>
        <w:t xml:space="preserve">interface</w:t>
      </w:r>
      <w:r>
        <w:rPr>
          <w:rFonts w:ascii="Newsreader" w:hAnsi="Newsreader" w:cs="Newsreader"/>
          <w:b w:val="0"/>
          <w:i w:val="0"/>
          <w:color w:val="161412"/>
        </w:rPr>
        <w:t xml:space="preserve"> nombraba la superficie de contacto entre dos medios — el agua y el aire, el aceite y el agua, dos fases de la misma materia—. Y ya entonces era todo menos una superficie pasiva: en la interfaz vive la tensión superficial; en la interfaz ocurren el intercambio y la reacción. Los dos medios pueden ser inertes; su frontera es el lugar donde pasan cosas.</w:t>
      </w:r>
    </w:p>
    <w:p>
      <w:pPr>
        <w:spacing w:after="120" w:line="320" w:lineRule="auto"/>
        <w:jc w:val="both"/>
      </w:pPr>
      <w:r>
        <w:rPr>
          <w:rFonts w:ascii="Newsreader" w:hAnsi="Newsreader" w:cs="Newsreader"/>
          <w:b w:val="0"/>
          <w:i w:val="0"/>
          <w:color w:val="161412"/>
        </w:rPr>
        <w:t xml:space="preserve">La ingeniería del siglo XX tomó prestada la palabra para los puntos de conexión entre sistemas, y la informática la heredó de ahí. Primero entre máquinas, luego entre programas, y al final entre el sistema y la persona. En ese último viaje la palabra se aplanó. «Interfaz de usuario» acabó significando, en la práctica, la pantalla: lo que se ve, lo que se dibuja, lo que se maqueta. La superficie.</w:t>
      </w:r>
    </w:p>
    <w:p>
      <w:pPr>
        <w:spacing w:after="120" w:line="320" w:lineRule="auto"/>
        <w:jc w:val="both"/>
      </w:pPr>
      <w:r>
        <w:rPr>
          <w:rFonts w:ascii="Newsreader" w:hAnsi="Newsreader" w:cs="Newsreader"/>
          <w:b w:val="0"/>
          <w:i w:val="0"/>
          <w:color w:val="161412"/>
        </w:rPr>
        <w:t xml:space="preserve">La etimología, así leída, no es una curiosidad: es un aviso. La palabra nació nombrando la frontera activa entre dos medios — el lugar definido por lo que ocurre en él—, y este capítulo va a intentar devolvérsela.</w:t>
      </w:r>
    </w:p>
    <w:p>
      <w:pPr>
        <w:spacing w:after="120" w:line="320" w:lineRule="auto"/>
        <w:jc w:val="both"/>
      </w:pPr>
      <w:r>
        <w:rPr>
          <w:rFonts w:ascii="Newsreader" w:hAnsi="Newsreader" w:cs="Newsreader"/>
          <w:b w:val="0"/>
          <w:i w:val="0"/>
          <w:color w:val="161412"/>
        </w:rPr>
        <w:t>Durante mucho tiempo, la definición más práctica ha sido suficiente: una interfaz es el punto de contacto entre una persona y un sistema. Es la superficie mediante la cual el sistema se vuelve visible, interpretable y manipulable.</w:t>
      </w:r>
    </w:p>
    <w:p>
      <w:pPr>
        <w:spacing w:after="120" w:line="320" w:lineRule="auto"/>
        <w:jc w:val="both"/>
      </w:pPr>
      <w:r>
        <w:rPr>
          <w:rFonts w:ascii="Newsreader" w:hAnsi="Newsreader" w:cs="Newsreader"/>
          <w:b w:val="0"/>
          <w:i w:val="0"/>
          <w:color w:val="161412"/>
        </w:rPr>
        <w:t>Esa definición ha sido útil. Todavía lo es. Gracias a ella hemos aprendido a construir pantallas legibles, jerarquías visuales, patrones de navegación, controles reutilizables y guías de estilo.</w:t>
      </w:r>
    </w:p>
    <w:p>
      <w:pPr>
        <w:spacing w:after="120" w:line="320" w:lineRule="auto"/>
        <w:jc w:val="both"/>
      </w:pPr>
      <w:r>
        <w:rPr>
          <w:rFonts w:ascii="Newsreader" w:hAnsi="Newsreader" w:cs="Newsreader"/>
          <w:b w:val="0"/>
          <w:i w:val="0"/>
          <w:color w:val="161412"/>
        </w:rPr>
        <w:t>El problema no es que esa definición sea falsa. El problema es que empieza a quedarse corta.</w:t>
      </w:r>
    </w:p>
    <w:p>
      <w:pPr>
        <w:spacing w:after="120" w:line="320" w:lineRule="auto"/>
        <w:jc w:val="both"/>
      </w:pPr>
      <w:r>
        <w:rPr>
          <w:rFonts w:ascii="Newsreader" w:hAnsi="Newsreader" w:cs="Newsreader"/>
          <w:b w:val="0"/>
          <w:i w:val="0"/>
          <w:color w:val="161412"/>
        </w:rPr>
        <w:t>Porque cuando una persona usa una interfaz, no se relaciona únicamente con una superficie. También percibe respuestas, cambios, interrupciones, confirmaciones, esperas, apariciones, pérdidas, errores, desplazamientos, manipulaciones y consecuencias.</w:t>
      </w:r>
    </w:p>
    <w:p>
      <w:pPr>
        <w:spacing w:after="120" w:line="320" w:lineRule="auto"/>
        <w:jc w:val="both"/>
      </w:pPr>
      <w:r>
        <w:rPr>
          <w:rFonts w:ascii="Newsreader" w:hAnsi="Newsreader" w:cs="Newsreader"/>
          <w:b w:val="0"/>
          <w:i w:val="0"/>
          <w:color w:val="161412"/>
        </w:rPr>
        <w:t xml:space="preserve">Una interfaz no es solo aquello que está ahí. Es también el lugar donde ocurren cosas.</w:t>
      </w:r>
    </w:p>
    <w:p>
      <w:pPr>
        <w:spacing w:after="120" w:line="320" w:lineRule="auto"/>
        <w:jc w:val="both"/>
      </w:pPr>
      <w:r>
        <w:rPr>
          <w:rFonts w:ascii="Newsreader" w:hAnsi="Newsreader" w:cs="Newsreader"/>
          <w:b w:val="0"/>
          <w:i w:val="0"/>
          <w:color w:val="161412"/>
        </w:rPr>
        <w:t>Si la interfaz se entiende solo como superficie, el componente tiende a convertirse en la unidad principal de análisis. Pero si la interfaz se entiende también como lugar donde ocurren transformaciones, aparece otra pregunta:</w:t>
      </w:r>
    </w:p>
    <w:p>
      <w:pPr>
        <w:spacing w:after="120" w:line="320" w:lineRule="auto"/>
        <w:jc w:val="both"/>
      </w:pPr>
      <w:r>
        <w:rPr>
          <w:rFonts w:ascii="Newsreader" w:hAnsi="Newsreader" w:cs="Newsreader"/>
          <w:b w:val="0"/>
          <w:i w:val="0"/>
          <w:color w:val="161412"/>
        </w:rPr>
        <w:t>¿Qué clase de evento está percibiendo el usuario?</w:t>
      </w:r>
    </w:p>
    <w:p>
      <w:pPr>
        <w:spacing w:before="320" w:after="40"/>
      </w:pPr>
      <w:r>
        <w:rPr>
          <w:rFonts w:ascii="IBM Plex Sans" w:hAnsi="IBM Plex Sans" w:cs="IBM Plex Sans"/>
          <w:b/>
          <w:color w:val="1F3A5F"/>
          <w:sz w:val="18"/>
        </w:rPr>
        <w:t>§ 1</w:t>
      </w:r>
    </w:p>
    <w:p>
      <w:pPr>
        <w:spacing w:after="160" w:line="240" w:lineRule="auto"/>
      </w:pPr>
      <w:r>
        <w:rPr>
          <w:rFonts w:ascii="Newsreader" w:hAnsi="Newsreader" w:cs="Newsreader"/>
          <w:color w:val="161412"/>
          <w:sz w:val="38"/>
        </w:rPr>
        <w:t>La interfaz como superficie</w:t>
      </w:r>
    </w:p>
    <w:p>
      <w:pPr>
        <w:spacing w:after="120" w:line="320" w:lineRule="auto"/>
        <w:jc w:val="both"/>
      </w:pPr>
      <w:r>
        <w:rPr>
          <w:rFonts w:ascii="Newsreader" w:hAnsi="Newsreader" w:cs="Newsreader"/>
          <w:b w:val="0"/>
          <w:i w:val="0"/>
          <w:color w:val="161412"/>
        </w:rPr>
        <w:t>La concepción clásica de interfaz nace de una necesidad concreta: hacer que un sistema pueda ser usado. Un sistema informático, por sí mismo, no se ofrece directamente a la percepción humana. Sus operaciones internas no son visibles. Sus estados no se presentan espontáneamente como posibilidades comprensibles.</w:t>
      </w:r>
    </w:p>
    <w:p>
      <w:pPr>
        <w:spacing w:after="120" w:line="320" w:lineRule="auto"/>
        <w:jc w:val="both"/>
      </w:pPr>
      <w:r>
        <w:rPr>
          <w:rFonts w:ascii="Newsreader" w:hAnsi="Newsreader" w:cs="Newsreader"/>
          <w:b w:val="0"/>
          <w:i w:val="0"/>
          <w:color w:val="161412"/>
        </w:rPr>
        <w:t>La interfaz aparece para mediar esa distancia. Convierte estructuras internas en formas perceptibles. Traduce posibilidades abstractas en controles. Presenta estados. Organiza caminos de acción.</w:t>
      </w:r>
    </w:p>
    <w:p>
      <w:pPr>
        <w:spacing w:after="120" w:line="320" w:lineRule="auto"/>
        <w:jc w:val="both"/>
      </w:pPr>
      <w:r>
        <w:rPr>
          <w:rFonts w:ascii="Newsreader" w:hAnsi="Newsreader" w:cs="Newsreader"/>
          <w:b w:val="0"/>
          <w:i w:val="0"/>
          <w:color w:val="161412"/>
        </w:rPr>
        <w:t>Desde este punto de vista, la interfaz es una superficie de traducción. No una superficie en el sentido pobre de «lo visual», sino en el sentido de una zona de contacto: el lugar donde dos realidades distintas se encuentran.</w:t>
      </w:r>
    </w:p>
    <w:p>
      <w:pPr>
        <w:spacing w:after="120" w:line="320" w:lineRule="auto"/>
        <w:jc w:val="both"/>
      </w:pPr>
      <w:r>
        <w:rPr>
          <w:rFonts w:ascii="Newsreader" w:hAnsi="Newsreader" w:cs="Newsreader"/>
          <w:b w:val="0"/>
          <w:i w:val="0"/>
          <w:color w:val="161412"/>
        </w:rPr>
        <w:t>Esta tradición ha producido herramientas indispensables: jerarquía visual, contraste, espaciado, agrupación, estados de componente, affordances, patrones de navegación, consistencia, accesibilidad, sistemas de diseño y componentes reutilizables.</w:t>
      </w:r>
    </w:p>
    <w:p>
      <w:pPr>
        <w:spacing w:after="120" w:line="320" w:lineRule="auto"/>
        <w:jc w:val="both"/>
      </w:pPr>
      <w:r>
        <w:rPr>
          <w:rFonts w:ascii="Newsreader" w:hAnsi="Newsreader" w:cs="Newsreader"/>
          <w:b w:val="0"/>
          <w:i w:val="0"/>
          <w:color w:val="161412"/>
        </w:rPr>
        <w:t>Nada de eso queda invalidado por la propuesta de este libro. Una gramática de eventos necesita apoyarse en esa base.</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La gramática de eventos no sustituye a la gramática visual; la prolonga.</w:t>
      </w:r>
    </w:p>
    <w:p>
      <w:pPr>
        <w:spacing w:after="120" w:line="320" w:lineRule="auto"/>
        <w:jc w:val="both"/>
      </w:pPr>
      <w:r>
        <w:rPr>
          <w:rFonts w:ascii="Newsreader" w:hAnsi="Newsreader" w:cs="Newsreader"/>
          <w:b w:val="0"/>
          <w:i w:val="0"/>
          <w:color w:val="161412"/>
        </w:rPr>
        <w:t>Pero la superficie, por sí sola, no basta. Porque la experiencia de uso no está hecha solo de elementos dispuestos en el espacio. Está hecha de elementos que cambian, responden, aparecen, desaparecen, se desplazan, se fijan, se bloquean o se transforman.</w:t>
      </w:r>
    </w:p>
    <w:p>
      <w:pPr>
        <w:spacing w:after="120" w:line="320" w:lineRule="auto"/>
        <w:jc w:val="both"/>
      </w:pPr>
      <w:r>
        <w:rPr>
          <w:rFonts w:ascii="Newsreader" w:hAnsi="Newsreader" w:cs="Newsreader"/>
          <w:b w:val="0"/>
          <w:i w:val="0"/>
          <w:color w:val="161412"/>
        </w:rPr>
        <w:t xml:space="preserve">La interfaz no es una imagen estática. Es un contexto dinámico en constante evolución, alimentado por la interacción del usuario y por el sistema.</w:t>
      </w:r>
    </w:p>
    <w:p>
      <w:pPr>
        <w:spacing w:before="320" w:after="40"/>
      </w:pPr>
      <w:r>
        <w:rPr>
          <w:rFonts w:ascii="IBM Plex Sans" w:hAnsi="IBM Plex Sans" w:cs="IBM Plex Sans"/>
          <w:b/>
          <w:color w:val="1F3A5F"/>
          <w:sz w:val="18"/>
        </w:rPr>
        <w:t>§ 2</w:t>
      </w:r>
    </w:p>
    <w:p>
      <w:pPr>
        <w:spacing w:after="160" w:line="240" w:lineRule="auto"/>
      </w:pPr>
      <w:r>
        <w:rPr>
          <w:rFonts w:ascii="Newsreader" w:hAnsi="Newsreader" w:cs="Newsreader"/>
          <w:color w:val="161412"/>
          <w:sz w:val="38"/>
        </w:rPr>
        <w:t>El límite de la superficie</w:t>
      </w:r>
    </w:p>
    <w:p>
      <w:pPr>
        <w:spacing w:after="120" w:line="320" w:lineRule="auto"/>
        <w:jc w:val="both"/>
      </w:pPr>
      <w:r>
        <w:rPr>
          <w:rFonts w:ascii="Newsreader" w:hAnsi="Newsreader" w:cs="Newsreader"/>
          <w:b w:val="0"/>
          <w:i w:val="0"/>
          <w:color w:val="161412"/>
        </w:rPr>
        <w:t>Pensemos en algo sencillo: un usuario pulsa un botón para guardar cambios. Desde la implementación pueden ocurrir muchas cosas: se dispara un evento click, el botón entra en estado active, aparece un spinner, se envía una petición, se deshabilita el control, llega una respuesta, se muestra una confirmación, cambia un estado interno, quizá aparece un toast.</w:t>
      </w:r>
    </w:p>
    <w:p>
      <w:pPr>
        <w:spacing w:after="120" w:line="320" w:lineRule="auto"/>
        <w:jc w:val="both"/>
      </w:pPr>
      <w:r>
        <w:rPr>
          <w:rFonts w:ascii="Newsreader" w:hAnsi="Newsreader" w:cs="Newsreader"/>
          <w:b w:val="0"/>
          <w:i w:val="0"/>
          <w:color w:val="161412"/>
        </w:rPr>
        <w:t>Técnicamente son muchas operaciones. Para el usuario, sin embargo, hay una secuencia más compacta: he actuado; el sistema me ha sentido; algo está ocurriendo; el resultado ha quedado confirmado.</w:t>
      </w:r>
    </w:p>
    <w:p>
      <w:pPr>
        <w:spacing w:before="200" w:after="60"/>
        <w:jc w:val="center"/>
      </w:pPr>
      <w:r>
        <w:drawing>
          <wp:inline xmlns:a="http://schemas.openxmlformats.org/drawingml/2006/main" xmlns:pic="http://schemas.openxmlformats.org/drawingml/2006/picture">
            <wp:extent cx="5029200" cy="3004947"/>
            <wp:docPr id="1" name="Picture 1"/>
            <wp:cNvGraphicFramePr>
              <a:graphicFrameLocks noChangeAspect="1"/>
            </wp:cNvGraphicFramePr>
            <a:graphic>
              <a:graphicData uri="http://schemas.openxmlformats.org/drawingml/2006/picture">
                <pic:pic>
                  <pic:nvPicPr>
                    <pic:cNvPr id="0" name="figura-1-1.png"/>
                    <pic:cNvPicPr/>
                  </pic:nvPicPr>
                  <pic:blipFill>
                    <a:blip r:embed="rId9"/>
                    <a:stretch>
                      <a:fillRect/>
                    </a:stretch>
                  </pic:blipFill>
                  <pic:spPr>
                    <a:xfrm>
                      <a:off x="0" y="0"/>
                      <a:ext cx="5029200" cy="3004947"/>
                    </a:xfrm>
                    <a:prstGeom prst="rect"/>
                  </pic:spPr>
                </pic:pic>
              </a:graphicData>
            </a:graphic>
          </wp:inline>
        </w:drawing>
      </w:r>
    </w:p>
    <w:p>
      <w:pPr>
        <w:spacing w:after="120" w:line="320" w:lineRule="auto"/>
        <w:jc w:val="both"/>
      </w:pPr>
      <w:r>
        <w:rPr>
          <w:rFonts w:ascii="Newsreader" w:hAnsi="Newsreader" w:cs="Newsreader"/>
          <w:b w:val="0"/>
          <w:i w:val="0"/>
          <w:color w:val="161412"/>
        </w:rPr>
        <w:t xml:space="preserve">La experiencia no se organiza según las piezas con las que construimos — componentes, estados, peticiones, estilos—. Se organiza en unidades de significado.</w:t>
      </w:r>
    </w:p>
    <w:p>
      <w:pPr>
        <w:spacing w:after="120" w:line="320" w:lineRule="auto"/>
        <w:jc w:val="both"/>
      </w:pPr>
      <w:r>
        <w:rPr>
          <w:rFonts w:ascii="Newsreader" w:hAnsi="Newsreader" w:cs="Newsreader"/>
          <w:b w:val="0"/>
          <w:i w:val="0"/>
          <w:color w:val="161412"/>
        </w:rPr>
        <w:t>Lo mismo sucede con un diálogo modal. Desde la superficie, es una capa que aparece sobre otra. Pero desde la experiencia, puede significar cosas muy distintas: una confirmación ligera, una interrupción crítica, un cambio temporal de foco, una elección irreversible.</w:t>
      </w:r>
    </w:p>
    <w:p>
      <w:pPr>
        <w:spacing w:after="120" w:line="320" w:lineRule="auto"/>
        <w:jc w:val="both"/>
      </w:pPr>
      <w:r>
        <w:rPr>
          <w:rFonts w:ascii="Newsreader" w:hAnsi="Newsreader" w:cs="Newsreader"/>
          <w:b w:val="0"/>
          <w:i w:val="0"/>
          <w:color w:val="161412"/>
        </w:rPr>
        <w:t>La interfaz no solo representa estados; también organiza transformaciones.</w:t>
      </w:r>
    </w:p>
    <w:p>
      <w:pPr>
        <w:spacing w:before="320" w:after="40"/>
      </w:pPr>
      <w:r>
        <w:rPr>
          <w:rFonts w:ascii="IBM Plex Sans" w:hAnsi="IBM Plex Sans" w:cs="IBM Plex Sans"/>
          <w:b/>
          <w:color w:val="1F3A5F"/>
          <w:sz w:val="18"/>
        </w:rPr>
        <w:t>§ 3</w:t>
      </w:r>
    </w:p>
    <w:p>
      <w:pPr>
        <w:spacing w:after="160" w:line="240" w:lineRule="auto"/>
      </w:pPr>
      <w:r>
        <w:rPr>
          <w:rFonts w:ascii="Newsreader" w:hAnsi="Newsreader" w:cs="Newsreader"/>
          <w:color w:val="161412"/>
          <w:sz w:val="38"/>
        </w:rPr>
        <w:t>Del objeto al cambio</w:t>
      </w:r>
    </w:p>
    <w:p>
      <w:pPr>
        <w:spacing w:after="120" w:line="320" w:lineRule="auto"/>
        <w:jc w:val="both"/>
      </w:pPr>
      <w:r>
        <w:rPr>
          <w:rFonts w:ascii="Newsreader" w:hAnsi="Newsreader" w:cs="Newsreader"/>
          <w:b w:val="0"/>
          <w:i w:val="0"/>
          <w:color w:val="161412"/>
        </w:rPr>
        <w:t>El diseño de interfaces ha desarrollado una cultura poderosa alrededor del objeto. Definimos botones, inputs, selects, cards, dialogs, menus, tooltips, accordions, tabs. Cada componente tiene una anatomía, unas variantes, unos estados y unas reglas de uso.</w:t>
      </w:r>
    </w:p>
    <w:p>
      <w:pPr>
        <w:spacing w:after="120" w:line="320" w:lineRule="auto"/>
        <w:jc w:val="both"/>
      </w:pPr>
      <w:r>
        <w:rPr>
          <w:rFonts w:ascii="Newsreader" w:hAnsi="Newsreader" w:cs="Newsreader"/>
          <w:b w:val="0"/>
          <w:i w:val="0"/>
          <w:color w:val="161412"/>
        </w:rPr>
        <w:t>Ese enfoque ha sido enormemente productivo. Pero el objeto no siempre es la unidad que el usuario necesita comprender. Un botón no es significativo solo por ser botón. Lo es por lo que permite hacer y por lo que ocurre cuando se actúa sobre él.</w:t>
      </w:r>
    </w:p>
    <w:p>
      <w:pPr>
        <w:spacing w:after="120" w:line="320" w:lineRule="auto"/>
        <w:jc w:val="both"/>
      </w:pPr>
      <w:r>
        <w:rPr>
          <w:rFonts w:ascii="Newsreader" w:hAnsi="Newsreader" w:cs="Newsreader"/>
          <w:b w:val="0"/>
          <w:i w:val="0"/>
          <w:color w:val="161412"/>
        </w:rPr>
        <w:t>Por eso, para una gramática semántica de la interfaz, el centro debe desplazarse: del componente al evento, de la forma al cambio, del estado aislado a la transformación, de la propiedad visual al significado perceptivo.</w:t>
      </w:r>
    </w:p>
    <w:p>
      <w:pPr>
        <w:spacing w:after="120" w:line="320" w:lineRule="auto"/>
        <w:jc w:val="both"/>
      </w:pPr>
      <w:r>
        <w:rPr>
          <w:rFonts w:ascii="Newsreader" w:hAnsi="Newsreader" w:cs="Newsreader"/>
          <w:b/>
          <w:i w:val="0"/>
          <w:color w:val="161412"/>
        </w:rPr>
        <w:t>Distinción clave</w:t>
      </w:r>
    </w:p>
    <w:p>
      <w:pPr>
        <w:spacing w:after="120" w:line="320" w:lineRule="auto"/>
        <w:jc w:val="both"/>
      </w:pPr>
      <w:r>
        <w:rPr>
          <w:rFonts w:ascii="Newsreader" w:hAnsi="Newsreader" w:cs="Newsreader"/>
          <w:b w:val="0"/>
          <w:i w:val="0"/>
          <w:color w:val="161412"/>
        </w:rPr>
        <w:t>Un componente es una entidad de diseño. Un evento es una unidad de experiencia.</w:t>
      </w:r>
    </w:p>
    <w:p>
      <w:pPr>
        <w:spacing w:after="120" w:line="320" w:lineRule="auto"/>
        <w:jc w:val="both"/>
      </w:pPr>
      <w:r>
        <w:rPr>
          <w:rFonts w:ascii="Newsreader" w:hAnsi="Newsreader" w:cs="Newsreader"/>
          <w:b w:val="0"/>
          <w:i w:val="0"/>
          <w:color w:val="161412"/>
        </w:rPr>
        <w:t xml:space="preserve">A partir de ahí aparece una segunda idea: una interfaz no es solo una superficie visible, sino la dimensión perceptible de un contexto operativo. Cuando usamos una interfaz, no estamos mirando figuras flotando en una pantalla. Estamos en medio de algo. Queremos hacer algo, corregir algo, elegir algo, esperar algo, confirmar algo. Hay objetivos, estados, restricciones, riesgos, expectativas y consecuencias. La interfaz es la parte de todo ese contexto que podemos percibir.</w:t>
      </w:r>
    </w:p>
    <w:p>
      <w:pPr>
        <w:spacing w:before="320" w:after="40"/>
      </w:pPr>
      <w:r>
        <w:rPr>
          <w:rFonts w:ascii="IBM Plex Sans" w:hAnsi="IBM Plex Sans" w:cs="IBM Plex Sans"/>
          <w:b/>
          <w:color w:val="1F3A5F"/>
          <w:sz w:val="18"/>
        </w:rPr>
        <w:t>§ 4</w:t>
      </w:r>
    </w:p>
    <w:p>
      <w:pPr>
        <w:spacing w:after="160" w:line="240" w:lineRule="auto"/>
      </w:pPr>
      <w:r>
        <w:rPr>
          <w:rFonts w:ascii="Newsreader" w:hAnsi="Newsreader" w:cs="Newsreader"/>
          <w:color w:val="161412"/>
          <w:sz w:val="38"/>
        </w:rPr>
        <w:t>Qué llamamos contexto operativo</w:t>
      </w:r>
    </w:p>
    <w:p>
      <w:pPr>
        <w:spacing w:after="120" w:line="320" w:lineRule="auto"/>
        <w:jc w:val="both"/>
      </w:pPr>
      <w:r>
        <w:rPr>
          <w:rFonts w:ascii="Newsreader" w:hAnsi="Newsreader" w:cs="Newsreader"/>
          <w:b w:val="0"/>
          <w:i w:val="0"/>
          <w:color w:val="161412"/>
        </w:rPr>
        <w:t xml:space="preserve">Un contexto operativo es el conjunto dinámico de condiciones que hacen que una acción signifique algo. No es solo la pantalla. No es solo el estado interno del sistema.</w:t>
      </w:r>
    </w:p>
    <w:p>
      <w:pPr>
        <w:spacing w:before="200" w:after="60"/>
        <w:jc w:val="center"/>
      </w:pPr>
      <w:r>
        <w:drawing>
          <wp:inline xmlns:a="http://schemas.openxmlformats.org/drawingml/2006/main" xmlns:pic="http://schemas.openxmlformats.org/drawingml/2006/picture">
            <wp:extent cx="5029200" cy="3281553"/>
            <wp:docPr id="2" name="Picture 2"/>
            <wp:cNvGraphicFramePr>
              <a:graphicFrameLocks noChangeAspect="1"/>
            </wp:cNvGraphicFramePr>
            <a:graphic>
              <a:graphicData uri="http://schemas.openxmlformats.org/drawingml/2006/picture">
                <pic:pic>
                  <pic:nvPicPr>
                    <pic:cNvPr id="0" name="figura-1-2.png"/>
                    <pic:cNvPicPr/>
                  </pic:nvPicPr>
                  <pic:blipFill>
                    <a:blip r:embed="rId10"/>
                    <a:stretch>
                      <a:fillRect/>
                    </a:stretch>
                  </pic:blipFill>
                  <pic:spPr>
                    <a:xfrm>
                      <a:off x="0" y="0"/>
                      <a:ext cx="5029200" cy="3281553"/>
                    </a:xfrm>
                    <a:prstGeom prst="rect"/>
                  </pic:spPr>
                </pic:pic>
              </a:graphicData>
            </a:graphic>
          </wp:inline>
        </w:drawing>
      </w:r>
    </w:p>
    <w:p>
      <w:pPr>
        <w:spacing w:after="120" w:line="320" w:lineRule="auto"/>
        <w:jc w:val="both"/>
      </w:pPr>
      <w:r>
        <w:rPr>
          <w:rFonts w:ascii="Newsreader" w:hAnsi="Newsreader" w:cs="Newsreader"/>
          <w:b w:val="0"/>
          <w:i w:val="0"/>
          <w:color w:val="161412"/>
        </w:rPr>
        <w:t>Cuando un usuario pulsa «Eliminar», el contexto operativo no se reduce al botón rojo. Incluye qué se elimina, si hay deshacer, si la acción es irreversible, si el elemento tiene valor, si forma parte de una estructura más grande, si el usuario espera confirmación y si la pérdida debe comunicarse como amenaza, riesgo o hecho consumado.</w:t>
      </w:r>
    </w:p>
    <w:p>
      <w:pPr>
        <w:spacing w:after="120" w:line="320" w:lineRule="auto"/>
        <w:jc w:val="both"/>
      </w:pPr>
      <w:r>
        <w:rPr>
          <w:rFonts w:ascii="Newsreader" w:hAnsi="Newsreader" w:cs="Newsreader"/>
          <w:b w:val="0"/>
          <w:i w:val="0"/>
          <w:color w:val="161412"/>
        </w:rPr>
        <w:t xml:space="preserve">El contexto operativo no es una capa más del sistema. Es aquello que la interfaz hace perceptible.</w:t>
      </w:r>
    </w:p>
    <w:p>
      <w:pPr>
        <w:spacing w:before="320" w:after="40"/>
      </w:pPr>
      <w:r>
        <w:rPr>
          <w:rFonts w:ascii="IBM Plex Sans" w:hAnsi="IBM Plex Sans" w:cs="IBM Plex Sans"/>
          <w:b/>
          <w:color w:val="1F3A5F"/>
          <w:sz w:val="18"/>
        </w:rPr>
        <w:t>§ 5</w:t>
      </w:r>
    </w:p>
    <w:p>
      <w:pPr>
        <w:spacing w:after="160" w:line="240" w:lineRule="auto"/>
      </w:pPr>
      <w:r>
        <w:rPr>
          <w:rFonts w:ascii="Newsreader" w:hAnsi="Newsreader" w:cs="Newsreader"/>
          <w:color w:val="161412"/>
          <w:sz w:val="38"/>
        </w:rPr>
        <w:t>La interfaz como dimensión perceptible</w:t>
      </w:r>
    </w:p>
    <w:p>
      <w:pPr>
        <w:spacing w:after="120" w:line="320" w:lineRule="auto"/>
        <w:jc w:val="both"/>
      </w:pPr>
      <w:r>
        <w:rPr>
          <w:rFonts w:ascii="Newsreader" w:hAnsi="Newsreader" w:cs="Newsreader"/>
          <w:b w:val="0"/>
          <w:i w:val="0"/>
          <w:color w:val="161412"/>
        </w:rPr>
        <w:t xml:space="preserve">Si el contexto operativo es aquello en lo que estamos metidos, la interfaz es lo que nos permite percibirlo. No todo el contexto se vuelve perceptible de la misma manera. Algunas partes se expresan mediante texto. Otras mediante posición. Otras mediante color. Otras mediante movimiento. Otras mediante sonido. Otras mediante ausencia, bloqueo, espera o silencio.</w:t>
      </w:r>
    </w:p>
    <w:p>
      <w:pPr>
        <w:spacing w:after="120" w:line="320" w:lineRule="auto"/>
        <w:jc w:val="both"/>
      </w:pPr>
      <w:r>
        <w:rPr>
          <w:rFonts w:ascii="Newsreader" w:hAnsi="Newsreader" w:cs="Newsreader"/>
          <w:b w:val="0"/>
          <w:i w:val="0"/>
          <w:color w:val="161412"/>
        </w:rPr>
        <w:t>La interfaz no necesita contestar siempre con palabras. Parte de su trabajo consiste en distribuir respuestas entre señales perceptivas: posición, contraste, ritmo, continuidad, jerarquía espacial, tono, presencia, desaparición. Un campo que tiembla prepara la atención. Un botón que se comprime preserva la sensación de contacto. Un panel que aparece desde un origen hace visible una relación. Un objeto que se eleva al ser arrastrado hace sensible el cambio de régimen.</w:t>
      </w:r>
    </w:p>
    <w:p>
      <w:pPr>
        <w:spacing w:after="120" w:line="320" w:lineRule="auto"/>
        <w:jc w:val="both"/>
      </w:pPr>
      <w:r>
        <w:rPr>
          <w:rFonts w:ascii="Newsreader" w:hAnsi="Newsreader" w:cs="Newsreader"/>
          <w:b w:val="0"/>
          <w:i w:val="0"/>
          <w:color w:val="161412"/>
        </w:rPr>
        <w:t xml:space="preserve">Por eso conviene hablar de dimensión perceptible. La interfaz es la zona donde el sistema se pone al alcance de un cuerpo humano: visible, audible, táctil, temporalmente inteligible y accionable.</w:t>
      </w:r>
    </w:p>
    <w:p>
      <w:pPr>
        <w:spacing w:before="320" w:after="40"/>
      </w:pPr>
      <w:r>
        <w:rPr>
          <w:rFonts w:ascii="IBM Plex Sans" w:hAnsi="IBM Plex Sans" w:cs="IBM Plex Sans"/>
          <w:b/>
          <w:color w:val="1F3A5F"/>
          <w:sz w:val="18"/>
        </w:rPr>
        <w:t>§ 6</w:t>
      </w:r>
    </w:p>
    <w:p>
      <w:pPr>
        <w:spacing w:after="160" w:line="240" w:lineRule="auto"/>
      </w:pPr>
      <w:r>
        <w:rPr>
          <w:rFonts w:ascii="Newsreader" w:hAnsi="Newsreader" w:cs="Newsreader"/>
          <w:color w:val="161412"/>
          <w:sz w:val="38"/>
        </w:rPr>
        <w:t>La interfaz no es solo visual</w:t>
      </w:r>
    </w:p>
    <w:p>
      <w:pPr>
        <w:spacing w:after="120" w:line="320" w:lineRule="auto"/>
        <w:jc w:val="both"/>
      </w:pPr>
      <w:r>
        <w:rPr>
          <w:rFonts w:ascii="Newsreader" w:hAnsi="Newsreader" w:cs="Newsreader"/>
          <w:b w:val="0"/>
          <w:i w:val="0"/>
          <w:color w:val="161412"/>
        </w:rPr>
        <w:t>Uno de los supuestos más persistentes en el diseño de interfaces es que la interfaz es fundamentalmente visual. Este supuesto tiene razones históricas claras: la pantalla ha sido el medio dominante, las herramientas de diseño trabajan sobre superficies visuales, la web misma nació como documento visible.</w:t>
      </w:r>
    </w:p>
    <w:p>
      <w:pPr>
        <w:spacing w:after="120" w:line="320" w:lineRule="auto"/>
        <w:jc w:val="both"/>
      </w:pPr>
      <w:r>
        <w:rPr>
          <w:rFonts w:ascii="Newsreader" w:hAnsi="Newsreader" w:cs="Newsreader"/>
          <w:b w:val="0"/>
          <w:i w:val="0"/>
          <w:color w:val="161412"/>
        </w:rPr>
        <w:t>Pero incluso dentro de lo visual, conviene distinguir canales que suelen mezclarse. Un cambio de color no comunica lo mismo que un desplazamiento. Una sombra no comunica lo mismo que un borde. Una aparición no comunica lo mismo que una vibración de alerta.</w:t>
      </w:r>
    </w:p>
    <w:p>
      <w:pPr>
        <w:spacing w:before="200" w:after="60"/>
        <w:jc w:val="center"/>
      </w:pPr>
      <w:r>
        <w:drawing>
          <wp:inline xmlns:a="http://schemas.openxmlformats.org/drawingml/2006/main" xmlns:pic="http://schemas.openxmlformats.org/drawingml/2006/picture">
            <wp:extent cx="5029200" cy="3004947"/>
            <wp:docPr id="3" name="Picture 3"/>
            <wp:cNvGraphicFramePr>
              <a:graphicFrameLocks noChangeAspect="1"/>
            </wp:cNvGraphicFramePr>
            <a:graphic>
              <a:graphicData uri="http://schemas.openxmlformats.org/drawingml/2006/picture">
                <pic:pic>
                  <pic:nvPicPr>
                    <pic:cNvPr id="0" name="figura-1-3.png"/>
                    <pic:cNvPicPr/>
                  </pic:nvPicPr>
                  <pic:blipFill>
                    <a:blip r:embed="rId11"/>
                    <a:stretch>
                      <a:fillRect/>
                    </a:stretch>
                  </pic:blipFill>
                  <pic:spPr>
                    <a:xfrm>
                      <a:off x="0" y="0"/>
                      <a:ext cx="5029200" cy="3004947"/>
                    </a:xfrm>
                    <a:prstGeom prst="rect"/>
                  </pic:spPr>
                </pic:pic>
              </a:graphicData>
            </a:graphic>
          </wp:inline>
        </w:drawing>
      </w:r>
    </w:p>
    <w:p>
      <w:pPr>
        <w:spacing w:after="120" w:line="320" w:lineRule="auto"/>
        <w:jc w:val="both"/>
      </w:pPr>
      <w:r>
        <w:rPr>
          <w:rFonts w:ascii="Newsreader" w:hAnsi="Newsreader" w:cs="Newsreader"/>
          <w:b w:val="0"/>
          <w:i w:val="0"/>
          <w:color w:val="161412"/>
        </w:rPr>
        <w:t>La interfaz no es visual más algunos extras. Es perceptiva. Y esa percepción se distribuye entre canales distintos, cada uno con mecanismos propios, reglas propias y condiciones propias de eficacia. El hecho de que algunos canales no estén disponibles en ciertos entornos no los vuelve teóricamente irrelevantes.</w:t>
      </w:r>
    </w:p>
    <w:p>
      <w:pPr>
        <w:spacing w:after="120" w:line="320" w:lineRule="auto"/>
        <w:jc w:val="both"/>
      </w:pPr>
      <w:r>
        <w:rPr>
          <w:rFonts w:ascii="Newsreader" w:hAnsi="Newsreader" w:cs="Newsreader"/>
          <w:b w:val="0"/>
          <w:i w:val="0"/>
          <w:color w:val="161412"/>
        </w:rPr>
        <w:t>La pregunta de fondo es siempre la misma: ¿qué necesita percibir el usuario para entender lo que ocurre?</w:t>
      </w:r>
    </w:p>
    <w:p>
      <w:pPr>
        <w:spacing w:before="320" w:after="40"/>
      </w:pPr>
      <w:r>
        <w:rPr>
          <w:rFonts w:ascii="IBM Plex Sans" w:hAnsi="IBM Plex Sans" w:cs="IBM Plex Sans"/>
          <w:b/>
          <w:color w:val="1F3A5F"/>
          <w:sz w:val="18"/>
        </w:rPr>
        <w:t>§ 7</w:t>
      </w:r>
    </w:p>
    <w:p>
      <w:pPr>
        <w:spacing w:after="160" w:line="240" w:lineRule="auto"/>
      </w:pPr>
      <w:r>
        <w:rPr>
          <w:rFonts w:ascii="Newsreader" w:hAnsi="Newsreader" w:cs="Newsreader"/>
          <w:color w:val="161412"/>
          <w:sz w:val="38"/>
        </w:rPr>
        <w:t>Estados, eventos y consecuencias</w:t>
      </w:r>
    </w:p>
    <w:p>
      <w:pPr>
        <w:spacing w:after="120" w:line="320" w:lineRule="auto"/>
        <w:jc w:val="both"/>
      </w:pPr>
      <w:r>
        <w:rPr>
          <w:rFonts w:ascii="Newsreader" w:hAnsi="Newsreader" w:cs="Newsreader"/>
          <w:b w:val="0"/>
          <w:i w:val="0"/>
          <w:color w:val="161412"/>
        </w:rPr>
        <w:t>Un estado describe una condición relativamente estable: seleccionado, desactivado, cargando, inválido. Un evento describe una transformación: seleccionar, desactivar, empezar a cargar, fallar.</w:t>
      </w:r>
    </w:p>
    <w:p>
      <w:pPr>
        <w:spacing w:after="120" w:line="320" w:lineRule="auto"/>
        <w:jc w:val="both"/>
      </w:pPr>
      <w:r>
        <w:rPr>
          <w:rFonts w:ascii="Newsreader" w:hAnsi="Newsreader" w:cs="Newsreader"/>
          <w:b w:val="0"/>
          <w:i w:val="0"/>
          <w:color w:val="161412"/>
        </w:rPr>
        <w:t>La diferencia importa porque el usuario necesita entender ambas cosas. Necesita saber que algo está seleccionado, pero también necesita percibir que la selección acaba de ocurrir. Necesita saber que algo está cargando, pero también necesita percibir cuándo empezó y si sigue vivo.</w:t>
      </w:r>
    </w:p>
    <w:p>
      <w:pPr>
        <w:spacing w:after="200" w:before="40"/>
      </w:pPr>
      <w:r>
        <w:rPr>
          <w:rFonts w:ascii="IBM Plex Sans" w:hAnsi="IBM Plex Sans" w:cs="IBM Plex Sans"/>
          <w:b/>
          <w:color w:val="1F3A5F"/>
          <w:sz w:val="17"/>
        </w:rPr>
        <w:t xml:space="preserve">TABLA 1.1   </w:t>
      </w:r>
      <w:r>
        <w:rPr>
          <w:rFonts w:ascii="IBM Plex Sans" w:hAnsi="IBM Plex Sans" w:cs="IBM Plex Sans"/>
          <w:color w:val="3A352F"/>
          <w:sz w:val="18"/>
        </w:rPr>
        <w:t xml:space="preserve">Los cuatro planos de análisis de la interfaz</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079"/>
        <w:gridCol w:w="2079"/>
        <w:gridCol w:w="2079"/>
        <w:gridCol w:w="2079"/>
      </w:tblGrid>
      <w:tr>
        <w:tc>
          <w:tcPr>
            <w:tcW w:type="dxa" w:w="2079"/>
            <w:shd w:val="clear" w:color="auto" w:fill="EAE4D8"/>
          </w:tcPr>
          <w:p>
            <w:pPr>
              <w:spacing w:after="40"/>
            </w:pPr>
            <w:r>
              <w:rPr>
                <w:sz w:val="17"/>
              </w:rPr>
            </w:r>
            <w:r>
              <w:rPr>
                <w:rFonts w:ascii="IBM Plex Sans" w:hAnsi="IBM Plex Sans" w:cs="IBM Plex Sans"/>
                <w:b/>
                <w:i w:val="0"/>
                <w:color w:val="1F3A5F"/>
                <w:sz w:val="17"/>
              </w:rPr>
              <w:t>PLANO</w:t>
            </w:r>
          </w:p>
        </w:tc>
        <w:tc>
          <w:tcPr>
            <w:tcW w:type="dxa" w:w="2079"/>
            <w:shd w:val="clear" w:color="auto" w:fill="EAE4D8"/>
          </w:tcPr>
          <w:p>
            <w:pPr>
              <w:spacing w:after="40"/>
            </w:pPr>
            <w:r>
              <w:rPr>
                <w:sz w:val="17"/>
              </w:rPr>
            </w:r>
            <w:r>
              <w:rPr>
                <w:rFonts w:ascii="IBM Plex Sans" w:hAnsi="IBM Plex Sans" w:cs="IBM Plex Sans"/>
                <w:b/>
                <w:i w:val="0"/>
                <w:color w:val="1F3A5F"/>
                <w:sz w:val="17"/>
              </w:rPr>
              <w:t>PREGUNTA</w:t>
            </w:r>
          </w:p>
        </w:tc>
        <w:tc>
          <w:tcPr>
            <w:tcW w:type="dxa" w:w="2079"/>
            <w:shd w:val="clear" w:color="auto" w:fill="EAE4D8"/>
          </w:tcPr>
          <w:p>
            <w:pPr>
              <w:spacing w:after="40"/>
            </w:pPr>
            <w:r>
              <w:rPr>
                <w:sz w:val="17"/>
              </w:rPr>
            </w:r>
            <w:r>
              <w:rPr>
                <w:rFonts w:ascii="IBM Plex Sans" w:hAnsi="IBM Plex Sans" w:cs="IBM Plex Sans"/>
                <w:b/>
                <w:i w:val="0"/>
                <w:color w:val="1F3A5F"/>
                <w:sz w:val="17"/>
              </w:rPr>
              <w:t>EJEMPLO</w:t>
            </w:r>
          </w:p>
        </w:tc>
        <w:tc>
          <w:tcPr>
            <w:tcW w:type="dxa" w:w="2079"/>
            <w:shd w:val="clear" w:color="auto" w:fill="EAE4D8"/>
          </w:tcPr>
          <w:p>
            <w:pPr>
              <w:spacing w:after="40"/>
            </w:pPr>
            <w:r>
              <w:rPr>
                <w:sz w:val="17"/>
              </w:rPr>
            </w:r>
            <w:r>
              <w:rPr>
                <w:rFonts w:ascii="IBM Plex Sans" w:hAnsi="IBM Plex Sans" w:cs="IBM Plex Sans"/>
                <w:b/>
                <w:i w:val="0"/>
                <w:color w:val="1F3A5F"/>
                <w:sz w:val="17"/>
              </w:rPr>
              <w:t>FORMA TÍPICA</w:t>
            </w:r>
          </w:p>
        </w:tc>
      </w:tr>
      <w:tr>
        <w:tc>
          <w:tcPr>
            <w:tcW w:type="dxa" w:w="2079"/>
          </w:tcPr>
          <w:p>
            <w:pPr>
              <w:spacing w:after="40"/>
            </w:pPr>
            <w:r>
              <w:rPr>
                <w:sz w:val="17"/>
              </w:rPr>
            </w:r>
            <w:r>
              <w:rPr>
                <w:rFonts w:ascii="IBM Plex Sans" w:hAnsi="IBM Plex Sans" w:cs="IBM Plex Sans"/>
                <w:b w:val="0"/>
                <w:i w:val="0"/>
                <w:color w:val="161412"/>
                <w:sz w:val="17"/>
              </w:rPr>
              <w:t>Componente</w:t>
            </w:r>
          </w:p>
        </w:tc>
        <w:tc>
          <w:tcPr>
            <w:tcW w:type="dxa" w:w="2079"/>
          </w:tcPr>
          <w:p>
            <w:pPr>
              <w:spacing w:after="40"/>
            </w:pPr>
            <w:r>
              <w:rPr>
                <w:sz w:val="17"/>
              </w:rPr>
            </w:r>
            <w:r>
              <w:rPr>
                <w:rFonts w:ascii="IBM Plex Sans" w:hAnsi="IBM Plex Sans" w:cs="IBM Plex Sans"/>
                <w:b w:val="0"/>
                <w:i w:val="0"/>
                <w:color w:val="161412"/>
                <w:sz w:val="17"/>
              </w:rPr>
              <w:t>¿Qué es esto?</w:t>
            </w:r>
          </w:p>
        </w:tc>
        <w:tc>
          <w:tcPr>
            <w:tcW w:type="dxa" w:w="2079"/>
          </w:tcPr>
          <w:p>
            <w:pPr>
              <w:spacing w:after="40"/>
            </w:pPr>
            <w:r>
              <w:rPr>
                <w:sz w:val="17"/>
              </w:rPr>
            </w:r>
            <w:r>
              <w:rPr>
                <w:rFonts w:ascii="IBM Plex Sans" w:hAnsi="IBM Plex Sans" w:cs="IBM Plex Sans"/>
                <w:b w:val="0"/>
                <w:i w:val="0"/>
                <w:color w:val="161412"/>
                <w:sz w:val="17"/>
              </w:rPr>
              <w:t>botón, modal, toast</w:t>
            </w:r>
          </w:p>
        </w:tc>
        <w:tc>
          <w:tcPr>
            <w:tcW w:type="dxa" w:w="2079"/>
          </w:tcPr>
          <w:p>
            <w:pPr>
              <w:spacing w:after="40"/>
            </w:pPr>
            <w:r>
              <w:rPr>
                <w:sz w:val="17"/>
              </w:rPr>
            </w:r>
            <w:r>
              <w:rPr>
                <w:rFonts w:ascii="IBM Plex Sans" w:hAnsi="IBM Plex Sans" w:cs="IBM Plex Sans"/>
                <w:b w:val="0"/>
                <w:i w:val="0"/>
                <w:color w:val="161412"/>
                <w:sz w:val="17"/>
              </w:rPr>
              <w:t>Elemento del DOM</w:t>
            </w:r>
          </w:p>
        </w:tc>
      </w:tr>
      <w:tr>
        <w:tc>
          <w:tcPr>
            <w:tcW w:type="dxa" w:w="2079"/>
          </w:tcPr>
          <w:p>
            <w:pPr>
              <w:spacing w:after="40"/>
            </w:pPr>
            <w:r>
              <w:rPr>
                <w:sz w:val="17"/>
              </w:rPr>
            </w:r>
            <w:r>
              <w:rPr>
                <w:rFonts w:ascii="IBM Plex Sans" w:hAnsi="IBM Plex Sans" w:cs="IBM Plex Sans"/>
                <w:b w:val="0"/>
                <w:i w:val="0"/>
                <w:color w:val="161412"/>
                <w:sz w:val="17"/>
              </w:rPr>
              <w:t>Estado</w:t>
            </w:r>
          </w:p>
        </w:tc>
        <w:tc>
          <w:tcPr>
            <w:tcW w:type="dxa" w:w="2079"/>
          </w:tcPr>
          <w:p>
            <w:pPr>
              <w:spacing w:after="40"/>
            </w:pPr>
            <w:r>
              <w:rPr>
                <w:sz w:val="17"/>
              </w:rPr>
            </w:r>
            <w:r>
              <w:rPr>
                <w:rFonts w:ascii="IBM Plex Sans" w:hAnsi="IBM Plex Sans" w:cs="IBM Plex Sans"/>
                <w:b w:val="0"/>
                <w:i w:val="0"/>
                <w:color w:val="161412"/>
                <w:sz w:val="17"/>
              </w:rPr>
              <w:t>¿En qué condición está?</w:t>
            </w:r>
          </w:p>
        </w:tc>
        <w:tc>
          <w:tcPr>
            <w:tcW w:type="dxa" w:w="2079"/>
          </w:tcPr>
          <w:p>
            <w:pPr>
              <w:spacing w:after="40"/>
            </w:pPr>
            <w:r>
              <w:rPr>
                <w:sz w:val="17"/>
              </w:rPr>
            </w:r>
            <w:r>
              <w:rPr>
                <w:rFonts w:ascii="IBM Plex Sans" w:hAnsi="IBM Plex Sans" w:cs="IBM Plex Sans"/>
                <w:b w:val="0"/>
                <w:i w:val="0"/>
                <w:color w:val="161412"/>
                <w:sz w:val="17"/>
              </w:rPr>
              <w:t>seleccionado, abierto, cargando</w:t>
            </w:r>
          </w:p>
        </w:tc>
        <w:tc>
          <w:tcPr>
            <w:tcW w:type="dxa" w:w="2079"/>
          </w:tcPr>
          <w:p>
            <w:pPr>
              <w:spacing w:after="40"/>
            </w:pPr>
            <w:r>
              <w:rPr>
                <w:sz w:val="17"/>
              </w:rPr>
            </w:r>
            <w:r>
              <w:rPr>
                <w:rFonts w:ascii="IBM Plex Sans" w:hAnsi="IBM Plex Sans" w:cs="IBM Plex Sans"/>
                <w:b w:val="0"/>
                <w:i w:val="0"/>
                <w:color w:val="161412"/>
                <w:sz w:val="17"/>
              </w:rPr>
              <w:t>Clase CSS, propiedad</w:t>
            </w:r>
          </w:p>
        </w:tc>
      </w:tr>
      <w:tr>
        <w:tc>
          <w:tcPr>
            <w:tcW w:type="dxa" w:w="2079"/>
          </w:tcPr>
          <w:p>
            <w:pPr>
              <w:spacing w:after="40"/>
            </w:pPr>
            <w:r>
              <w:rPr>
                <w:sz w:val="17"/>
              </w:rPr>
            </w:r>
            <w:r>
              <w:rPr>
                <w:rFonts w:ascii="IBM Plex Sans" w:hAnsi="IBM Plex Sans" w:cs="IBM Plex Sans"/>
                <w:b w:val="0"/>
                <w:i w:val="0"/>
                <w:color w:val="161412"/>
                <w:sz w:val="17"/>
              </w:rPr>
              <w:t>Evento</w:t>
            </w:r>
          </w:p>
        </w:tc>
        <w:tc>
          <w:tcPr>
            <w:tcW w:type="dxa" w:w="2079"/>
          </w:tcPr>
          <w:p>
            <w:pPr>
              <w:spacing w:after="40"/>
            </w:pPr>
            <w:r>
              <w:rPr>
                <w:sz w:val="17"/>
              </w:rPr>
            </w:r>
            <w:r>
              <w:rPr>
                <w:rFonts w:ascii="IBM Plex Sans" w:hAnsi="IBM Plex Sans" w:cs="IBM Plex Sans"/>
                <w:b w:val="0"/>
                <w:i w:val="0"/>
                <w:color w:val="161412"/>
                <w:sz w:val="17"/>
              </w:rPr>
              <w:t>¿Qué cambio acaba de ocurrir?</w:t>
            </w:r>
          </w:p>
        </w:tc>
        <w:tc>
          <w:tcPr>
            <w:tcW w:type="dxa" w:w="2079"/>
          </w:tcPr>
          <w:p>
            <w:pPr>
              <w:spacing w:after="40"/>
            </w:pPr>
            <w:r>
              <w:rPr>
                <w:sz w:val="17"/>
              </w:rPr>
            </w:r>
            <w:r>
              <w:rPr>
                <w:rFonts w:ascii="IBM Plex Sans" w:hAnsi="IBM Plex Sans" w:cs="IBM Plex Sans"/>
                <w:b w:val="0"/>
                <w:i w:val="0"/>
                <w:color w:val="161412"/>
                <w:sz w:val="17"/>
              </w:rPr>
              <w:t>seleccionar, abrir, iniciar carga</w:t>
            </w:r>
          </w:p>
        </w:tc>
        <w:tc>
          <w:tcPr>
            <w:tcW w:type="dxa" w:w="2079"/>
          </w:tcPr>
          <w:p>
            <w:pPr>
              <w:spacing w:after="40"/>
            </w:pPr>
            <w:r>
              <w:rPr>
                <w:sz w:val="17"/>
              </w:rPr>
            </w:r>
            <w:r>
              <w:rPr>
                <w:rFonts w:ascii="IBM Plex Sans" w:hAnsi="IBM Plex Sans" w:cs="IBM Plex Sans"/>
                <w:b w:val="0"/>
                <w:i w:val="0"/>
                <w:color w:val="161412"/>
                <w:sz w:val="17"/>
              </w:rPr>
              <w:t>Transición, señal perceptiva</w:t>
            </w:r>
          </w:p>
        </w:tc>
      </w:tr>
      <w:tr>
        <w:tc>
          <w:tcPr>
            <w:tcW w:type="dxa" w:w="2079"/>
          </w:tcPr>
          <w:p>
            <w:pPr>
              <w:spacing w:after="40"/>
            </w:pPr>
            <w:r>
              <w:rPr>
                <w:sz w:val="17"/>
              </w:rPr>
            </w:r>
            <w:r>
              <w:rPr>
                <w:rFonts w:ascii="IBM Plex Sans" w:hAnsi="IBM Plex Sans" w:cs="IBM Plex Sans"/>
                <w:b w:val="0"/>
                <w:i w:val="0"/>
                <w:color w:val="161412"/>
                <w:sz w:val="17"/>
              </w:rPr>
              <w:t>Consecuencia</w:t>
            </w:r>
          </w:p>
        </w:tc>
        <w:tc>
          <w:tcPr>
            <w:tcW w:type="dxa" w:w="2079"/>
          </w:tcPr>
          <w:p>
            <w:pPr>
              <w:spacing w:after="40"/>
            </w:pPr>
            <w:r>
              <w:rPr>
                <w:sz w:val="17"/>
              </w:rPr>
            </w:r>
            <w:r>
              <w:rPr>
                <w:rFonts w:ascii="IBM Plex Sans" w:hAnsi="IBM Plex Sans" w:cs="IBM Plex Sans"/>
                <w:b w:val="0"/>
                <w:i w:val="0"/>
                <w:color w:val="161412"/>
                <w:sz w:val="17"/>
              </w:rPr>
              <w:t>¿Qué implica ahora?</w:t>
            </w:r>
          </w:p>
        </w:tc>
        <w:tc>
          <w:tcPr>
            <w:tcW w:type="dxa" w:w="2079"/>
          </w:tcPr>
          <w:p>
            <w:pPr>
              <w:spacing w:after="40"/>
            </w:pPr>
            <w:r>
              <w:rPr>
                <w:sz w:val="17"/>
              </w:rPr>
            </w:r>
            <w:r>
              <w:rPr>
                <w:rFonts w:ascii="IBM Plex Sans" w:hAnsi="IBM Plex Sans" w:cs="IBM Plex Sans"/>
                <w:b w:val="0"/>
                <w:i w:val="0"/>
                <w:color w:val="161412"/>
                <w:sz w:val="17"/>
              </w:rPr>
              <w:t>quedó fijado, hay que esperar</w:t>
            </w:r>
          </w:p>
        </w:tc>
        <w:tc>
          <w:tcPr>
            <w:tcW w:type="dxa" w:w="2079"/>
          </w:tcPr>
          <w:p>
            <w:pPr>
              <w:spacing w:after="40"/>
            </w:pPr>
            <w:r>
              <w:rPr>
                <w:sz w:val="17"/>
              </w:rPr>
            </w:r>
            <w:r>
              <w:rPr>
                <w:rFonts w:ascii="IBM Plex Sans" w:hAnsi="IBM Plex Sans" w:cs="IBM Plex Sans"/>
                <w:b w:val="0"/>
                <w:i w:val="0"/>
                <w:color w:val="161412"/>
                <w:sz w:val="17"/>
              </w:rPr>
              <w:t>Interpretación del usuario</w:t>
            </w:r>
          </w:p>
        </w:tc>
      </w:tr>
    </w:tbl>
    <w:p>
      <w:pPr>
        <w:spacing w:after="120" w:line="320" w:lineRule="auto"/>
        <w:jc w:val="both"/>
      </w:pPr>
      <w:r>
        <w:rPr>
          <w:rFonts w:ascii="Newsreader" w:hAnsi="Newsreader" w:cs="Newsreader"/>
          <w:b w:val="0"/>
          <w:i w:val="0"/>
          <w:color w:val="161412"/>
        </w:rPr>
        <w:t xml:space="preserve">Una interfaz centrada solo en estados puede mostrar bien el punto de llegada y, aun así, dejar ilegible el camino: qué cambió, cuándo y por qué. Por eso este libro insistirá en que una interfaz no debería limitarse a mostrar estados finales. Debe hacer legibles las transformaciones relevantes.</w:t>
      </w:r>
    </w:p>
    <w:p>
      <w:pPr>
        <w:spacing w:before="320" w:after="40"/>
      </w:pPr>
      <w:r>
        <w:rPr>
          <w:rFonts w:ascii="IBM Plex Sans" w:hAnsi="IBM Plex Sans" w:cs="IBM Plex Sans"/>
          <w:b/>
          <w:color w:val="1F3A5F"/>
          <w:sz w:val="18"/>
        </w:rPr>
        <w:t>§ 8</w:t>
      </w:r>
    </w:p>
    <w:p>
      <w:pPr>
        <w:spacing w:after="160" w:line="240" w:lineRule="auto"/>
      </w:pPr>
      <w:r>
        <w:rPr>
          <w:rFonts w:ascii="Newsreader" w:hAnsi="Newsreader" w:cs="Newsreader"/>
          <w:color w:val="161412"/>
          <w:sz w:val="38"/>
        </w:rPr>
        <w:t>Qué cuenta como evento</w:t>
      </w:r>
    </w:p>
    <w:p>
      <w:pPr>
        <w:spacing w:after="120" w:line="320" w:lineRule="auto"/>
        <w:jc w:val="both"/>
      </w:pPr>
      <w:r>
        <w:rPr>
          <w:rFonts w:ascii="Newsreader" w:hAnsi="Newsreader" w:cs="Newsreader"/>
          <w:b w:val="0"/>
          <w:i w:val="0"/>
          <w:color w:val="161412"/>
        </w:rPr>
        <w:t>No cualquier cambio perceptible merece el mismo rango. Para hablar de evento en sentido fuerte hacen falta tres condiciones.</w:t>
      </w:r>
    </w:p>
    <w:p>
      <w:pPr>
        <w:spacing w:after="120" w:line="320" w:lineRule="auto"/>
        <w:jc w:val="both"/>
      </w:pPr>
      <w:r>
        <w:rPr>
          <w:rFonts w:ascii="Newsreader" w:hAnsi="Newsreader" w:cs="Newsreader"/>
          <w:b w:val="0"/>
          <w:i w:val="0"/>
          <w:color w:val="161412"/>
        </w:rPr>
        <w:t xml:space="preserve">Primero, debe haber una modificación perceptible. Algo debe cambiar en el campo perceptivo del usuario.</w:t>
      </w:r>
    </w:p>
    <w:p>
      <w:pPr>
        <w:spacing w:after="120" w:line="320" w:lineRule="auto"/>
        <w:jc w:val="both"/>
      </w:pPr>
      <w:r>
        <w:rPr>
          <w:rFonts w:ascii="Newsreader" w:hAnsi="Newsreader" w:cs="Newsreader"/>
          <w:b w:val="0"/>
          <w:i w:val="0"/>
          <w:color w:val="161412"/>
        </w:rPr>
        <w:t>Segundo, esa modificación debe tener relevancia operativa. Debe afectar a la acción, la atención o la interpretación del estado.</w:t>
      </w:r>
    </w:p>
    <w:p>
      <w:pPr>
        <w:spacing w:after="120" w:line="320" w:lineRule="auto"/>
        <w:jc w:val="both"/>
      </w:pPr>
      <w:r>
        <w:rPr>
          <w:rFonts w:ascii="Newsreader" w:hAnsi="Newsreader" w:cs="Newsreader"/>
          <w:b w:val="0"/>
          <w:i w:val="0"/>
          <w:color w:val="161412"/>
        </w:rPr>
        <w:t>Tercero, debe poder inscribirse en una clase reconocible. Una gramática necesita identificar diferencias recurrentes.</w:t>
      </w:r>
    </w:p>
    <w:p>
      <w:pPr>
        <w:spacing w:after="120" w:line="320" w:lineRule="auto"/>
        <w:jc w:val="both"/>
      </w:pPr>
      <w:r>
        <w:rPr>
          <w:rFonts w:ascii="Newsreader" w:hAnsi="Newsreader" w:cs="Newsreader"/>
          <w:b/>
          <w:i w:val="0"/>
          <w:color w:val="161412"/>
        </w:rPr>
        <w:t>Definición</w:t>
      </w:r>
    </w:p>
    <w:p>
      <w:pPr>
        <w:spacing w:after="120" w:line="320" w:lineRule="auto"/>
        <w:jc w:val="both"/>
      </w:pPr>
      <w:r>
        <w:rPr>
          <w:rFonts w:ascii="Newsreader" w:hAnsi="Newsreader" w:cs="Newsreader"/>
          <w:b w:val="0"/>
          <w:i w:val="0"/>
          <w:color w:val="161412"/>
        </w:rPr>
        <w:t xml:space="preserve">Un evento, en el sentido que irá precisando este libro, es un cambio perceptible que altera lo que el usuario puede hacer, atender o entender.</w:t>
      </w:r>
    </w:p>
    <w:p>
      <w:pPr>
        <w:spacing w:after="120" w:line="320" w:lineRule="auto"/>
        <w:jc w:val="both"/>
      </w:pPr>
      <w:r>
        <w:rPr>
          <w:rFonts w:ascii="Newsreader" w:hAnsi="Newsreader" w:cs="Newsreader"/>
          <w:b w:val="0"/>
          <w:i w:val="0"/>
          <w:color w:val="161412"/>
        </w:rPr>
        <w:t>Esta definición excluye tanto la pura lógica interna como la ornamentación sin función. Un callback técnico no es necesariamente un evento. Una animación decorativa tampoco. Pero cuando una modificación perceptible ayuda al usuario a entender qué está ocurriendo, empieza a tener estatuto de evento significativo.</w:t>
      </w:r>
    </w:p>
    <w:p>
      <w:pPr>
        <w:spacing w:before="320" w:after="40"/>
      </w:pPr>
      <w:r>
        <w:rPr>
          <w:rFonts w:ascii="IBM Plex Sans" w:hAnsi="IBM Plex Sans" w:cs="IBM Plex Sans"/>
          <w:b/>
          <w:color w:val="1F3A5F"/>
          <w:sz w:val="18"/>
        </w:rPr>
        <w:t>§ 9</w:t>
      </w:r>
    </w:p>
    <w:p>
      <w:pPr>
        <w:spacing w:after="160" w:line="240" w:lineRule="auto"/>
      </w:pPr>
      <w:r>
        <w:rPr>
          <w:rFonts w:ascii="Newsreader" w:hAnsi="Newsreader" w:cs="Newsreader"/>
          <w:color w:val="161412"/>
          <w:sz w:val="38"/>
        </w:rPr>
        <w:t>Un botón no es un evento</w:t>
      </w:r>
    </w:p>
    <w:p>
      <w:pPr>
        <w:spacing w:after="120" w:line="320" w:lineRule="auto"/>
        <w:jc w:val="both"/>
      </w:pPr>
      <w:r>
        <w:rPr>
          <w:rFonts w:ascii="Newsreader" w:hAnsi="Newsreader" w:cs="Newsreader"/>
          <w:b w:val="0"/>
          <w:i w:val="0"/>
          <w:color w:val="161412"/>
        </w:rPr>
        <w:t>Tomemos un botón simple: «Guardar». Desde el punto de vista del componente tiene un label, un tamaño, una variante, estados hover, active, disabled. Pero desde el punto de vista del evento, el mismo botón puede participar en secuencias distintas.</w:t>
      </w:r>
    </w:p>
    <w:p>
      <w:pPr>
        <w:spacing w:before="200" w:after="60"/>
        <w:jc w:val="center"/>
      </w:pPr>
      <w:r>
        <w:drawing>
          <wp:inline xmlns:a="http://schemas.openxmlformats.org/drawingml/2006/main" xmlns:pic="http://schemas.openxmlformats.org/drawingml/2006/picture">
            <wp:extent cx="5029200" cy="2794349"/>
            <wp:docPr id="4" name="Picture 4"/>
            <wp:cNvGraphicFramePr>
              <a:graphicFrameLocks noChangeAspect="1"/>
            </wp:cNvGraphicFramePr>
            <a:graphic>
              <a:graphicData uri="http://schemas.openxmlformats.org/drawingml/2006/picture">
                <pic:pic>
                  <pic:nvPicPr>
                    <pic:cNvPr id="0" name="figura-1-4.png"/>
                    <pic:cNvPicPr/>
                  </pic:nvPicPr>
                  <pic:blipFill>
                    <a:blip r:embed="rId12"/>
                    <a:stretch>
                      <a:fillRect/>
                    </a:stretch>
                  </pic:blipFill>
                  <pic:spPr>
                    <a:xfrm>
                      <a:off x="0" y="0"/>
                      <a:ext cx="5029200" cy="2794349"/>
                    </a:xfrm>
                    <a:prstGeom prst="rect"/>
                  </pic:spPr>
                </pic:pic>
              </a:graphicData>
            </a:graphic>
          </wp:inline>
        </w:drawing>
      </w:r>
    </w:p>
    <w:p>
      <w:pPr>
        <w:spacing w:after="120" w:line="320" w:lineRule="auto"/>
        <w:jc w:val="both"/>
      </w:pPr>
      <w:r>
        <w:rPr>
          <w:rFonts w:ascii="Newsreader" w:hAnsi="Newsreader" w:cs="Newsreader"/>
          <w:b w:val="0"/>
          <w:i w:val="0"/>
          <w:color w:val="161412"/>
        </w:rPr>
        <w:t>En todos los casos el componente puede ser «un botón de guardar». Pero los eventos no son los mismos. Un enfoque centrado solo en componentes tiende a ocultar esa diferencia. Una gramática centrada en eventos la vuelve explícita.</w:t>
      </w:r>
    </w:p>
    <w:p>
      <w:pPr>
        <w:spacing w:before="320" w:after="40"/>
      </w:pPr>
      <w:r>
        <w:rPr>
          <w:rFonts w:ascii="IBM Plex Sans" w:hAnsi="IBM Plex Sans" w:cs="IBM Plex Sans"/>
          <w:b/>
          <w:color w:val="1F3A5F"/>
          <w:sz w:val="18"/>
        </w:rPr>
        <w:t>§ 10</w:t>
      </w:r>
    </w:p>
    <w:p>
      <w:pPr>
        <w:spacing w:after="160" w:line="240" w:lineRule="auto"/>
      </w:pPr>
      <w:r>
        <w:rPr>
          <w:rFonts w:ascii="Newsreader" w:hAnsi="Newsreader" w:cs="Newsreader"/>
          <w:color w:val="161412"/>
          <w:sz w:val="38"/>
        </w:rPr>
        <w:t>Abrir no siempre significa lo mismo</w:t>
      </w:r>
    </w:p>
    <w:p>
      <w:pPr>
        <w:spacing w:after="120" w:line="320" w:lineRule="auto"/>
        <w:jc w:val="both"/>
      </w:pPr>
      <w:r>
        <w:rPr>
          <w:rFonts w:ascii="Newsreader" w:hAnsi="Newsreader" w:cs="Newsreader"/>
          <w:b w:val="0"/>
          <w:i w:val="0"/>
          <w:color w:val="161412"/>
        </w:rPr>
        <w:t>Un tooltip aparece. Un dropdown aparece. Un modal aparece. Una página nueva aparece. Una notificación aparece. Un error aparece. Superficialmente podríamos decir: todos son eventos de aparición. Pero esa descripción es demasiado gruesa.</w:t>
      </w:r>
    </w:p>
    <w:p>
      <w:pPr>
        <w:spacing w:before="200" w:after="60"/>
        <w:jc w:val="center"/>
      </w:pPr>
      <w:r>
        <w:drawing>
          <wp:inline xmlns:a="http://schemas.openxmlformats.org/drawingml/2006/main" xmlns:pic="http://schemas.openxmlformats.org/drawingml/2006/picture">
            <wp:extent cx="5029200" cy="2932652"/>
            <wp:docPr id="5" name="Picture 5"/>
            <wp:cNvGraphicFramePr>
              <a:graphicFrameLocks noChangeAspect="1"/>
            </wp:cNvGraphicFramePr>
            <a:graphic>
              <a:graphicData uri="http://schemas.openxmlformats.org/drawingml/2006/picture">
                <pic:pic>
                  <pic:nvPicPr>
                    <pic:cNvPr id="0" name="figura-1-5.png"/>
                    <pic:cNvPicPr/>
                  </pic:nvPicPr>
                  <pic:blipFill>
                    <a:blip r:embed="rId13"/>
                    <a:stretch>
                      <a:fillRect/>
                    </a:stretch>
                  </pic:blipFill>
                  <pic:spPr>
                    <a:xfrm>
                      <a:off x="0" y="0"/>
                      <a:ext cx="5029200" cy="2932652"/>
                    </a:xfrm>
                    <a:prstGeom prst="rect"/>
                  </pic:spPr>
                </pic:pic>
              </a:graphicData>
            </a:graphic>
          </wp:inline>
        </w:drawing>
      </w:r>
    </w:p>
    <w:p>
      <w:pPr>
        <w:spacing w:after="120" w:line="320" w:lineRule="auto"/>
        <w:jc w:val="both"/>
      </w:pPr>
      <w:r>
        <w:rPr>
          <w:rFonts w:ascii="Newsreader" w:hAnsi="Newsreader" w:cs="Newsreader"/>
          <w:b w:val="0"/>
          <w:i w:val="0"/>
          <w:color w:val="161412"/>
        </w:rPr>
        <w:t>Un tooltip revela información auxiliar sin cambiar el marco principal. Un modal reorganiza el foco operativo y subordina lo demás. Una notificación introduce un mensaje iniciado por el sistema. «Algo aparece» no basta. La pregunta relevante es: ¿qué tipo de aparición es esta dentro del contexto operativo?</w:t>
      </w:r>
    </w:p>
    <w:p>
      <w:pPr>
        <w:spacing w:before="320" w:after="40"/>
      </w:pPr>
      <w:r>
        <w:rPr>
          <w:rFonts w:ascii="IBM Plex Sans" w:hAnsi="IBM Plex Sans" w:cs="IBM Plex Sans"/>
          <w:b/>
          <w:color w:val="1F3A5F"/>
          <w:sz w:val="18"/>
        </w:rPr>
        <w:t>§ 11</w:t>
      </w:r>
    </w:p>
    <w:p>
      <w:pPr>
        <w:spacing w:after="160" w:line="240" w:lineRule="auto"/>
      </w:pPr>
      <w:r>
        <w:rPr>
          <w:rFonts w:ascii="Newsreader" w:hAnsi="Newsreader" w:cs="Newsreader"/>
          <w:color w:val="161412"/>
          <w:sz w:val="38"/>
        </w:rPr>
        <w:t>Por qué esta redefinición importa al programar</w:t>
      </w:r>
    </w:p>
    <w:p>
      <w:pPr>
        <w:spacing w:after="120" w:line="320" w:lineRule="auto"/>
        <w:jc w:val="both"/>
      </w:pPr>
      <w:r>
        <w:rPr>
          <w:rFonts w:ascii="Newsreader" w:hAnsi="Newsreader" w:cs="Newsreader"/>
          <w:b w:val="0"/>
          <w:i w:val="0"/>
          <w:color w:val="161412"/>
        </w:rPr>
        <w:t>Un click no es una semántica. Un change no es una semántica. Un submit no es una semántica. Un drag no es una semántica. Son disparadores técnicos. Pueden dar lugar a eventos muy distintos.</w:t>
      </w:r>
    </w:p>
    <w:p>
      <w:pPr>
        <w:spacing w:after="120" w:line="320" w:lineRule="auto"/>
        <w:jc w:val="both"/>
      </w:pPr>
      <w:r>
        <w:rPr>
          <w:rFonts w:ascii="Newsreader" w:hAnsi="Newsreader" w:cs="Newsreader"/>
          <w:b w:val="0"/>
          <w:i w:val="0"/>
          <w:color w:val="161412"/>
        </w:rPr>
        <w:t>Un click puede ser contacto, consolidación, navegación, apertura, amenaza, pérdida o confirmación. Un submit puede ser inicio de proceso, culminación, fallo, riesgo o resolución. Un drag puede ser manipulación, desplazamiento, reordenación o descarte.</w:t>
      </w:r>
    </w:p>
    <w:p>
      <w:pPr>
        <w:spacing w:after="120" w:line="320" w:lineRule="auto"/>
        <w:jc w:val="both"/>
      </w:pPr>
      <w:r>
        <w:rPr>
          <w:rFonts w:ascii="Newsreader" w:hAnsi="Newsreader" w:cs="Newsreader"/>
          <w:b w:val="0"/>
          <w:i w:val="0"/>
          <w:color w:val="161412"/>
        </w:rPr>
        <w:t>Cuando no tenemos vocabulario para estas diferencias, las resolvemos de forma local. Una gramática semántica permite que antes de discutir «qué transición ponemos aquí», podamos preguntar: ¿qué evento estamos haciendo perceptible? Y antes de discutir «qué color usamos»: ¿este evento es evaluable o solo estructura el campo?</w:t>
      </w:r>
    </w:p>
    <w:p>
      <w:pPr>
        <w:spacing w:before="320" w:after="40"/>
      </w:pPr>
      <w:r>
        <w:rPr>
          <w:rFonts w:ascii="IBM Plex Sans" w:hAnsi="IBM Plex Sans" w:cs="IBM Plex Sans"/>
          <w:b/>
          <w:color w:val="1F3A5F"/>
          <w:sz w:val="18"/>
        </w:rPr>
        <w:t>§ 12</w:t>
      </w:r>
    </w:p>
    <w:p>
      <w:pPr>
        <w:spacing w:after="160" w:line="240" w:lineRule="auto"/>
      </w:pPr>
      <w:r>
        <w:rPr>
          <w:rFonts w:ascii="Newsreader" w:hAnsi="Newsreader" w:cs="Newsreader"/>
          <w:color w:val="161412"/>
          <w:sz w:val="38"/>
        </w:rPr>
        <w:t>Resumen operativo</w:t>
      </w:r>
    </w:p>
    <w:p>
      <w:pPr>
        <w:spacing w:after="120" w:line="320" w:lineRule="auto"/>
        <w:jc w:val="both"/>
      </w:pPr>
      <w:r>
        <w:rPr>
          <w:rFonts w:ascii="Newsreader" w:hAnsi="Newsreader" w:cs="Newsreader"/>
          <w:b w:val="0"/>
          <w:i w:val="0"/>
          <w:color w:val="161412"/>
        </w:rPr>
        <w:t>No estamos diciendo que la interfaz clásica esté equivocada. No estamos diciendo que todo deba animarse, sonar o vibrar. No estamos diciendo que los componentes dejen de importar. No estamos diciendo que todo cambio sea semántico. No estamos diciendo que la ciencia pueda dictar cada duración o cada frecuencia.</w:t>
      </w:r>
    </w:p>
    <w:p>
      <w:pPr>
        <w:spacing w:after="120" w:line="320" w:lineRule="auto"/>
        <w:jc w:val="both"/>
      </w:pPr>
      <w:r>
        <w:rPr>
          <w:rFonts w:ascii="Newsreader" w:hAnsi="Newsreader" w:cs="Newsreader"/>
          <w:b w:val="0"/>
          <w:i w:val="0"/>
          <w:color w:val="161412"/>
        </w:rPr>
        <w:t>Lo que sí estamos diciendo es más sencillo:</w:t>
      </w:r>
    </w:p>
    <w:p>
      <w:pPr>
        <w:spacing w:after="120" w:line="320" w:lineRule="auto"/>
        <w:jc w:val="both"/>
      </w:pPr>
      <w:r>
        <w:rPr>
          <w:rFonts w:ascii="Newsreader" w:hAnsi="Newsreader" w:cs="Newsreader"/>
          <w:b w:val="0"/>
          <w:i w:val="0"/>
          <w:color w:val="161412"/>
        </w:rPr>
        <w:t xml:space="preserve">La interfaz no se comprende del todo si solo se analiza como superficie de componentes. También debe analizarse desde sus eventos.</w:t>
      </w:r>
    </w:p>
    <w:p>
      <w:pPr>
        <w:spacing w:before="320" w:after="40"/>
      </w:pPr>
      <w:r>
        <w:rPr>
          <w:rFonts w:ascii="IBM Plex Sans" w:hAnsi="IBM Plex Sans" w:cs="IBM Plex Sans"/>
          <w:b/>
          <w:color w:val="1F3A5F"/>
          <w:sz w:val="18"/>
        </w:rPr>
        <w:t>§ 13</w:t>
      </w:r>
    </w:p>
    <w:p>
      <w:pPr>
        <w:spacing w:after="160" w:line="240" w:lineRule="auto"/>
      </w:pPr>
      <w:r>
        <w:rPr>
          <w:rFonts w:ascii="Newsreader" w:hAnsi="Newsreader" w:cs="Newsreader"/>
          <w:color w:val="161412"/>
          <w:sz w:val="38"/>
        </w:rPr>
        <w:t>Síntesis</w:t>
      </w:r>
    </w:p>
    <w:p>
      <w:pPr>
        <w:spacing w:after="120" w:line="320" w:lineRule="auto"/>
        <w:jc w:val="both"/>
      </w:pPr>
      <w:r>
        <w:rPr>
          <w:rFonts w:ascii="Newsreader" w:hAnsi="Newsreader" w:cs="Newsreader"/>
          <w:b w:val="0"/>
          <w:i w:val="0"/>
          <w:color w:val="161412"/>
        </w:rPr>
        <w:t>Esta idea se desarrollará con más precisión en el capítulo de fundamentos psicoperceptivos. Allí veremos que la interfaz no solo se organiza visualmente; también se apoya en percepción de campo, affordances, atención, evaluación, movimiento, sonido, multisensorialidad y experiencia corporal.</w:t>
      </w:r>
    </w:p>
    <w:p>
      <w:pPr>
        <w:spacing w:after="120" w:line="320" w:lineRule="auto"/>
        <w:jc w:val="both"/>
      </w:pPr>
      <w:r>
        <w:rPr>
          <w:rFonts w:ascii="Newsreader" w:hAnsi="Newsreader" w:cs="Newsreader"/>
          <w:b w:val="0"/>
          <w:i w:val="0"/>
          <w:color w:val="161412"/>
        </w:rPr>
        <w:t>Por ahora basta con fijar una tesis:</w:t>
      </w:r>
    </w:p>
    <w:p>
      <w:pPr>
        <w:spacing w:before="160" w:after="40"/>
        <w:pBdr>
          <w:left w:val="single" w:sz="18" w:space="12" w:color="1F3A5F"/>
        </w:pBdr>
      </w:pPr>
      <w:r>
        <w:rPr>
          <w:rFonts w:ascii="IBM Plex Sans" w:hAnsi="IBM Plex Sans" w:cs="IBM Plex Sans"/>
          <w:b/>
          <w:color w:val="1F3A5F"/>
          <w:sz w:val="16"/>
        </w:rPr>
        <w:t>DISTINCIÓN</w:t>
      </w:r>
    </w:p>
    <w:p>
      <w:pPr>
        <w:spacing w:after="120" w:line="312" w:lineRule="auto"/>
        <w:pBdr>
          <w:left w:val="single" w:sz="18" w:space="12" w:color="1F3A5F"/>
        </w:pBdr>
      </w:pPr>
      <w:r>
        <w:rPr>
          <w:rFonts w:ascii="Newsreader" w:hAnsi="Newsreader" w:cs="Newsreader"/>
          <w:b w:val="0"/>
          <w:i/>
          <w:color w:val="3A352F"/>
        </w:rPr>
        <w:t>La interfaz no es visual más algunos extras. Es perceptiva.</w:t>
      </w:r>
    </w:p>
    <w:p>
      <w:pPr>
        <w:spacing w:before="240" w:after="100"/>
      </w:pPr>
      <w:r>
        <w:rPr>
          <w:rFonts w:ascii="Newsreader" w:hAnsi="Newsreader" w:cs="Newsreader"/>
          <w:i/>
          <w:color w:val="1F3A5F"/>
          <w:sz w:val="28"/>
        </w:rPr>
        <w:t>Síntesis</w:t>
      </w:r>
    </w:p>
    <w:p>
      <w:pPr>
        <w:spacing w:after="120" w:line="320" w:lineRule="auto"/>
        <w:jc w:val="both"/>
      </w:pPr>
      <w:r>
        <w:rPr>
          <w:rFonts w:ascii="Newsreader" w:hAnsi="Newsreader" w:cs="Newsreader"/>
          <w:b w:val="0"/>
          <w:i w:val="0"/>
          <w:color w:val="161412"/>
        </w:rPr>
        <w:t>La interfaz es la dimensión perceptible de un contexto operativo.</w:t>
      </w:r>
    </w:p>
    <w:p>
      <w:pPr>
        <w:spacing w:after="200" w:before="40"/>
      </w:pPr>
      <w:r>
        <w:rPr>
          <w:rFonts w:ascii="IBM Plex Sans" w:hAnsi="IBM Plex Sans" w:cs="IBM Plex Sans"/>
          <w:b/>
          <w:color w:val="1F3A5F"/>
          <w:sz w:val="17"/>
        </w:rPr>
        <w:t xml:space="preserve">TABLA 1.2   </w:t>
      </w:r>
      <w:r>
        <w:rPr>
          <w:rFonts w:ascii="IBM Plex Sans" w:hAnsi="IBM Plex Sans" w:cs="IBM Plex Sans"/>
          <w:color w:val="3A352F"/>
          <w:sz w:val="18"/>
        </w:rPr>
        <w:t xml:space="preserve">El desplazamiento conceptual que propone este libro</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ANTES</w:t>
            </w:r>
          </w:p>
        </w:tc>
        <w:tc>
          <w:tcPr>
            <w:tcW w:type="dxa" w:w="4158"/>
            <w:shd w:val="clear" w:color="auto" w:fill="EAE4D8"/>
          </w:tcPr>
          <w:p>
            <w:pPr>
              <w:spacing w:after="40"/>
            </w:pPr>
            <w:r>
              <w:rPr>
                <w:sz w:val="17"/>
              </w:rPr>
            </w:r>
            <w:r>
              <w:rPr>
                <w:rFonts w:ascii="IBM Plex Sans" w:hAnsi="IBM Plex Sans" w:cs="IBM Plex Sans"/>
                <w:b/>
                <w:i w:val="0"/>
                <w:color w:val="1F3A5F"/>
                <w:sz w:val="17"/>
              </w:rPr>
              <w:t>DESPUÉS</w:t>
            </w:r>
          </w:p>
        </w:tc>
      </w:tr>
      <w:tr>
        <w:tc>
          <w:tcPr>
            <w:tcW w:type="dxa" w:w="4158"/>
          </w:tcPr>
          <w:p>
            <w:pPr>
              <w:spacing w:after="40"/>
            </w:pPr>
            <w:r>
              <w:rPr>
                <w:sz w:val="17"/>
              </w:rPr>
            </w:r>
            <w:r>
              <w:rPr>
                <w:rFonts w:ascii="IBM Plex Sans" w:hAnsi="IBM Plex Sans" w:cs="IBM Plex Sans"/>
                <w:b w:val="0"/>
                <w:i w:val="0"/>
                <w:color w:val="161412"/>
                <w:sz w:val="17"/>
              </w:rPr>
              <w:t>Interfaz como superficie</w:t>
            </w:r>
          </w:p>
        </w:tc>
        <w:tc>
          <w:tcPr>
            <w:tcW w:type="dxa" w:w="4158"/>
          </w:tcPr>
          <w:p>
            <w:pPr>
              <w:spacing w:after="40"/>
            </w:pPr>
            <w:r>
              <w:rPr>
                <w:sz w:val="17"/>
              </w:rPr>
            </w:r>
            <w:r>
              <w:rPr>
                <w:rFonts w:ascii="IBM Plex Sans" w:hAnsi="IBM Plex Sans" w:cs="IBM Plex Sans"/>
                <w:b w:val="0"/>
                <w:i w:val="0"/>
                <w:color w:val="161412"/>
                <w:sz w:val="17"/>
              </w:rPr>
              <w:t>Interfaz como dimensión perceptible</w:t>
            </w:r>
          </w:p>
        </w:tc>
      </w:tr>
      <w:tr>
        <w:tc>
          <w:tcPr>
            <w:tcW w:type="dxa" w:w="4158"/>
          </w:tcPr>
          <w:p>
            <w:pPr>
              <w:spacing w:after="40"/>
            </w:pPr>
            <w:r>
              <w:rPr>
                <w:sz w:val="17"/>
              </w:rPr>
            </w:r>
            <w:r>
              <w:rPr>
                <w:rFonts w:ascii="IBM Plex Sans" w:hAnsi="IBM Plex Sans" w:cs="IBM Plex Sans"/>
                <w:b w:val="0"/>
                <w:i w:val="0"/>
                <w:color w:val="161412"/>
                <w:sz w:val="17"/>
              </w:rPr>
              <w:t>Componente como centro</w:t>
            </w:r>
          </w:p>
        </w:tc>
        <w:tc>
          <w:tcPr>
            <w:tcW w:type="dxa" w:w="4158"/>
          </w:tcPr>
          <w:p>
            <w:pPr>
              <w:spacing w:after="40"/>
            </w:pPr>
            <w:r>
              <w:rPr>
                <w:sz w:val="17"/>
              </w:rPr>
            </w:r>
            <w:r>
              <w:rPr>
                <w:rFonts w:ascii="IBM Plex Sans" w:hAnsi="IBM Plex Sans" w:cs="IBM Plex Sans"/>
                <w:b w:val="0"/>
                <w:i w:val="0"/>
                <w:color w:val="161412"/>
                <w:sz w:val="17"/>
              </w:rPr>
              <w:t>Evento como unidad de significado</w:t>
            </w:r>
          </w:p>
        </w:tc>
      </w:tr>
      <w:tr>
        <w:tc>
          <w:tcPr>
            <w:tcW w:type="dxa" w:w="4158"/>
          </w:tcPr>
          <w:p>
            <w:pPr>
              <w:spacing w:after="40"/>
            </w:pPr>
            <w:r>
              <w:rPr>
                <w:sz w:val="17"/>
              </w:rPr>
            </w:r>
            <w:r>
              <w:rPr>
                <w:rFonts w:ascii="IBM Plex Sans" w:hAnsi="IBM Plex Sans" w:cs="IBM Plex Sans"/>
                <w:b w:val="0"/>
                <w:i w:val="0"/>
                <w:color w:val="161412"/>
                <w:sz w:val="17"/>
              </w:rPr>
              <w:t>Estado final</w:t>
            </w:r>
          </w:p>
        </w:tc>
        <w:tc>
          <w:tcPr>
            <w:tcW w:type="dxa" w:w="4158"/>
          </w:tcPr>
          <w:p>
            <w:pPr>
              <w:spacing w:after="40"/>
            </w:pPr>
            <w:r>
              <w:rPr>
                <w:sz w:val="17"/>
              </w:rPr>
            </w:r>
            <w:r>
              <w:rPr>
                <w:rFonts w:ascii="IBM Plex Sans" w:hAnsi="IBM Plex Sans" w:cs="IBM Plex Sans"/>
                <w:b w:val="0"/>
                <w:i w:val="0"/>
                <w:color w:val="161412"/>
                <w:sz w:val="17"/>
              </w:rPr>
              <w:t>Transformación significativa</w:t>
            </w:r>
          </w:p>
        </w:tc>
      </w:tr>
      <w:tr>
        <w:tc>
          <w:tcPr>
            <w:tcW w:type="dxa" w:w="4158"/>
          </w:tcPr>
          <w:p>
            <w:pPr>
              <w:spacing w:after="40"/>
            </w:pPr>
            <w:r>
              <w:rPr>
                <w:sz w:val="17"/>
              </w:rPr>
            </w:r>
            <w:r>
              <w:rPr>
                <w:rFonts w:ascii="IBM Plex Sans" w:hAnsi="IBM Plex Sans" w:cs="IBM Plex Sans"/>
                <w:b w:val="0"/>
                <w:i w:val="0"/>
                <w:color w:val="161412"/>
                <w:sz w:val="17"/>
              </w:rPr>
              <w:t>Efecto local</w:t>
            </w:r>
          </w:p>
        </w:tc>
        <w:tc>
          <w:tcPr>
            <w:tcW w:type="dxa" w:w="4158"/>
          </w:tcPr>
          <w:p>
            <w:pPr>
              <w:spacing w:after="40"/>
            </w:pPr>
            <w:r>
              <w:rPr>
                <w:sz w:val="17"/>
              </w:rPr>
            </w:r>
            <w:r>
              <w:rPr>
                <w:rFonts w:ascii="IBM Plex Sans" w:hAnsi="IBM Plex Sans" w:cs="IBM Plex Sans"/>
                <w:b w:val="0"/>
                <w:i w:val="0"/>
                <w:color w:val="161412"/>
                <w:sz w:val="17"/>
              </w:rPr>
              <w:t>Gramática del cambio</w:t>
            </w:r>
          </w:p>
        </w:tc>
      </w:tr>
      <w:tr>
        <w:tc>
          <w:tcPr>
            <w:tcW w:type="dxa" w:w="4158"/>
          </w:tcPr>
          <w:p>
            <w:pPr>
              <w:spacing w:after="40"/>
            </w:pPr>
            <w:r>
              <w:rPr>
                <w:sz w:val="17"/>
              </w:rPr>
            </w:r>
            <w:r>
              <w:rPr>
                <w:rFonts w:ascii="IBM Plex Sans" w:hAnsi="IBM Plex Sans" w:cs="IBM Plex Sans"/>
                <w:b w:val="0"/>
                <w:i w:val="0"/>
                <w:color w:val="161412"/>
                <w:sz w:val="17"/>
              </w:rPr>
              <w:t>Implementación fragmentada</w:t>
            </w:r>
          </w:p>
        </w:tc>
        <w:tc>
          <w:tcPr>
            <w:tcW w:type="dxa" w:w="4158"/>
          </w:tcPr>
          <w:p>
            <w:pPr>
              <w:spacing w:after="40"/>
            </w:pPr>
            <w:r>
              <w:rPr>
                <w:sz w:val="17"/>
              </w:rPr>
            </w:r>
            <w:r>
              <w:rPr>
                <w:rFonts w:ascii="IBM Plex Sans" w:hAnsi="IBM Plex Sans" w:cs="IBM Plex Sans"/>
                <w:b w:val="0"/>
                <w:i w:val="0"/>
                <w:color w:val="161412"/>
                <w:sz w:val="17"/>
              </w:rPr>
              <w:t>Experiencia unificada</w:t>
            </w:r>
          </w:p>
        </w:tc>
      </w:tr>
    </w:tbl>
    <w:p>
      <w:pPr>
        <w:spacing w:after="120" w:line="320" w:lineRule="auto"/>
        <w:jc w:val="both"/>
      </w:pPr>
      <w:r>
        <w:rPr>
          <w:rFonts w:ascii="Newsreader" w:hAnsi="Newsreader" w:cs="Newsreader"/>
          <w:b w:val="0"/>
          <w:i w:val="0"/>
          <w:color w:val="161412"/>
        </w:rPr>
        <w:t>El usuario no necesita percibir solo que algo existe, sino qué tipo de cambio ha ocurrido y qué implica. Desde aquí, el siguiente paso será desarrollar la noción de evento con más detalle.</w:t>
      </w:r>
    </w:p>
    <w:p>
      <w:pPr>
        <w:spacing w:after="120" w:line="320" w:lineRule="auto"/>
        <w:jc w:val="both"/>
      </w:pPr>
      <w:r>
        <w:rPr>
          <w:rFonts w:ascii="Newsreader" w:hAnsi="Newsreader" w:cs="Newsreader"/>
          <w:b w:val="0"/>
          <w:i w:val="0"/>
          <w:color w:val="161412"/>
        </w:rPr>
        <w:t>Porque si la interfaz es la dimensión perceptible de un contexto operativo, entonces su unidad básica de cambio no puede ser únicamente el elemento visible.</w:t>
      </w:r>
    </w:p>
    <w:p>
      <w:pPr>
        <w:spacing w:after="120" w:line="320" w:lineRule="auto"/>
        <w:jc w:val="both"/>
      </w:pPr>
      <w:r>
        <w:rPr>
          <w:rFonts w:ascii="Newsreader" w:hAnsi="Newsreader" w:cs="Newsreader"/>
          <w:b w:val="0"/>
          <w:i w:val="0"/>
          <w:color w:val="161412"/>
        </w:rPr>
        <w:t>Tiene que ser el cambio significativo.</w:t>
      </w:r>
    </w:p>
    <w:p>
      <w:pPr>
        <w:spacing w:after="120" w:line="320" w:lineRule="auto"/>
        <w:jc w:val="both"/>
      </w:pPr>
      <w:r>
        <w:rPr>
          <w:rFonts w:ascii="Newsreader" w:hAnsi="Newsreader" w:cs="Newsreader"/>
          <w:b w:val="0"/>
          <w:i w:val="0"/>
          <w:color w:val="161412"/>
        </w:rPr>
        <w:t>Tiene que ser el evento.</w:t>
      </w:r>
    </w:p>
    <w:p>
      <w:pPr>
        <w:spacing w:after="120" w:line="320" w:lineRule="auto"/>
        <w:jc w:val="both"/>
      </w:pPr>
      <w:r>
        <w:rPr>
          <w:rFonts w:ascii="Newsreader" w:hAnsi="Newsreader" w:cs="Newsreader"/>
          <w:b w:val="0"/>
          <w:i w:val="0"/>
          <w:color w:val="161412"/>
        </w:rPr>
        <w:t>La redefinición de interfaz como dimensión perceptible de un contexto operativo prepara el desplazamiento central del libro: del componente al evento. El componente sigue siendo necesario, pero ya no basta como unidad principal de significado. Cuando la interfaz cambia, responde, espera, interrumpe, confirma o pierde algo, el usuario no interpreta solo objetos: interpreta eventos.</w:t>
      </w:r>
    </w:p>
    <w:p>
      <w:pPr>
        <w:spacing w:after="80"/>
      </w:pPr>
    </w:p>
    <w:p>
      <w:pPr>
        <w:spacing w:after="80"/>
      </w:pPr>
    </w:p>
    <w:p>
      <w:r>
        <w:br w:type="page"/>
      </w:r>
    </w:p>
    <w:p>
      <w:pPr>
        <w:spacing w:after="40"/>
      </w:pPr>
      <w:r>
        <w:rPr>
          <w:rFonts w:ascii="IBM Plex Sans" w:hAnsi="IBM Plex Sans" w:cs="IBM Plex Sans"/>
          <w:b/>
          <w:color w:val="1F3A5F"/>
          <w:sz w:val="18"/>
        </w:rPr>
        <w:t>CAPÍTULO 2</w:t>
      </w:r>
    </w:p>
    <w:p>
      <w:pPr>
        <w:spacing w:after="80" w:line="240" w:lineRule="auto"/>
      </w:pPr>
      <w:r>
        <w:rPr>
          <w:rFonts w:ascii="IBM Plex Sans" w:hAnsi="IBM Plex Sans" w:cs="IBM Plex Sans"/>
          <w:color w:val="161412"/>
          <w:sz w:val="220"/>
        </w:rPr>
        <w:t>02</w:t>
      </w:r>
    </w:p>
    <w:p>
      <w:pPr>
        <w:spacing w:after="60" w:line="240" w:lineRule="auto"/>
      </w:pPr>
      <w:r>
        <w:rPr>
          <w:rFonts w:ascii="Newsreader" w:hAnsi="Newsreader" w:cs="Newsreader"/>
          <w:color w:val="161412"/>
          <w:sz w:val="60"/>
        </w:rPr>
        <w:t>Por qué preguntamos ahora</w:t>
      </w:r>
    </w:p>
    <w:p>
      <w:pPr>
        <w:spacing w:after="280"/>
      </w:pPr>
      <w:r>
        <w:rPr>
          <w:rFonts w:ascii="IBM Plex Sans" w:hAnsi="IBM Plex Sans" w:cs="IBM Plex Sans"/>
          <w:color w:val="6A635A"/>
          <w:sz w:val="26"/>
        </w:rPr>
        <w:t>Sedimentación, dependencia del camino y la carga paradigmática del diseño de interfaces</w:t>
      </w:r>
    </w:p>
    <w:p>
      <w:pPr>
        <w:pBdr>
          <w:bottom w:val="single" w:sz="4" w:space="4" w:color="1F3A5F"/>
        </w:pBdr>
      </w:pP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¿Por qué seguimos diseñando lo que ocurre con convenciones que nadie decidió y que ya no sabemos justificar?</w:t>
      </w:r>
    </w:p>
    <w:p>
      <w:pPr>
        <w:spacing w:after="120" w:line="320" w:lineRule="auto"/>
        <w:jc w:val="both"/>
      </w:pPr>
      <w:r>
        <w:rPr>
          <w:rFonts w:ascii="Newsreader" w:hAnsi="Newsreader" w:cs="Newsreader"/>
          <w:b w:val="0"/>
          <w:i w:val="0"/>
          <w:color w:val="161412"/>
        </w:rPr>
        <w:t xml:space="preserve">Al lector de este libro le asaltará pronto una pregunta incómoda: si algunas de las convenciones que utilizamos todos los días para diseñar interfaces están tan débilmente fundamentadas como este texto sostendrá, ¿cómo es posible que hayan persistido durante décadas sin que nadie las cuestionase?</w:t>
      </w:r>
    </w:p>
    <w:p>
      <w:pPr>
        <w:spacing w:after="120" w:line="320" w:lineRule="auto"/>
        <w:jc w:val="both"/>
      </w:pPr>
      <w:r>
        <w:rPr>
          <w:rFonts w:ascii="Newsreader" w:hAnsi="Newsreader" w:cs="Newsreader"/>
          <w:b w:val="0"/>
          <w:i w:val="0"/>
          <w:color w:val="161412"/>
        </w:rPr>
        <w:t xml:space="preserve">¿Por qué, si el intent de cuatro categorías hereda su estructura de los semáforos ferroviarios del siglo XIX, la industria no ha vuelto sobre esa herencia para preguntarse si es correcta? ¿Por qué el sonido en la web se sigue tratando como accesorio cuando la neurociencia afectiva lleva treinta años documentando que el procesamiento auditivo es el más rápido y el más eficaz para comunicar valencia emocional? ¿Por qué la dimensión temporal del evento —el cómo, no solo el qué— sigue siendo tratada como decoración añadida en lugar de como sustancia del significado?</w:t>
      </w:r>
    </w:p>
    <w:p>
      <w:pPr>
        <w:spacing w:after="120" w:line="320" w:lineRule="auto"/>
        <w:jc w:val="both"/>
      </w:pPr>
      <w:r>
        <w:rPr>
          <w:rFonts w:ascii="Newsreader" w:hAnsi="Newsreader" w:cs="Newsreader"/>
          <w:b w:val="0"/>
          <w:i w:val="0"/>
          <w:color w:val="161412"/>
        </w:rPr>
        <w:t xml:space="preserve">La respuesta natural, la que primero viene a la mente, es que hay una especie de deuda técnica histórica: decisiones que se tomaron hace tiempo, que funcionaron entonces, y que siguen vigentes por inercia. Este capítulo sostendrá que esa respuesta, aunque contiene una intuición correcta, se queda corta. Lo que ocurre en el diseño de interfaces no es exactamente deuda técnica. Es algo más profundo y más difícil de erradicar: una combinación de </w:t>
      </w:r>
      <w:r>
        <w:rPr>
          <w:rFonts w:ascii="Newsreader" w:hAnsi="Newsreader" w:cs="Newsreader"/>
          <w:b w:val="0"/>
          <w:i/>
          <w:color w:val="161412"/>
        </w:rPr>
        <w:t xml:space="preserve">sedimentación cultural sin examen</w:t>
      </w:r>
      <w:r>
        <w:rPr>
          <w:rFonts w:ascii="Newsreader" w:hAnsi="Newsreader" w:cs="Newsreader"/>
          <w:b w:val="0"/>
          <w:i w:val="0"/>
          <w:color w:val="161412"/>
        </w:rPr>
        <w:t xml:space="preserve">, </w:t>
      </w:r>
      <w:r>
        <w:rPr>
          <w:rFonts w:ascii="Newsreader" w:hAnsi="Newsreader" w:cs="Newsreader"/>
          <w:b w:val="0"/>
          <w:i/>
          <w:color w:val="161412"/>
        </w:rPr>
        <w:t xml:space="preserve">dependencia del camino</w:t>
      </w:r>
      <w:r>
        <w:rPr>
          <w:rFonts w:ascii="Newsreader" w:hAnsi="Newsreader" w:cs="Newsreader"/>
          <w:b w:val="0"/>
          <w:i w:val="0"/>
          <w:color w:val="161412"/>
        </w:rPr>
        <w:t xml:space="preserve"> y lo que la filosofía de la ciencia llama </w:t>
      </w:r>
      <w:r>
        <w:rPr>
          <w:rFonts w:ascii="Newsreader" w:hAnsi="Newsreader" w:cs="Newsreader"/>
          <w:b w:val="0"/>
          <w:i/>
          <w:color w:val="161412"/>
        </w:rPr>
        <w:t xml:space="preserve">carga paradigmática</w:t>
      </w:r>
      <w:r>
        <w:rPr>
          <w:rFonts w:ascii="Newsreader" w:hAnsi="Newsreader" w:cs="Newsreader"/>
          <w:b w:val="0"/>
          <w:i w:val="0"/>
          <w:color w:val="161412"/>
        </w:rPr>
        <w:t xml:space="preserve">. Entender estos tres mecanismos es la condición para poder preguntar, por primera vez, qué parte del edificio del diseño de interfaces se sostiene y qué parte simplemente persiste.</w:t>
      </w:r>
    </w:p>
    <w:p>
      <w:pPr>
        <w:spacing w:before="320" w:after="40"/>
      </w:pPr>
      <w:r>
        <w:rPr>
          <w:rFonts w:ascii="IBM Plex Sans" w:hAnsi="IBM Plex Sans" w:cs="IBM Plex Sans"/>
          <w:b/>
          <w:color w:val="1F3A5F"/>
          <w:sz w:val="18"/>
        </w:rPr>
        <w:t xml:space="preserve">§ 1</w:t>
      </w:r>
    </w:p>
    <w:p>
      <w:pPr>
        <w:spacing w:after="160" w:line="240" w:lineRule="auto"/>
      </w:pPr>
      <w:r>
        <w:rPr>
          <w:rFonts w:ascii="Newsreader" w:hAnsi="Newsreader" w:cs="Newsreader"/>
          <w:color w:val="161412"/>
          <w:sz w:val="38"/>
        </w:rPr>
        <w:t xml:space="preserve">Por qué «deuda técnica» no es la categoría correcta</w:t>
      </w:r>
    </w:p>
    <w:p>
      <w:pPr>
        <w:spacing w:after="120" w:line="320" w:lineRule="auto"/>
        <w:jc w:val="both"/>
      </w:pPr>
      <w:r>
        <w:rPr>
          <w:rFonts w:ascii="Newsreader" w:hAnsi="Newsreader" w:cs="Newsreader"/>
          <w:b w:val="0"/>
          <w:i w:val="0"/>
          <w:color w:val="161412"/>
        </w:rPr>
        <w:t xml:space="preserve">La expresión </w:t>
      </w:r>
      <w:r>
        <w:rPr>
          <w:rFonts w:ascii="Newsreader" w:hAnsi="Newsreader" w:cs="Newsreader"/>
          <w:b w:val="0"/>
          <w:i/>
          <w:color w:val="161412"/>
        </w:rPr>
        <w:t xml:space="preserve">deuda técnica</w:t>
      </w:r>
      <w:r>
        <w:rPr>
          <w:rFonts w:ascii="Newsreader" w:hAnsi="Newsreader" w:cs="Newsreader"/>
          <w:b w:val="0"/>
          <w:i w:val="0"/>
          <w:color w:val="161412"/>
        </w:rPr>
        <w:t xml:space="preserve"> fue acuñada por Ward Cunningham a finales de los años ochenta para describir un fenómeno concreto del desarrollo de software: las decisiones de implementación que se toman a sabiendas de que son subóptimas, asumiendo el coste futuro de corregirlas a cambio de avanzar más rápido en el presente. La deuda técnica tiene tres características constitutivas. Hay una </w:t>
      </w:r>
      <w:r>
        <w:rPr>
          <w:rFonts w:ascii="Newsreader" w:hAnsi="Newsreader" w:cs="Newsreader"/>
          <w:b/>
          <w:i w:val="0"/>
          <w:color w:val="161412"/>
        </w:rPr>
        <w:t xml:space="preserve">decisión consciente</w:t>
      </w:r>
      <w:r>
        <w:rPr>
          <w:rFonts w:ascii="Newsreader" w:hAnsi="Newsreader" w:cs="Newsreader"/>
          <w:b w:val="0"/>
          <w:i w:val="0"/>
          <w:color w:val="161412"/>
        </w:rPr>
        <w:t xml:space="preserve">: alguien sabe que la solución no es la buena. Hay un </w:t>
      </w:r>
      <w:r>
        <w:rPr>
          <w:rFonts w:ascii="Newsreader" w:hAnsi="Newsreader" w:cs="Newsreader"/>
          <w:b/>
          <w:i w:val="0"/>
          <w:color w:val="161412"/>
        </w:rPr>
        <w:t xml:space="preserve">trade-off temporal</w:t>
      </w:r>
      <w:r>
        <w:rPr>
          <w:rFonts w:ascii="Newsreader" w:hAnsi="Newsreader" w:cs="Newsreader"/>
          <w:b w:val="0"/>
          <w:i w:val="0"/>
          <w:color w:val="161412"/>
        </w:rPr>
        <w:t xml:space="preserve">: se acepta el coste a cambio de un beneficio inmediato. Y hay una </w:t>
      </w:r>
      <w:r>
        <w:rPr>
          <w:rFonts w:ascii="Newsreader" w:hAnsi="Newsreader" w:cs="Newsreader"/>
          <w:b/>
          <w:i w:val="0"/>
          <w:color w:val="161412"/>
        </w:rPr>
        <w:t xml:space="preserve">voluntad latente de pagarla</w:t>
      </w:r>
      <w:r>
        <w:rPr>
          <w:rFonts w:ascii="Newsreader" w:hAnsi="Newsreader" w:cs="Newsreader"/>
          <w:b w:val="0"/>
          <w:i w:val="0"/>
          <w:color w:val="161412"/>
        </w:rPr>
        <w:t xml:space="preserve">: la deuda se contrae con la intención —aunque sea diferida— de saldarla algún día.</w:t>
      </w:r>
    </w:p>
    <w:p>
      <w:pPr>
        <w:spacing w:after="120" w:line="320" w:lineRule="auto"/>
        <w:jc w:val="both"/>
      </w:pPr>
      <w:r>
        <w:rPr>
          <w:rFonts w:ascii="Newsreader" w:hAnsi="Newsreader" w:cs="Newsreader"/>
          <w:b w:val="0"/>
          <w:i w:val="0"/>
          <w:color w:val="161412"/>
        </w:rPr>
        <w:t xml:space="preserve">Lo que el diseño de interfaces arrastra no cumple ninguna de estas tres condiciones. Cuando Bootstrap definió en 2012 sus cuatro clases contextuales —</w:t>
      </w:r>
      <w:r>
        <w:rPr>
          <w:rFonts w:ascii="Newsreader" w:hAnsi="Newsreader" w:cs="Newsreader"/>
          <w:b w:val="0"/>
          <w:i/>
          <w:color w:val="161412"/>
        </w:rPr>
        <w:t xml:space="preserve">success, danger, warning, info</w:t>
      </w:r>
      <w:r>
        <w:rPr>
          <w:rFonts w:ascii="Newsreader" w:hAnsi="Newsreader" w:cs="Newsreader"/>
          <w:b w:val="0"/>
          <w:i w:val="0"/>
          <w:color w:val="161412"/>
        </w:rPr>
        <w:t xml:space="preserve">— no fue una decisión consciente de posponer un análisis más profundo de los estados afectivos que una interfaz necesita comunicar. No hubo ningún debate interno en el equipo de Twitter sobre si esas cuatro categorías agotaban el espacio afectivo relevante. No se registró en ningún commit un comentario del tipo «provisional, revisar cuando tengamos tiempo». Simplemente se adoptó la estructura más obvia —la que todo el mundo ya entendía del semáforo—, se implementaron cuatro clases CSS, y se siguió adelante.</w:t>
      </w:r>
    </w:p>
    <w:p>
      <w:pPr>
        <w:spacing w:after="120" w:line="320" w:lineRule="auto"/>
        <w:jc w:val="both"/>
      </w:pPr>
      <w:r>
        <w:rPr>
          <w:rFonts w:ascii="Newsreader" w:hAnsi="Newsreader" w:cs="Newsreader"/>
          <w:b w:val="0"/>
          <w:i w:val="0"/>
          <w:color w:val="161412"/>
        </w:rPr>
        <w:t xml:space="preserve">Lo mismo ocurre con prácticamente todas las convenciones históricas que este libro examinará. La idea de que el sonido es un accesorio de la interfaz, no un canal constitutivo, no procede de un análisis perceptivo riguroso que concluyera «el sonido es secundario». Procede de limitaciones tecnológicas iniciales (la web no podía reproducir sonido de forma fiable), políticas de navegador (autoplay restringido por razones de abuso publicitario) y convenciones culturales (oficinas silenciosas, uso en público). Ninguna de estas razones es falsa, pero ninguna es el resultado de preguntarse qué papel ocupa el sonido en la percepción humana de los eventos.</w:t>
      </w:r>
    </w:p>
    <w:p>
      <w:pPr>
        <w:spacing w:after="120" w:line="320" w:lineRule="auto"/>
        <w:jc w:val="both"/>
      </w:pPr>
      <w:r>
        <w:rPr>
          <w:rFonts w:ascii="Newsreader" w:hAnsi="Newsreader" w:cs="Newsreader"/>
          <w:b w:val="0"/>
          <w:i w:val="0"/>
          <w:color w:val="161412"/>
        </w:rPr>
        <w:t xml:space="preserve">Esta distinción importa porque las dos situaciones se corrigen de forma muy diferente. La deuda técnica se paga reescribiendo código: hay un problema identificado, una solución conocida, y solo falta el tiempo para implementarla. Lo que el diseño de interfaces arrastra no se paga así, porque el problema ni siquiera está identificado. La mayoría de los desarrolladores y diseñadores que hoy escriben class="alert alert-danger" no creen estar contrayendo ninguna deuda. Creen estar usando un estándar correctamente. No hay conciencia de insuficiencia, y sin conciencia de insuficiencia no hay deuda que saldar —hay un supuesto que nunca fue examinado.</w:t>
      </w:r>
    </w:p>
    <w:p>
      <w:pPr>
        <w:spacing w:before="160" w:after="40"/>
        <w:pBdr>
          <w:left w:val="single" w:sz="18" w:space="12" w:color="1F3A5F"/>
        </w:pBdr>
      </w:pPr>
      <w:r>
        <w:rPr>
          <w:rFonts w:ascii="IBM Plex Sans" w:hAnsi="IBM Plex Sans" w:cs="IBM Plex Sans"/>
          <w:b/>
          <w:color w:val="1F3A5F"/>
          <w:sz w:val="16"/>
        </w:rPr>
        <w:t xml:space="preserve">DISTINCIÓN</w:t>
      </w:r>
    </w:p>
    <w:p>
      <w:pPr>
        <w:spacing w:after="120" w:line="312" w:lineRule="auto"/>
        <w:pBdr>
          <w:left w:val="single" w:sz="18" w:space="12" w:color="1F3A5F"/>
        </w:pBdr>
      </w:pPr>
      <w:r>
        <w:rPr>
          <w:rFonts w:ascii="Newsreader" w:hAnsi="Newsreader" w:cs="Newsreader"/>
          <w:b w:val="0"/>
          <w:i/>
          <w:color w:val="3A352F"/>
        </w:rPr>
        <w:t xml:space="preserve">Una deuda se contrae sabiendo que se contrae. Un supuesto no examinado es invisible para quien lo sostiene. Lo primero se corrige con tiempo y código. Lo segundo requiere un tipo de trabajo cualitativamente distinto: el examen de las premisas sobre las que uno mismo está operando.</w:t>
      </w:r>
    </w:p>
    <w:p>
      <w:pPr>
        <w:spacing w:before="320" w:after="40"/>
      </w:pPr>
      <w:r>
        <w:rPr>
          <w:rFonts w:ascii="IBM Plex Sans" w:hAnsi="IBM Plex Sans" w:cs="IBM Plex Sans"/>
          <w:b/>
          <w:color w:val="1F3A5F"/>
          <w:sz w:val="18"/>
        </w:rPr>
        <w:t xml:space="preserve">§ 2</w:t>
      </w:r>
    </w:p>
    <w:p>
      <w:pPr>
        <w:spacing w:after="160" w:line="240" w:lineRule="auto"/>
      </w:pPr>
      <w:r>
        <w:rPr>
          <w:rFonts w:ascii="Newsreader" w:hAnsi="Newsreader" w:cs="Newsreader"/>
          <w:color w:val="161412"/>
          <w:sz w:val="38"/>
        </w:rPr>
        <w:t xml:space="preserve">Sedimentación cultural sin examen</w:t>
      </w:r>
    </w:p>
    <w:p>
      <w:pPr>
        <w:spacing w:after="120" w:line="320" w:lineRule="auto"/>
        <w:jc w:val="both"/>
      </w:pPr>
      <w:r>
        <w:rPr>
          <w:rFonts w:ascii="Newsreader" w:hAnsi="Newsreader" w:cs="Newsreader"/>
          <w:b w:val="0"/>
          <w:i w:val="0"/>
          <w:color w:val="161412"/>
        </w:rPr>
        <w:t xml:space="preserve">Basta abrir cualquier aplicación y guardar un archivo. Lo más probable es pulsar el icono de un disquete: un cuadrado de plástico de tres pulgadas y media que casi nadie por debajo de los treinta ha sostenido jamás. Guardamos pulsando la imagen de un objeto muerto. Para «llamar» tocamos la silueta de un auricular que hace tiempo que no tiene esa forma. Adjuntamos un «clip». Mandamos copia con las siglas CC —carbon copy—, que nombran un papel carbón desaparecido con las máquinas de escribir. Borramos arrastrando a una «papelera».</w:t>
      </w:r>
    </w:p>
    <w:p>
      <w:pPr>
        <w:spacing w:after="120" w:line="320" w:lineRule="auto"/>
        <w:jc w:val="both"/>
      </w:pPr>
      <w:r>
        <w:rPr>
          <w:rFonts w:ascii="Newsreader" w:hAnsi="Newsreader" w:cs="Newsreader"/>
          <w:b w:val="0"/>
          <w:i w:val="0"/>
          <w:color w:val="161412"/>
        </w:rPr>
        <w:t xml:space="preserve">Ninguna de esas imágenes describe ya lo que hace. Son fósiles: capas de una tecnología anterior que quedaron incrustadas en la siguiente y siguieron sirviendo como signo mucho después de morir como objeto. No están ahí porque sean las mejores metáforas posibles, sino porque, una vez que algo se entiende, cambiarlo cuesta más que dejarlo.</w:t>
      </w:r>
    </w:p>
    <w:p>
      <w:pPr>
        <w:spacing w:after="120" w:line="320" w:lineRule="auto"/>
        <w:jc w:val="both"/>
      </w:pPr>
      <w:r>
        <w:rPr>
          <w:rFonts w:ascii="Newsreader" w:hAnsi="Newsreader" w:cs="Newsreader"/>
          <w:b w:val="0"/>
          <w:i w:val="0"/>
          <w:color w:val="161412"/>
        </w:rPr>
        <w:t xml:space="preserve">Lo que en realidad ocurre en el diseño de interfaces es un fenómeno que se entiende mejor con una metáfora geológica que con una metáfora financiera. Las convenciones no se han contraído como deudas: se han sedimentado como capas. Cada generación de herramientas, frameworks y prácticas ha depositado su sedimento sobre el anterior, y lo que tenemos ahora es el resultado acumulativo de esa sedimentación.</w:t>
      </w:r>
    </w:p>
    <w:p>
      <w:pPr>
        <w:spacing w:after="120" w:line="320" w:lineRule="auto"/>
        <w:jc w:val="both"/>
      </w:pPr>
      <w:r>
        <w:rPr>
          <w:rFonts w:ascii="Newsreader" w:hAnsi="Newsreader" w:cs="Newsreader"/>
          <w:b w:val="0"/>
          <w:i w:val="0"/>
          <w:color w:val="161412"/>
        </w:rPr>
        <w:t xml:space="preserve">La capa más profunda la constituyen las convenciones heredadas de campos previos. El rojo como señal de peligro no nació en las interfaces digitales: nació en la señalización ferroviaria del siglo XIX, que a su vez heredó asociaciones aún más antiguas del mundo industrial y del lenguaje natural. La jerarquía tipográfica procede de la imprenta y se formaliza con Gutenberg. La organización en columnas y cajas procede del diseño editorial y del cartelismo del siglo XX. El concepto mismo de «página» como unidad de interfaz web procede directamente del papel. Cada una de estas convenciones fue apropiada porque resolvía un problema inmediato en el nuevo medio digital, y porque el nuevo medio aún no tenía vocabulario propio para plantearlo de otra manera.</w:t>
      </w:r>
    </w:p>
    <w:p>
      <w:pPr>
        <w:spacing w:after="120" w:line="320" w:lineRule="auto"/>
        <w:jc w:val="both"/>
      </w:pPr>
      <w:r>
        <w:rPr>
          <w:rFonts w:ascii="Newsreader" w:hAnsi="Newsreader" w:cs="Newsreader"/>
          <w:b w:val="0"/>
          <w:i w:val="0"/>
          <w:color w:val="161412"/>
        </w:rPr>
        <w:t xml:space="preserve">Sobre esa capa se depositan las convenciones de la primera generación de interfaces digitales: el escritorio metáfora (Xerox PARC, Apple Lisa, Macintosh), los menús desplegables, las ventanas apilables, los botones tridimensionales con sombras. Esta capa introdujo innovaciones reales, pero también cristalizó soluciones que respondían a limitaciones tecnológicas de la época —pantallas de baja resolución, paletas de color limitadas, potencia de cálculo escasa— y que sobrevivieron mucho después de que esas limitaciones desaparecieran.</w:t>
      </w:r>
    </w:p>
    <w:p>
      <w:pPr>
        <w:spacing w:after="120" w:line="320" w:lineRule="auto"/>
        <w:jc w:val="both"/>
      </w:pPr>
      <w:r>
        <w:rPr>
          <w:rFonts w:ascii="Newsreader" w:hAnsi="Newsreader" w:cs="Newsreader"/>
          <w:b w:val="0"/>
          <w:i w:val="0"/>
          <w:color w:val="161412"/>
        </w:rPr>
        <w:t xml:space="preserve">Sobre esa capa llegaron la web (HTML, CSS, el modelo de caja), los frameworks de componentes (Bootstrap, Material, y toda su descendencia), los sistemas de diseño corporativos (Fluent, Carbon, Human Interface Guidelines), y las librerías headless (Radix, Bits UI, Ariakit). Cada una de estas capas tomó como punto de partida el sedimento acumulado por las anteriores, resolvió los problemas que tenía delante, y añadió su propio sedimento.</w:t>
      </w:r>
    </w:p>
    <w:p>
      <w:pPr>
        <w:spacing w:before="200" w:after="60"/>
        <w:jc w:val="center"/>
      </w:pPr>
      <w:r>
        <w:drawing>
          <wp:inline xmlns:a="http://schemas.openxmlformats.org/drawingml/2006/main" xmlns:pic="http://schemas.openxmlformats.org/drawingml/2006/picture">
            <wp:extent cx="5029200" cy="3074098"/>
            <wp:docPr id="6" name="Picture 6"/>
            <wp:cNvGraphicFramePr>
              <a:graphicFrameLocks noChangeAspect="1"/>
            </wp:cNvGraphicFramePr>
            <a:graphic>
              <a:graphicData uri="http://schemas.openxmlformats.org/drawingml/2006/picture">
                <pic:pic>
                  <pic:nvPicPr>
                    <pic:cNvPr id="0" name="figura-2-1.png"/>
                    <pic:cNvPicPr/>
                  </pic:nvPicPr>
                  <pic:blipFill>
                    <a:blip r:embed="rId14"/>
                    <a:stretch>
                      <a:fillRect/>
                    </a:stretch>
                  </pic:blipFill>
                  <pic:spPr>
                    <a:xfrm>
                      <a:off x="0" y="0"/>
                      <a:ext cx="5029200" cy="3074098"/>
                    </a:xfrm>
                    <a:prstGeom prst="rect"/>
                  </pic:spPr>
                </pic:pic>
              </a:graphicData>
            </a:graphic>
          </wp:inline>
        </w:drawing>
      </w:r>
    </w:p>
    <w:p>
      <w:pPr>
        <w:spacing w:after="120" w:line="320" w:lineRule="auto"/>
        <w:jc w:val="both"/>
      </w:pPr>
      <w:r>
        <w:rPr>
          <w:rFonts w:ascii="Newsreader" w:hAnsi="Newsreader" w:cs="Newsreader"/>
          <w:b w:val="0"/>
          <w:i w:val="0"/>
          <w:color w:val="161412"/>
        </w:rPr>
        <w:t xml:space="preserve">El resultado es un edificio de convenciones cuyos cimientos están tan cubiertos por capas posteriores que ya no son visibles. Cuando un diseñador en 2026 elige una paleta de colores para estados del sistema, no está tomando una decisión desde cero: está tomando una decisión condicionada por Material de Google, que a su vez estuvo condicionado por Bootstrap, que a su vez estuvo condicionado por las convenciones web anteriores, que a su vez estuvieron condicionadas por las convenciones de los sistemas operativos de escritorio, que a su vez estuvieron condicionadas por las convenciones industriales, que a su vez heredaron las convenciones ferroviarias. Cada uno de estos eslabones tuvo una razón local para hacer lo que hizo. Pero la cadena completa no fue nunca sometida a examen perceptivo.</w:t>
      </w:r>
    </w:p>
    <w:p>
      <w:pPr>
        <w:spacing w:after="120" w:line="320" w:lineRule="auto"/>
        <w:jc w:val="both"/>
      </w:pPr>
      <w:r>
        <w:rPr>
          <w:rFonts w:ascii="Newsreader" w:hAnsi="Newsreader" w:cs="Newsreader"/>
          <w:b w:val="0"/>
          <w:i w:val="0"/>
          <w:color w:val="161412"/>
        </w:rPr>
        <w:t xml:space="preserve">Esta sedimentación no es mala en sí misma. Es, de hecho, una forma eficiente de acumular conocimiento: no hace falta reinventar la jerarquía tipográfica cada vez que se diseña una interfaz, ni redescubrir que los botones deben parecer presionables. Lo problemático no es que haya convenciones heredadas. Lo problemático es que algunas de esas convenciones operan en zonas donde el medio digital ha desbordado completamente los contextos originales que las justificaban, y donde la herencia deja de ser una base sólida para convertirse en una limitación invisible.</w:t>
      </w:r>
    </w:p>
    <w:p>
      <w:pPr>
        <w:spacing w:before="320" w:after="40"/>
      </w:pPr>
      <w:r>
        <w:rPr>
          <w:rFonts w:ascii="IBM Plex Sans" w:hAnsi="IBM Plex Sans" w:cs="IBM Plex Sans"/>
          <w:b/>
          <w:color w:val="1F3A5F"/>
          <w:sz w:val="18"/>
        </w:rPr>
        <w:t xml:space="preserve">§ 3</w:t>
      </w:r>
    </w:p>
    <w:p>
      <w:pPr>
        <w:spacing w:after="160" w:line="240" w:lineRule="auto"/>
      </w:pPr>
      <w:r>
        <w:rPr>
          <w:rFonts w:ascii="Newsreader" w:hAnsi="Newsreader" w:cs="Newsreader"/>
          <w:color w:val="161412"/>
          <w:sz w:val="38"/>
        </w:rPr>
        <w:t xml:space="preserve">Dependencia del camino</w:t>
      </w:r>
    </w:p>
    <w:p>
      <w:pPr>
        <w:spacing w:after="120" w:line="320" w:lineRule="auto"/>
        <w:jc w:val="both"/>
      </w:pPr>
      <w:r>
        <w:rPr>
          <w:rFonts w:ascii="Newsreader" w:hAnsi="Newsreader" w:cs="Newsreader"/>
          <w:b w:val="0"/>
          <w:i w:val="0"/>
          <w:color w:val="161412"/>
        </w:rPr>
        <w:t xml:space="preserve">Una vez que una convención se ha sedimentado y se ha difundido, entra en juego un segundo mecanismo que explica por qué persiste aunque existan alternativas mejores. La filosofía de la ciencia y la economía histórica lo llaman </w:t>
      </w:r>
      <w:r>
        <w:rPr>
          <w:rFonts w:ascii="Newsreader" w:hAnsi="Newsreader" w:cs="Newsreader"/>
          <w:b w:val="0"/>
          <w:i/>
          <w:color w:val="161412"/>
        </w:rPr>
        <w:t xml:space="preserve">dependencia del camino</w:t>
      </w:r>
      <w:r>
        <w:rPr>
          <w:rFonts w:ascii="Newsreader" w:hAnsi="Newsreader" w:cs="Newsreader"/>
          <w:b w:val="0"/>
          <w:i w:val="0"/>
          <w:color w:val="161412"/>
        </w:rPr>
        <w:t xml:space="preserve"> (</w:t>
      </w:r>
      <w:r>
        <w:rPr>
          <w:rFonts w:ascii="Newsreader" w:hAnsi="Newsreader" w:cs="Newsreader"/>
          <w:b w:val="0"/>
          <w:i/>
          <w:color w:val="161412"/>
        </w:rPr>
        <w:t xml:space="preserve">path dependency</w:t>
      </w:r>
      <w:r>
        <w:rPr>
          <w:rFonts w:ascii="Newsreader" w:hAnsi="Newsreader" w:cs="Newsreader"/>
          <w:b w:val="0"/>
          <w:i w:val="0"/>
          <w:color w:val="161412"/>
        </w:rPr>
        <w:t xml:space="preserve">), un concepto desarrollado por el economista Paul David en los años ochenta y refinado por W. Brian Arthur en su análisis de los rendimientos crecientes en procesos históricos.</w:t>
      </w:r>
    </w:p>
    <w:p>
      <w:pPr>
        <w:spacing w:after="120" w:line="320" w:lineRule="auto"/>
        <w:jc w:val="both"/>
      </w:pPr>
      <w:r>
        <w:rPr>
          <w:rFonts w:ascii="Newsreader" w:hAnsi="Newsreader" w:cs="Newsreader"/>
          <w:b w:val="0"/>
          <w:i w:val="0"/>
          <w:color w:val="161412"/>
        </w:rPr>
        <w:t xml:space="preserve">La dependencia del camino describe una situación en la que una elección inicial, tomada en condiciones concretas y a menudo por razones contingentes, determina las elecciones posteriores incluso cuando las condiciones originales han desaparecido. Cada decisión refuerza el camino elegido, y el coste de abandonarlo crece con el tiempo hasta que el cambio se vuelve prácticamente imposible: no porque sea técnicamente inviable, sino porque el sistema entero —prácticas, herramientas, conocimientos, expectativas— se ha organizado alrededor del camino inicial.</w:t>
      </w:r>
    </w:p>
    <w:p>
      <w:pPr>
        <w:spacing w:before="240" w:after="100"/>
      </w:pPr>
      <w:r>
        <w:rPr>
          <w:rFonts w:ascii="Newsreader" w:hAnsi="Newsreader" w:cs="Newsreader"/>
          <w:i/>
          <w:color w:val="1F3A5F"/>
          <w:sz w:val="28"/>
        </w:rPr>
        <w:t xml:space="preserve">El ejemplo clásico: QWERTY</w:t>
      </w:r>
    </w:p>
    <w:p>
      <w:pPr>
        <w:spacing w:after="120" w:line="320" w:lineRule="auto"/>
        <w:jc w:val="both"/>
      </w:pPr>
      <w:r>
        <w:rPr>
          <w:rFonts w:ascii="Newsreader" w:hAnsi="Newsreader" w:cs="Newsreader"/>
          <w:b w:val="0"/>
          <w:i w:val="0"/>
          <w:color w:val="161412"/>
        </w:rPr>
        <w:t xml:space="preserve">El caso más conocido es la distribución QWERTY del teclado, y no por casualidad: fue el ejemplo con el que David puso nombre a la idea. En junio de 1868, Christopher Latham Sholes patentó la máquina que acabaría imponiendo la forma en que el mundo escribe. Su problema no era la velocidad del mecanógrafo, sino la del metal: las barras de tipos, al golpear dos teclas vecinas casi a la vez, se enganchaban. Sholes fue reordenando las letras para que los pares más frecuentes del inglés quedaran lejos en el teclado y sus barras subieran desde lados opuestos, sin chocar. La distribución que hoy tocan miles de millones de dedos nació de la mecánica de un martillo que ya no existe. Sholes hasta dejó un guiño comercial: colocó las letras de </w:t>
      </w:r>
      <w:r>
        <w:rPr>
          <w:rFonts w:ascii="Newsreader" w:hAnsi="Newsreader" w:cs="Newsreader"/>
          <w:b w:val="0"/>
          <w:i/>
          <w:color w:val="161412"/>
        </w:rPr>
        <w:t xml:space="preserve">typewriter</w:t>
      </w:r>
      <w:r>
        <w:rPr>
          <w:rFonts w:ascii="Newsreader" w:hAnsi="Newsreader" w:cs="Newsreader"/>
          <w:b w:val="0"/>
          <w:i w:val="0"/>
          <w:color w:val="161412"/>
        </w:rPr>
        <w:t xml:space="preserve"> en una sola fila, para que un vendedor pudiera escribir la palabra de un golpe y deslumbrar al cliente.</w:t>
      </w:r>
    </w:p>
    <w:p>
      <w:pPr>
        <w:spacing w:after="120" w:line="320" w:lineRule="auto"/>
        <w:jc w:val="both"/>
      </w:pPr>
      <w:r>
        <w:rPr>
          <w:rFonts w:ascii="Newsreader" w:hAnsi="Newsreader" w:cs="Newsreader"/>
          <w:b w:val="0"/>
          <w:i w:val="0"/>
          <w:color w:val="161412"/>
        </w:rPr>
        <w:t xml:space="preserve">Esa restricción desapareció hace más de un siglo. No hay barras, no hay enganche, no hay metal. Y sin embargo la mano sigue buscando las letras donde las puso un impresor de Wisconsin para frenar un mecanismo del XIX.</w:t>
      </w:r>
    </w:p>
    <w:p>
      <w:pPr>
        <w:spacing w:after="120" w:line="320" w:lineRule="auto"/>
        <w:jc w:val="both"/>
      </w:pPr>
      <w:r>
        <w:rPr>
          <w:rFonts w:ascii="Newsreader" w:hAnsi="Newsreader" w:cs="Newsreader"/>
          <w:b w:val="0"/>
          <w:i w:val="0"/>
          <w:color w:val="161412"/>
        </w:rPr>
        <w:t xml:space="preserve">En 1936, August Dvorak patentó una distribución pensada para el mecanógrafo y no para la máquina: las letras más frecuentes bajo los dedos más fuertes, menos recorrido, menos fatiga. Sobre el papel era mejor; casi nadie lo usa. Que fuera realmente superior está discutido: los economistas Liebowitz y Margolis encontraron endebles las pruebas, producidas en buena parte por el propio Dvorak, que era juez y parte. Pero la disputa no toca lo esencial: nadie niega que la razón mecánica que dio forma a QWERTY desapareció, ni que el teclado siga ahí. Ciento cincuenta años después del atasco de palancas, seguimos escribiendo en QWERTY.</w:t>
      </w:r>
    </w:p>
    <w:p>
      <w:pPr>
        <w:spacing w:before="240" w:after="100"/>
      </w:pPr>
      <w:r>
        <w:rPr>
          <w:rFonts w:ascii="Newsreader" w:hAnsi="Newsreader" w:cs="Newsreader"/>
          <w:i/>
          <w:color w:val="1F3A5F"/>
          <w:sz w:val="28"/>
        </w:rPr>
        <w:t xml:space="preserve">Los QWERTYs del diseño de interfaces</w:t>
      </w:r>
    </w:p>
    <w:p>
      <w:pPr>
        <w:spacing w:after="120" w:line="320" w:lineRule="auto"/>
        <w:jc w:val="both"/>
      </w:pPr>
      <w:r>
        <w:rPr>
          <w:rFonts w:ascii="Newsreader" w:hAnsi="Newsreader" w:cs="Newsreader"/>
          <w:b w:val="0"/>
          <w:i w:val="0"/>
          <w:color w:val="161412"/>
        </w:rPr>
        <w:t xml:space="preserve">El diseño de interfaces tiene varios QWERTYs, y reconocerlos es el primer paso para entender por qué persisten.</w:t>
      </w:r>
    </w:p>
    <w:p>
      <w:pPr>
        <w:spacing w:after="120" w:line="320" w:lineRule="auto"/>
        <w:jc w:val="both"/>
      </w:pPr>
      <w:r>
        <w:rPr>
          <w:rFonts w:ascii="Newsreader" w:hAnsi="Newsreader" w:cs="Newsreader"/>
          <w:b/>
          <w:i w:val="0"/>
          <w:color w:val="161412"/>
        </w:rPr>
        <w:t xml:space="preserve">El intent de cuatro categorías</w:t>
      </w:r>
      <w:r>
        <w:rPr>
          <w:rFonts w:ascii="Newsreader" w:hAnsi="Newsreader" w:cs="Newsreader"/>
          <w:b w:val="0"/>
          <w:i w:val="0"/>
          <w:color w:val="161412"/>
        </w:rPr>
        <w:t xml:space="preserve"> es un QWERTY. Nació como convención cromática en Bootstrap en 2012, respondió al problema local de necesitar clases CSS que fueran reconocibles culturalmente, y se difundió por compatibilidad con el ecosistema. Hoy es el estándar de facto en prácticamente todos los frameworks. Cambiarlo —proponer, por ejemplo, las seis regiones afectivas que este libro derivará del espacio circumplejo de Russell— tiene un coste: hay que reescribir documentación, reentrenar a diseñadores, reconstruir sistemas de diseño corporativos. El coste crece cada año que pasa, y mientras tanto la convención original sigue vigente no porque sea la mejor, sino porque es la que está.</w:t>
      </w:r>
    </w:p>
    <w:p>
      <w:pPr>
        <w:spacing w:after="120" w:line="320" w:lineRule="auto"/>
        <w:jc w:val="both"/>
      </w:pPr>
      <w:r>
        <w:rPr>
          <w:rFonts w:ascii="Newsreader" w:hAnsi="Newsreader" w:cs="Newsreader"/>
          <w:b/>
          <w:i w:val="0"/>
          <w:color w:val="161412"/>
        </w:rPr>
        <w:t xml:space="preserve">La ausencia de gramática temporal</w:t>
      </w:r>
      <w:r>
        <w:rPr>
          <w:rFonts w:ascii="Newsreader" w:hAnsi="Newsreader" w:cs="Newsreader"/>
          <w:b w:val="0"/>
          <w:i w:val="0"/>
          <w:color w:val="161412"/>
        </w:rPr>
        <w:t xml:space="preserve"> es otro QWERTY. La interfaz se concibe históricamente como una superficie estática sobre la que ocurren cosas, no como un medio temporal en el que los eventos son la unidad de significado. Esta concepción viene del papel, del cartel, del escritorio metáfora. Cuando la animación empezó a ser técnicamente posible, se añadió como capa decorativa sobre la interfaz estática en lugar de reformular la concepción misma de la interfaz. Hoy tenemos frameworks headless que resuelven perfectamente la estructura estática del componente pero delegan el motion al desarrollador individual, porque la concepción dominante sigue siendo que el motion es accesorio, no constitutivo.</w:t>
      </w:r>
    </w:p>
    <w:p>
      <w:pPr>
        <w:spacing w:after="120" w:line="320" w:lineRule="auto"/>
        <w:jc w:val="both"/>
      </w:pPr>
      <w:r>
        <w:rPr>
          <w:rFonts w:ascii="Newsreader" w:hAnsi="Newsreader" w:cs="Newsreader"/>
          <w:b/>
          <w:i w:val="0"/>
          <w:color w:val="161412"/>
        </w:rPr>
        <w:t xml:space="preserve">El tratamiento del sonido como accesorio</w:t>
      </w:r>
      <w:r>
        <w:rPr>
          <w:rFonts w:ascii="Newsreader" w:hAnsi="Newsreader" w:cs="Newsreader"/>
          <w:b w:val="0"/>
          <w:i w:val="0"/>
          <w:color w:val="161412"/>
        </w:rPr>
        <w:t xml:space="preserve"> es otro QWERTY, y quizás el más costoso de los tres. La web, como medio, nació sin sonido. Las primeras implementaciones que añadieron sonido lo hicieron mal —música de fondo automática, efectos publicitarios molestos—, los navegadores reaccionaron con políticas restrictivas de autoplay, y la cultura web desarrolló una aversión generalizada al audio. Hoy, cuando la neurociencia afectiva muestra que el procesamiento auditivo es el más rápido y el más eficaz para comunicar valencia, el sonido en la web sigue siendo tratado como problema, no como canal. El camino que nos llevó hasta aquí fue local y contingente. Pero el camino ya está hecho, y abandonarlo requiere algo más que una buena razón técnica.</w:t>
      </w:r>
    </w:p>
    <w:p>
      <w:pPr>
        <w:spacing w:after="120" w:line="320" w:lineRule="auto"/>
        <w:jc w:val="both"/>
      </w:pPr>
      <w:r>
        <w:rPr>
          <w:rFonts w:ascii="Newsreader" w:hAnsi="Newsreader" w:cs="Newsreader"/>
          <w:b/>
          <w:i w:val="0"/>
          <w:color w:val="161412"/>
        </w:rPr>
        <w:t xml:space="preserve">La confusión de canales perceptivos bajo la etiqueta «visual»</w:t>
      </w:r>
      <w:r>
        <w:rPr>
          <w:rFonts w:ascii="Newsreader" w:hAnsi="Newsreader" w:cs="Newsreader"/>
          <w:b w:val="0"/>
          <w:i w:val="0"/>
          <w:color w:val="161412"/>
        </w:rPr>
        <w:t xml:space="preserve"> es un cuarto QWERTY. El diseño de interfaces contemporáneo agrupa bajo un mismo término —«diseño visual»— dimensiones que el cerebro procesa con circuitos completamente diferentes: color, motion, profundidad, forma, presencia. Esta agrupación proviene de la convención editorial y cartelista, donde efectivamente todo era visual y estático. En el medio digital multicanal, la agrupación ya no corresponde a una distinción perceptiva real, pero se mantiene porque las herramientas, las disciplinas profesionales y las convenciones formativas se organizaron alrededor de ella.</w:t>
      </w:r>
    </w:p>
    <w:p>
      <w:pPr>
        <w:spacing w:before="200" w:after="60"/>
        <w:jc w:val="center"/>
      </w:pPr>
      <w:r>
        <w:drawing>
          <wp:inline xmlns:a="http://schemas.openxmlformats.org/drawingml/2006/main" xmlns:pic="http://schemas.openxmlformats.org/drawingml/2006/picture">
            <wp:extent cx="5029200" cy="3004947"/>
            <wp:docPr id="7" name="Picture 7"/>
            <wp:cNvGraphicFramePr>
              <a:graphicFrameLocks noChangeAspect="1"/>
            </wp:cNvGraphicFramePr>
            <a:graphic>
              <a:graphicData uri="http://schemas.openxmlformats.org/drawingml/2006/picture">
                <pic:pic>
                  <pic:nvPicPr>
                    <pic:cNvPr id="0" name="figura-2-2.png"/>
                    <pic:cNvPicPr/>
                  </pic:nvPicPr>
                  <pic:blipFill>
                    <a:blip r:embed="rId15"/>
                    <a:stretch>
                      <a:fillRect/>
                    </a:stretch>
                  </pic:blipFill>
                  <pic:spPr>
                    <a:xfrm>
                      <a:off x="0" y="0"/>
                      <a:ext cx="5029200" cy="3004947"/>
                    </a:xfrm>
                    <a:prstGeom prst="rect"/>
                  </pic:spPr>
                </pic:pic>
              </a:graphicData>
            </a:graphic>
          </wp:inline>
        </w:drawing>
      </w:r>
    </w:p>
    <w:p>
      <w:pPr>
        <w:spacing w:before="160" w:after="40"/>
        <w:pBdr>
          <w:left w:val="single" w:sz="18" w:space="12" w:color="1F3A5F"/>
        </w:pBdr>
      </w:pPr>
      <w:r>
        <w:rPr>
          <w:rFonts w:ascii="IBM Plex Sans" w:hAnsi="IBM Plex Sans" w:cs="IBM Plex Sans"/>
          <w:b/>
          <w:color w:val="1F3A5F"/>
          <w:sz w:val="16"/>
        </w:rPr>
        <w:t xml:space="preserve">DISTINCIÓN</w:t>
      </w:r>
    </w:p>
    <w:p>
      <w:pPr>
        <w:spacing w:after="120" w:line="312" w:lineRule="auto"/>
        <w:pBdr>
          <w:left w:val="single" w:sz="18" w:space="12" w:color="1F3A5F"/>
        </w:pBdr>
      </w:pPr>
      <w:r>
        <w:rPr>
          <w:rFonts w:ascii="Newsreader" w:hAnsi="Newsreader" w:cs="Newsreader"/>
          <w:b w:val="0"/>
          <w:i/>
          <w:color w:val="3A352F"/>
        </w:rPr>
        <w:t xml:space="preserve">La dependencia del camino no dice que las convenciones actuales sean las mejores. Dice que lo son lo bastante como para que nadie pague el coste de cambiarlas — incluso cuando las alternativas son demostrablemente superiores.</w:t>
      </w:r>
    </w:p>
    <w:p>
      <w:pPr>
        <w:spacing w:before="320" w:after="40"/>
      </w:pPr>
      <w:r>
        <w:rPr>
          <w:rFonts w:ascii="IBM Plex Sans" w:hAnsi="IBM Plex Sans" w:cs="IBM Plex Sans"/>
          <w:b/>
          <w:color w:val="1F3A5F"/>
          <w:sz w:val="18"/>
        </w:rPr>
        <w:t xml:space="preserve">§ 4</w:t>
      </w:r>
    </w:p>
    <w:p>
      <w:pPr>
        <w:spacing w:after="160" w:line="240" w:lineRule="auto"/>
      </w:pPr>
      <w:r>
        <w:rPr>
          <w:rFonts w:ascii="Newsreader" w:hAnsi="Newsreader" w:cs="Newsreader"/>
          <w:color w:val="161412"/>
          <w:sz w:val="38"/>
        </w:rPr>
        <w:t xml:space="preserve">Carga paradigmática</w:t>
      </w:r>
    </w:p>
    <w:p>
      <w:pPr>
        <w:spacing w:after="120" w:line="320" w:lineRule="auto"/>
        <w:jc w:val="both"/>
      </w:pPr>
      <w:r>
        <w:rPr>
          <w:rFonts w:ascii="Newsreader" w:hAnsi="Newsreader" w:cs="Newsreader"/>
          <w:b w:val="0"/>
          <w:i w:val="0"/>
          <w:color w:val="161412"/>
        </w:rPr>
        <w:t xml:space="preserve">Hay un tercer mecanismo, todavía más profundo, que explica por qué las convenciones del diseño de interfaces no son solo difíciles de cambiar sino incluso difíciles de ver. Lo describe con precisión Thomas Kuhn en </w:t>
      </w:r>
      <w:r>
        <w:rPr>
          <w:rFonts w:ascii="Newsreader" w:hAnsi="Newsreader" w:cs="Newsreader"/>
          <w:b w:val="0"/>
          <w:i/>
          <w:color w:val="161412"/>
        </w:rPr>
        <w:t xml:space="preserve">La estructura de las revoluciones científicas</w:t>
      </w:r>
      <w:r>
        <w:rPr>
          <w:rFonts w:ascii="Newsreader" w:hAnsi="Newsreader" w:cs="Newsreader"/>
          <w:b w:val="0"/>
          <w:i w:val="0"/>
          <w:color w:val="161412"/>
        </w:rPr>
        <w:t xml:space="preserve"> (1962) bajo el nombre de </w:t>
      </w:r>
      <w:r>
        <w:rPr>
          <w:rFonts w:ascii="Newsreader" w:hAnsi="Newsreader" w:cs="Newsreader"/>
          <w:b w:val="0"/>
          <w:i/>
          <w:color w:val="161412"/>
        </w:rPr>
        <w:t xml:space="preserve">paradigma</w:t>
      </w:r>
      <w:r>
        <w:rPr>
          <w:rFonts w:ascii="Newsreader" w:hAnsi="Newsreader" w:cs="Newsreader"/>
          <w:b w:val="0"/>
          <w:i w:val="0"/>
          <w:color w:val="161412"/>
        </w:rPr>
        <w:t xml:space="preserve">, y lo que le interesa a este libro es una propiedad específica del paradigma: su carga.</w:t>
      </w:r>
    </w:p>
    <w:p>
      <w:pPr>
        <w:spacing w:after="120" w:line="320" w:lineRule="auto"/>
        <w:jc w:val="both"/>
      </w:pPr>
      <w:r>
        <w:rPr>
          <w:rFonts w:ascii="Newsreader" w:hAnsi="Newsreader" w:cs="Newsreader"/>
          <w:b w:val="0"/>
          <w:i w:val="0"/>
          <w:color w:val="161412"/>
        </w:rPr>
        <w:t xml:space="preserve">Un paradigma, en la formulación de Kuhn, no es solo un conjunto de teorías o prácticas dominantes. Es un marco completo que define qué preguntas son legítimas, qué respuestas son aceptables, qué objetos son observables y qué problemas merecen ser investigados. Los practicantes de un paradigma operan dentro de él sin cuestionarlo, no porque estén prohibidos de cuestionarlo, sino porque el paradigma mismo no genera las preguntas que lo pondrían en cuestión. Las preguntas radicales son, literalmente, impensables desde dentro.</w:t>
      </w:r>
    </w:p>
    <w:p>
      <w:pPr>
        <w:spacing w:after="120" w:line="320" w:lineRule="auto"/>
        <w:jc w:val="both"/>
      </w:pPr>
      <w:r>
        <w:rPr>
          <w:rFonts w:ascii="Newsreader" w:hAnsi="Newsreader" w:cs="Newsreader"/>
          <w:b w:val="0"/>
          <w:i w:val="0"/>
          <w:color w:val="161412"/>
        </w:rPr>
        <w:t xml:space="preserve">Kuhn estudiaba la ciencia, pero el concepto se aplica con notable precisión al diseño de interfaces. El paradigma actual genera preguntas como: ¿cómo organizo mejor los elementos en la pantalla? ¿Qué color uso para este estado? ¿Cómo animo esta transición? ¿Qué framework uso? Estas son preguntas legítimas: se publican libros enteros sobre ellas, existen conferencias y disciplinas profesionales organizadas alrededor de ellas.</w:t>
      </w:r>
    </w:p>
    <w:p>
      <w:pPr>
        <w:spacing w:after="120" w:line="320" w:lineRule="auto"/>
        <w:jc w:val="both"/>
      </w:pPr>
      <w:r>
        <w:rPr>
          <w:rFonts w:ascii="Newsreader" w:hAnsi="Newsreader" w:cs="Newsreader"/>
          <w:b w:val="0"/>
          <w:i w:val="0"/>
          <w:color w:val="161412"/>
        </w:rPr>
        <w:t xml:space="preserve">Pero hay otro tipo de preguntas que el paradigma no genera: ¿por qué estos cuatro intents y no otros? ¿Por qué el sonido se trata como accesorio? ¿Qué es exactamente un canal perceptivo y por qué agrupamos cinco en uno? ¿Qué diferencia a un evento interactivo de un elemento visible? Estas preguntas no están prohibidas. Pero tampoco aparecen. Cuando uno examina la literatura establecida del diseño de interfaces —manuales, artículos académicos, documentación de frameworks—, estas preguntas sencillamente no están formuladas. No porque nadie se haya negado a formularlas, sino porque el paradigma no las genera. El paradigma ha definido el campo de lo pensable, y esas preguntas caen fuera.</w:t>
      </w:r>
    </w:p>
    <w:p>
      <w:pPr>
        <w:spacing w:before="200" w:after="60"/>
        <w:jc w:val="center"/>
      </w:pPr>
      <w:r>
        <w:drawing>
          <wp:inline xmlns:a="http://schemas.openxmlformats.org/drawingml/2006/main" xmlns:pic="http://schemas.openxmlformats.org/drawingml/2006/picture">
            <wp:extent cx="5029200" cy="2932652"/>
            <wp:docPr id="8" name="Picture 8"/>
            <wp:cNvGraphicFramePr>
              <a:graphicFrameLocks noChangeAspect="1"/>
            </wp:cNvGraphicFramePr>
            <a:graphic>
              <a:graphicData uri="http://schemas.openxmlformats.org/drawingml/2006/picture">
                <pic:pic>
                  <pic:nvPicPr>
                    <pic:cNvPr id="0" name="figura-2-3.png"/>
                    <pic:cNvPicPr/>
                  </pic:nvPicPr>
                  <pic:blipFill>
                    <a:blip r:embed="rId16"/>
                    <a:stretch>
                      <a:fillRect/>
                    </a:stretch>
                  </pic:blipFill>
                  <pic:spPr>
                    <a:xfrm>
                      <a:off x="0" y="0"/>
                      <a:ext cx="5029200" cy="2932652"/>
                    </a:xfrm>
                    <a:prstGeom prst="rect"/>
                  </pic:spPr>
                </pic:pic>
              </a:graphicData>
            </a:graphic>
          </wp:inline>
        </w:drawing>
      </w:r>
    </w:p>
    <w:p>
      <w:pPr>
        <w:spacing w:before="240" w:after="100"/>
      </w:pPr>
      <w:r>
        <w:rPr>
          <w:rFonts w:ascii="Newsreader" w:hAnsi="Newsreader" w:cs="Newsreader"/>
          <w:i/>
          <w:color w:val="1F3A5F"/>
          <w:sz w:val="28"/>
        </w:rPr>
        <w:t xml:space="preserve">Los supuestos invisibles</w:t>
      </w:r>
    </w:p>
    <w:p>
      <w:pPr>
        <w:spacing w:after="120" w:line="320" w:lineRule="auto"/>
        <w:jc w:val="both"/>
      </w:pPr>
      <w:r>
        <w:rPr>
          <w:rFonts w:ascii="Newsreader" w:hAnsi="Newsreader" w:cs="Newsreader"/>
          <w:b w:val="0"/>
          <w:i w:val="0"/>
          <w:color w:val="161412"/>
        </w:rPr>
        <w:t xml:space="preserve">La carga paradigmática consiste en los supuestos que el paradigma transporta sin nombrarlos. Son supuestos porque se dan por sentados. Son invisibles porque no son objeto de discusión. Y son carga porque condicionan todo lo demás sin que nadie note que lo condicionan.</w:t>
      </w:r>
    </w:p>
    <w:p>
      <w:pPr>
        <w:spacing w:after="120" w:line="320" w:lineRule="auto"/>
        <w:jc w:val="both"/>
      </w:pPr>
      <w:r>
        <w:rPr>
          <w:rFonts w:ascii="Newsreader" w:hAnsi="Newsreader" w:cs="Newsreader"/>
          <w:b w:val="0"/>
          <w:i w:val="0"/>
          <w:color w:val="161412"/>
        </w:rPr>
        <w:t xml:space="preserve">El paradigma dominante del diseño de interfaces transporta, entre otros, los siguientes supuestos invisibles. Que la interfaz es fundamentalmente </w:t>
      </w:r>
      <w:r>
        <w:rPr>
          <w:rFonts w:ascii="Newsreader" w:hAnsi="Newsreader" w:cs="Newsreader"/>
          <w:b/>
          <w:i w:val="0"/>
          <w:color w:val="161412"/>
        </w:rPr>
        <w:t xml:space="preserve">visual</w:t>
      </w:r>
      <w:r>
        <w:rPr>
          <w:rFonts w:ascii="Newsreader" w:hAnsi="Newsreader" w:cs="Newsreader"/>
          <w:b w:val="0"/>
          <w:i w:val="0"/>
          <w:color w:val="161412"/>
        </w:rPr>
        <w:t xml:space="preserve">: el sonido y la háptica son accesorios; el tiempo es una dimensión secundaria añadida mediante animación; lo primario es la superficie visible organizada. Que el componente es la </w:t>
      </w:r>
      <w:r>
        <w:rPr>
          <w:rFonts w:ascii="Newsreader" w:hAnsi="Newsreader" w:cs="Newsreader"/>
          <w:b/>
          <w:i w:val="0"/>
          <w:color w:val="161412"/>
        </w:rPr>
        <w:t xml:space="preserve">unidad de diseño</w:t>
      </w:r>
      <w:r>
        <w:rPr>
          <w:rFonts w:ascii="Newsreader" w:hAnsi="Newsreader" w:cs="Newsreader"/>
          <w:b w:val="0"/>
          <w:i w:val="0"/>
          <w:color w:val="161412"/>
        </w:rPr>
        <w:t xml:space="preserve">: los eventos son cosas que les pasan a los componentes, no unidades de significado por derecho propio; una librería de componentes cubre el diseño de una interfaz, y una gramática de eventos no es necesaria.</w:t>
      </w:r>
    </w:p>
    <w:p>
      <w:pPr>
        <w:spacing w:after="120" w:line="320" w:lineRule="auto"/>
        <w:jc w:val="both"/>
      </w:pPr>
      <w:r>
        <w:rPr>
          <w:rFonts w:ascii="Newsreader" w:hAnsi="Newsreader" w:cs="Newsreader"/>
          <w:b w:val="0"/>
          <w:i w:val="0"/>
          <w:color w:val="161412"/>
        </w:rPr>
        <w:t xml:space="preserve">Que las convenciones heredadas son </w:t>
      </w:r>
      <w:r>
        <w:rPr>
          <w:rFonts w:ascii="Newsreader" w:hAnsi="Newsreader" w:cs="Newsreader"/>
          <w:b/>
          <w:i w:val="0"/>
          <w:color w:val="161412"/>
        </w:rPr>
        <w:t xml:space="preserve">datos</w:t>
      </w:r>
      <w:r>
        <w:rPr>
          <w:rFonts w:ascii="Newsreader" w:hAnsi="Newsreader" w:cs="Newsreader"/>
          <w:b w:val="0"/>
          <w:i w:val="0"/>
          <w:color w:val="161412"/>
        </w:rPr>
        <w:t xml:space="preserve">, no hipótesis: danger es rojo, success es verde, los tooltips aparecen al hover, los modales oscurecen el fondo; estas asociaciones no se examinan, se usan. Que la accesibilidad es una </w:t>
      </w:r>
      <w:r>
        <w:rPr>
          <w:rFonts w:ascii="Newsreader" w:hAnsi="Newsreader" w:cs="Newsreader"/>
          <w:b/>
          <w:i w:val="0"/>
          <w:color w:val="161412"/>
        </w:rPr>
        <w:t xml:space="preserve">capa añadida</w:t>
      </w:r>
      <w:r>
        <w:rPr>
          <w:rFonts w:ascii="Newsreader" w:hAnsi="Newsreader" w:cs="Newsreader"/>
          <w:b w:val="0"/>
          <w:i w:val="0"/>
          <w:color w:val="161412"/>
        </w:rPr>
        <w:t xml:space="preserve">, no una condición constitutiva: primero se diseña la interfaz y después se añade el cumplimiento de WCAG, sin plantear la posibilidad de que la interfaz esté mal concebida desde el principio y la accesibilidad revele esa mala concepción. Y que la psicología cognitiva y la neurociencia son </w:t>
      </w:r>
      <w:r>
        <w:rPr>
          <w:rFonts w:ascii="Newsreader" w:hAnsi="Newsreader" w:cs="Newsreader"/>
          <w:b/>
          <w:i w:val="0"/>
          <w:color w:val="161412"/>
        </w:rPr>
        <w:t xml:space="preserve">material de apoyo</w:t>
      </w:r>
      <w:r>
        <w:rPr>
          <w:rFonts w:ascii="Newsreader" w:hAnsi="Newsreader" w:cs="Newsreader"/>
          <w:b w:val="0"/>
          <w:i w:val="0"/>
          <w:color w:val="161412"/>
        </w:rPr>
        <w:t xml:space="preserve">, no fundamento: se citan cuando refuerzan una decisión de diseño, pero el diseño no se deriva de ellas sistemáticamente.</w:t>
      </w:r>
    </w:p>
    <w:p>
      <w:pPr>
        <w:spacing w:after="120" w:line="320" w:lineRule="auto"/>
        <w:jc w:val="both"/>
      </w:pPr>
      <w:r>
        <w:rPr>
          <w:rFonts w:ascii="Newsreader" w:hAnsi="Newsreader" w:cs="Newsreader"/>
          <w:b w:val="0"/>
          <w:i w:val="0"/>
          <w:color w:val="161412"/>
        </w:rPr>
        <w:t xml:space="preserve">Cada uno de estos supuestos, cuando se formula explícitamente, revela su carácter contingente. Ninguno es necesariamente verdadero. Ninguno está demostrado. Son, simplemente, los supuestos del paradigma. Pero dentro del paradigma no aparecen como supuestos: aparecen como la forma natural de pensar el diseño de interfaces.</w:t>
      </w:r>
    </w:p>
    <w:p>
      <w:pPr>
        <w:spacing w:before="240" w:after="100"/>
      </w:pPr>
      <w:r>
        <w:rPr>
          <w:rFonts w:ascii="Newsreader" w:hAnsi="Newsreader" w:cs="Newsreader"/>
          <w:i/>
          <w:color w:val="1F3A5F"/>
          <w:sz w:val="28"/>
        </w:rPr>
        <w:t xml:space="preserve">La pregunta que el paradigma no genera</w:t>
      </w:r>
    </w:p>
    <w:p>
      <w:pPr>
        <w:spacing w:after="120" w:line="320" w:lineRule="auto"/>
        <w:jc w:val="both"/>
      </w:pPr>
      <w:r>
        <w:rPr>
          <w:rFonts w:ascii="Newsreader" w:hAnsi="Newsreader" w:cs="Newsreader"/>
          <w:b w:val="0"/>
          <w:i w:val="0"/>
          <w:color w:val="161412"/>
        </w:rPr>
        <w:t xml:space="preserve">Kuhn observaba que los paradigmas no cambian por acumulación de evidencia contraria dentro del propio paradigma. Cambian cuando alguien, desde fuera o desde los márgenes, formula una pregunta que el paradigma no generaba, y esa pregunta abre un campo de investigación que el paradigma anterior no podía cubrir.</w:t>
      </w:r>
    </w:p>
    <w:p>
      <w:pPr>
        <w:spacing w:after="120" w:line="320" w:lineRule="auto"/>
        <w:jc w:val="both"/>
      </w:pPr>
      <w:r>
        <w:rPr>
          <w:rFonts w:ascii="Newsreader" w:hAnsi="Newsreader" w:cs="Newsreader"/>
          <w:b w:val="0"/>
          <w:i w:val="0"/>
          <w:color w:val="161412"/>
        </w:rPr>
        <w:t xml:space="preserve">La pregunta «¿por qué </w:t>
      </w:r>
      <w:r>
        <w:rPr>
          <w:rFonts w:ascii="Newsreader" w:hAnsi="Newsreader" w:cs="Newsreader"/>
          <w:b w:val="0"/>
          <w:i/>
          <w:color w:val="161412"/>
        </w:rPr>
        <w:t xml:space="preserve">danger, warning, info, success</w:t>
      </w:r>
      <w:r>
        <w:rPr>
          <w:rFonts w:ascii="Newsreader" w:hAnsi="Newsreader" w:cs="Newsreader"/>
          <w:b w:val="0"/>
          <w:i w:val="0"/>
          <w:color w:val="161412"/>
        </w:rPr>
        <w:t xml:space="preserve"> y no otro conjunto?» no es una pregunta especialmente complicada. No requiere equipamiento sofisticado ni datos inéditos. Cualquier diseñador con diez minutos de tiempo podría formulársela. Pero durante catorce años, desde la publicación de Bootstrap en 2012, prácticamente nadie la ha formulado de forma pública y sistemática.</w:t>
      </w:r>
    </w:p>
    <w:p>
      <w:pPr>
        <w:spacing w:after="120" w:line="320" w:lineRule="auto"/>
        <w:jc w:val="both"/>
      </w:pPr>
      <w:r>
        <w:rPr>
          <w:rFonts w:ascii="Newsreader" w:hAnsi="Newsreader" w:cs="Newsreader"/>
          <w:b w:val="0"/>
          <w:i w:val="0"/>
          <w:color w:val="161412"/>
        </w:rPr>
        <w:t xml:space="preserve">La razón es exactamente la que Kuhn describe: el paradigma no la genera. Dentro del paradigma dominante, esos cuatro intents son </w:t>
      </w:r>
      <w:r>
        <w:rPr>
          <w:rFonts w:ascii="Newsreader" w:hAnsi="Newsreader" w:cs="Newsreader"/>
          <w:b w:val="0"/>
          <w:i/>
          <w:color w:val="161412"/>
        </w:rPr>
        <w:t xml:space="preserve">los intents</w:t>
      </w:r>
      <w:r>
        <w:rPr>
          <w:rFonts w:ascii="Newsreader" w:hAnsi="Newsreader" w:cs="Newsreader"/>
          <w:b w:val="0"/>
          <w:i w:val="0"/>
          <w:color w:val="161412"/>
        </w:rPr>
        <w:t xml:space="preserve">, del mismo modo que dentro del paradigma aristotélico los cuerpos pesados caían </w:t>
      </w:r>
      <w:r>
        <w:rPr>
          <w:rFonts w:ascii="Newsreader" w:hAnsi="Newsreader" w:cs="Newsreader"/>
          <w:b w:val="0"/>
          <w:i/>
          <w:color w:val="161412"/>
        </w:rPr>
        <w:t xml:space="preserve">hacia su lugar natural</w:t>
      </w:r>
      <w:r>
        <w:rPr>
          <w:rFonts w:ascii="Newsreader" w:hAnsi="Newsreader" w:cs="Newsreader"/>
          <w:b w:val="0"/>
          <w:i w:val="0"/>
          <w:color w:val="161412"/>
        </w:rPr>
        <w:t xml:space="preserve">. La pregunta por la adecuación de la categoría no emerge hasta que alguien adopta un marco distinto —en este caso, la psicología afectiva del espacio circumplejo— desde el cual la pregunta se vuelve inevitable.</w:t>
      </w:r>
    </w:p>
    <w:p>
      <w:pPr>
        <w:spacing w:after="120" w:line="320" w:lineRule="auto"/>
        <w:jc w:val="both"/>
      </w:pPr>
      <w:r>
        <w:rPr>
          <w:rFonts w:ascii="Newsreader" w:hAnsi="Newsreader" w:cs="Newsreader"/>
          <w:b w:val="0"/>
          <w:i w:val="0"/>
          <w:color w:val="161412"/>
        </w:rPr>
        <w:t xml:space="preserve">Esto es lo que este libro intenta hacer. No refutar el paradigma dominante en sus propios términos —eso sería inútil, porque los propios términos son el problema—, sino ofrecer un marco alternativo desde el cual las preguntas que el paradigma actual no genera se vuelvan las preguntas obvias, y las respuestas que el paradigma actual da por sentadas se vuelvan hipótesis que requieren examen.</w:t>
      </w:r>
    </w:p>
    <w:p>
      <w:pPr>
        <w:spacing w:before="320" w:after="40"/>
      </w:pPr>
      <w:r>
        <w:rPr>
          <w:rFonts w:ascii="IBM Plex Sans" w:hAnsi="IBM Plex Sans" w:cs="IBM Plex Sans"/>
          <w:b/>
          <w:color w:val="1F3A5F"/>
          <w:sz w:val="18"/>
        </w:rPr>
        <w:t xml:space="preserve">§ 5</w:t>
      </w:r>
    </w:p>
    <w:p>
      <w:pPr>
        <w:spacing w:after="160" w:line="240" w:lineRule="auto"/>
      </w:pPr>
      <w:r>
        <w:rPr>
          <w:rFonts w:ascii="Newsreader" w:hAnsi="Newsreader" w:cs="Newsreader"/>
          <w:color w:val="161412"/>
          <w:sz w:val="38"/>
        </w:rPr>
        <w:t xml:space="preserve">Por qué ahora</w:t>
      </w:r>
    </w:p>
    <w:p>
      <w:pPr>
        <w:spacing w:after="120" w:line="320" w:lineRule="auto"/>
        <w:jc w:val="both"/>
      </w:pPr>
      <w:r>
        <w:rPr>
          <w:rFonts w:ascii="Newsreader" w:hAnsi="Newsreader" w:cs="Newsreader"/>
          <w:b w:val="0"/>
          <w:i w:val="0"/>
          <w:color w:val="161412"/>
        </w:rPr>
        <w:t xml:space="preserve">Si el paradigma actual del diseño de interfaces está cargado de supuestos no examinados, y si la dependencia del camino hace que estos supuestos persistan incluso cuando sus contextos originales han desaparecido, ¿por qué tiene sentido formular ahora las preguntas que este libro formula? ¿Qué ha cambiado que haga este momento propicio para un examen que hace diez años habría sido prematuro y dentro de diez podría ser tardío? Han cambiado al menos tres cosas.</w:t>
      </w:r>
    </w:p>
    <w:p>
      <w:pPr>
        <w:spacing w:after="120" w:line="320" w:lineRule="auto"/>
        <w:jc w:val="both"/>
      </w:pPr>
      <w:r>
        <w:rPr>
          <w:rFonts w:ascii="Newsreader" w:hAnsi="Newsreader" w:cs="Newsreader"/>
          <w:b/>
          <w:i w:val="0"/>
          <w:color w:val="161412"/>
        </w:rPr>
        <w:t xml:space="preserve">La primera</w:t>
      </w:r>
      <w:r>
        <w:rPr>
          <w:rFonts w:ascii="Newsreader" w:hAnsi="Newsreader" w:cs="Newsreader"/>
          <w:b w:val="0"/>
          <w:i w:val="0"/>
          <w:color w:val="161412"/>
        </w:rPr>
        <w:t xml:space="preserve"> es que la neurociencia afectiva y la psicología perceptiva han alcanzado un nivel de maduración que hace viable fundamentar el diseño de interfaces en ellas. Las correspondencias crossmodales de Spence, el procesamiento rápido de la amígdala de LeDoux, la teoría del appraisal de Scherer, el modelo circumplejo del afecto de Russell, los esquemas sensoriomotores de Johnson: todas estas teorías tienen hoy la solidez empírica suficiente para servir de fundamento a un sistema de diseño. Hace veinte años muchas de ellas eran propuestas teóricas en discusión. Hoy son consenso razonable.</w:t>
      </w:r>
    </w:p>
    <w:p>
      <w:pPr>
        <w:spacing w:after="120" w:line="320" w:lineRule="auto"/>
        <w:jc w:val="both"/>
      </w:pPr>
      <w:r>
        <w:rPr>
          <w:rFonts w:ascii="Newsreader" w:hAnsi="Newsreader" w:cs="Newsreader"/>
          <w:b/>
          <w:i w:val="0"/>
          <w:color w:val="161412"/>
        </w:rPr>
        <w:t xml:space="preserve">La segunda</w:t>
      </w:r>
      <w:r>
        <w:rPr>
          <w:rFonts w:ascii="Newsreader" w:hAnsi="Newsreader" w:cs="Newsreader"/>
          <w:b w:val="0"/>
          <w:i w:val="0"/>
          <w:color w:val="161412"/>
        </w:rPr>
        <w:t xml:space="preserve"> es que las capacidades técnicas del medio digital han superado con creces las limitaciones que justificaban muchas de las convenciones heredadas. La Web Audio API permite síntesis paramétrica en tiempo real. Los navegadores modernos mantienen 120 fps sin dificultad. Los dispositivos tienen háptica, giroscopios, micrófonos, sensores de luminosidad. La infraestructura existe para implementar una gramática perceptiva multicanal. Lo que falta es la teoría que diría qué implementar.</w:t>
      </w:r>
    </w:p>
    <w:p>
      <w:pPr>
        <w:spacing w:after="120" w:line="320" w:lineRule="auto"/>
        <w:jc w:val="both"/>
      </w:pPr>
      <w:r>
        <w:rPr>
          <w:rFonts w:ascii="Newsreader" w:hAnsi="Newsreader" w:cs="Newsreader"/>
          <w:b/>
          <w:i w:val="0"/>
          <w:color w:val="161412"/>
        </w:rPr>
        <w:t xml:space="preserve">La tercera</w:t>
      </w:r>
      <w:r>
        <w:rPr>
          <w:rFonts w:ascii="Newsreader" w:hAnsi="Newsreader" w:cs="Newsreader"/>
          <w:b w:val="0"/>
          <w:i w:val="0"/>
          <w:color w:val="161412"/>
        </w:rPr>
        <w:t xml:space="preserve">, y quizás la más urgente, es la llegada de la inteligencia artificial como agente activo en la interfaz. Cuando una IA comienza a dirigir la interacción —cuándo hablar, cómo interrumpir, qué destacar, qué omitir— necesita una gramática sobre la que operar. Sin gramática, la IA decide arbitrariamente. Con gramática, la IA opera sobre el mismo sistema perceptivo que el usuario ya ha aprendido implícitamente. La ausencia de gramática no era un problema crítico cuando las interfaces eran reactivas. Se convierte en un problema crítico cuando las interfaces son conducidas.</w:t>
      </w:r>
    </w:p>
    <w:p>
      <w:pPr>
        <w:spacing w:after="120" w:line="320" w:lineRule="auto"/>
        <w:jc w:val="both"/>
      </w:pPr>
      <w:r>
        <w:rPr>
          <w:rFonts w:ascii="Newsreader" w:hAnsi="Newsreader" w:cs="Newsreader"/>
          <w:b w:val="0"/>
          <w:i w:val="0"/>
          <w:color w:val="161412"/>
        </w:rPr>
        <w:t xml:space="preserve">Estas tres circunstancias no van a esperar. La infraestructura técnica seguirá avanzando, la IA seguirá integrándose en los productos, y la sedimentación seguirá añadiendo capas. El coste de examinar las premisas crece con cada año que pasa. La ventana para formular estas preguntas sin que resulten nostálgicas o irrelevantes es ahora.</w:t>
      </w:r>
    </w:p>
    <w:p>
      <w:pPr>
        <w:spacing w:before="200" w:after="60"/>
        <w:jc w:val="center"/>
      </w:pPr>
      <w:r>
        <w:drawing>
          <wp:inline xmlns:a="http://schemas.openxmlformats.org/drawingml/2006/main" xmlns:pic="http://schemas.openxmlformats.org/drawingml/2006/picture">
            <wp:extent cx="5029200" cy="2725198"/>
            <wp:docPr id="9" name="Picture 9"/>
            <wp:cNvGraphicFramePr>
              <a:graphicFrameLocks noChangeAspect="1"/>
            </wp:cNvGraphicFramePr>
            <a:graphic>
              <a:graphicData uri="http://schemas.openxmlformats.org/drawingml/2006/picture">
                <pic:pic>
                  <pic:nvPicPr>
                    <pic:cNvPr id="0" name="figura-2-4.png"/>
                    <pic:cNvPicPr/>
                  </pic:nvPicPr>
                  <pic:blipFill>
                    <a:blip r:embed="rId17"/>
                    <a:stretch>
                      <a:fillRect/>
                    </a:stretch>
                  </pic:blipFill>
                  <pic:spPr>
                    <a:xfrm>
                      <a:off x="0" y="0"/>
                      <a:ext cx="5029200" cy="2725198"/>
                    </a:xfrm>
                    <a:prstGeom prst="rect"/>
                  </pic:spPr>
                </pic:pic>
              </a:graphicData>
            </a:graphic>
          </wp:inline>
        </w:drawing>
      </w:r>
    </w:p>
    <w:p>
      <w:pPr>
        <w:spacing w:before="240" w:after="100"/>
      </w:pPr>
      <w:r>
        <w:rPr>
          <w:rFonts w:ascii="Newsreader" w:hAnsi="Newsreader" w:cs="Newsreader"/>
          <w:i/>
          <w:color w:val="1F3A5F"/>
          <w:sz w:val="28"/>
        </w:rPr>
        <w:t xml:space="preserve">Lo que este libro no propone</w:t>
      </w:r>
    </w:p>
    <w:p>
      <w:pPr>
        <w:spacing w:after="120" w:line="320" w:lineRule="auto"/>
        <w:jc w:val="both"/>
      </w:pPr>
      <w:r>
        <w:rPr>
          <w:rFonts w:ascii="Newsreader" w:hAnsi="Newsreader" w:cs="Newsreader"/>
          <w:b w:val="0"/>
          <w:i w:val="0"/>
          <w:color w:val="161412"/>
        </w:rPr>
        <w:t xml:space="preserve">Conviene cerrar este capítulo aclarando qué no propone este libro, para que el lector sepa desde el principio lo que puede esperar.</w:t>
      </w:r>
    </w:p>
    <w:p>
      <w:pPr>
        <w:spacing w:after="120" w:line="320" w:lineRule="auto"/>
        <w:jc w:val="both"/>
      </w:pPr>
      <w:r>
        <w:rPr>
          <w:rFonts w:ascii="Newsreader" w:hAnsi="Newsreader" w:cs="Newsreader"/>
          <w:b w:val="0"/>
          <w:i w:val="0"/>
          <w:color w:val="161412"/>
        </w:rPr>
        <w:t xml:space="preserve">No propone descartar las convenciones actuales. Muchas de ellas capturan intuiciones perceptivas correctas y deben conservarse, aunque con fundamentación que antes no tenían. El rojo para danger funciona — pero funciona porque activa una región del espacio afectivo de alta valencia negativa y alto arousal, no porque el semáforo lo dijera.</w:t>
      </w:r>
    </w:p>
    <w:p>
      <w:pPr>
        <w:spacing w:after="120" w:line="320" w:lineRule="auto"/>
        <w:jc w:val="both"/>
      </w:pPr>
      <w:r>
        <w:rPr>
          <w:rFonts w:ascii="Newsreader" w:hAnsi="Newsreader" w:cs="Newsreader"/>
          <w:b w:val="0"/>
          <w:i w:val="0"/>
          <w:color w:val="161412"/>
        </w:rPr>
        <w:t xml:space="preserve">No propone un nuevo framework que reemplace a los existentes. Los frameworks son implementaciones; este libro es una teoría sobre la que pueden construirse múltiples implementaciones. El objetivo es el marco conceptual, no el producto técnico.</w:t>
      </w:r>
    </w:p>
    <w:p>
      <w:pPr>
        <w:spacing w:after="120" w:line="320" w:lineRule="auto"/>
        <w:jc w:val="both"/>
      </w:pPr>
      <w:r>
        <w:rPr>
          <w:rFonts w:ascii="Newsreader" w:hAnsi="Newsreader" w:cs="Newsreader"/>
          <w:b w:val="0"/>
          <w:i w:val="0"/>
          <w:color w:val="161412"/>
        </w:rPr>
        <w:t xml:space="preserve">No propone que el diseño de interfaces deba volverse una disciplina académica con métodos experimentales obligatorios. Propone que las convenciones que se usan a diario sean examinables: que exista un vocabulario compartido para preguntar, cuando alguien toma una decisión de diseño, por qué la toma.</w:t>
      </w:r>
    </w:p>
    <w:p>
      <w:pPr>
        <w:spacing w:after="120" w:line="320" w:lineRule="auto"/>
        <w:jc w:val="both"/>
      </w:pPr>
      <w:r>
        <w:rPr>
          <w:rFonts w:ascii="Newsreader" w:hAnsi="Newsreader" w:cs="Newsreader"/>
          <w:b w:val="0"/>
          <w:i w:val="0"/>
          <w:color w:val="161412"/>
        </w:rPr>
        <w:t xml:space="preserve">Lo que sí propone es someter a examen las premisas sobre las que opera la disciplina. Preguntar por qué damos por sentado lo que damos por sentado. Y, cuando la respuesta sea «porque siempre se ha hecho así», preguntar si las razones originales todavía se sostienen, o si estamos, como los mecanógrafos de 1950, escribiendo en QWERTY sobre palancas que ya no se atascan.</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La pregunta que el paradigma no genera es, precisamente, la pregunta que hay que formular. No porque todas las respuestas estén equivocadas, sino porque las respuestas correctas merecen saberse correctas, y las incorrectas merecen dejar de serlo.</w:t>
      </w:r>
    </w:p>
    <w:p>
      <w:pPr>
        <w:pBdr>
          <w:bottom w:val="single" w:sz="4" w:space="4" w:color="1F3A5F"/>
        </w:pBdr>
      </w:pPr>
    </w:p>
    <w:p>
      <w:r>
        <w:br w:type="page"/>
      </w:r>
    </w:p>
    <w:p>
      <w:pPr>
        <w:spacing w:after="40"/>
      </w:pPr>
      <w:r>
        <w:rPr>
          <w:rFonts w:ascii="IBM Plex Sans" w:hAnsi="IBM Plex Sans" w:cs="IBM Plex Sans"/>
          <w:b/>
          <w:color w:val="1F3A5F"/>
          <w:sz w:val="18"/>
        </w:rPr>
        <w:t>CAPÍTULO 3</w:t>
      </w:r>
    </w:p>
    <w:p>
      <w:pPr>
        <w:spacing w:after="80" w:line="240" w:lineRule="auto"/>
      </w:pPr>
      <w:r>
        <w:rPr>
          <w:rFonts w:ascii="IBM Plex Sans" w:hAnsi="IBM Plex Sans" w:cs="IBM Plex Sans"/>
          <w:color w:val="161412"/>
          <w:sz w:val="220"/>
        </w:rPr>
        <w:t>03</w:t>
      </w:r>
    </w:p>
    <w:p>
      <w:pPr>
        <w:spacing w:after="60" w:line="240" w:lineRule="auto"/>
      </w:pPr>
      <w:r>
        <w:rPr>
          <w:rFonts w:ascii="Newsreader" w:hAnsi="Newsreader" w:cs="Newsreader"/>
          <w:color w:val="161412"/>
          <w:sz w:val="60"/>
        </w:rPr>
        <w:t>Fundamentos psicoperceptivos de la interfaz</w:t>
      </w:r>
    </w:p>
    <w:p>
      <w:pPr>
        <w:spacing w:after="280"/>
      </w:pPr>
      <w:r>
        <w:rPr>
          <w:rFonts w:ascii="IBM Plex Sans" w:hAnsi="IBM Plex Sans" w:cs="IBM Plex Sans"/>
          <w:color w:val="6A635A"/>
          <w:sz w:val="26"/>
        </w:rPr>
        <w:t>De qué está hecha la percepción interactiva</w:t>
      </w:r>
    </w:p>
    <w:p>
      <w:pPr>
        <w:pBdr>
          <w:bottom w:val="single" w:sz="4" w:space="4" w:color="1F3A5F"/>
        </w:pBdr>
      </w:pP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¿Qué sabe la percepción humana que el diseño de interfaces todavía no ha incorporado a su lenguaje?</w:t>
      </w:r>
    </w:p>
    <w:p>
      <w:pPr>
        <w:spacing w:after="120" w:line="320" w:lineRule="auto"/>
        <w:jc w:val="both"/>
      </w:pPr>
      <w:r>
        <w:rPr>
          <w:rFonts w:ascii="Newsreader" w:hAnsi="Newsreader" w:cs="Newsreader"/>
          <w:b w:val="0"/>
          <w:i w:val="0"/>
          <w:color w:val="161412"/>
        </w:rPr>
        <w:t>Mira un botón y, sin proponértelo, ya sabes que se puede pulsar. Aparece un aviso en rojo y tu atención salta hacia él antes de leerlo. Algo se mueve en el borde de la pantalla y tu mirada lo persigue. Nada de eso es una decisión: es percepción, ocurriendo por debajo del pensamiento. Antes de diseñar lo que una interfaz dice, conviene entender cómo el usuario ve, atiende y evalúa sin darse cuenta.</w:t>
      </w:r>
    </w:p>
    <w:p>
      <w:pPr>
        <w:spacing w:after="120" w:line="320" w:lineRule="auto"/>
        <w:jc w:val="both"/>
      </w:pPr>
      <w:r>
        <w:rPr>
          <w:rFonts w:ascii="Newsreader" w:hAnsi="Newsreader" w:cs="Newsreader"/>
          <w:b w:val="0"/>
          <w:i w:val="0"/>
          <w:color w:val="161412"/>
        </w:rPr>
        <w:t xml:space="preserve">Si este libro sostiene que la interfaz debe entenderse desde sus eventos, no puede apoyarse solo en vocabulario de diseño, convenciones de framework o intuiciones de implementación. Necesita preguntarse cómo perciben las personas. Cómo organizan un campo visual, cómo detectan cambios, cómo orientan la atención, cómo atribuyen causalidad. Cómo evalúan una situación, cómo integran señales de varios canales y cómo convierten una acción en experiencia significativa.</w:t>
      </w:r>
    </w:p>
    <w:p>
      <w:pPr>
        <w:spacing w:after="120" w:line="320" w:lineRule="auto"/>
        <w:jc w:val="both"/>
      </w:pPr>
      <w:r>
        <w:rPr>
          <w:rFonts w:ascii="Newsreader" w:hAnsi="Newsreader" w:cs="Newsreader"/>
          <w:b w:val="0"/>
          <w:i w:val="0"/>
          <w:color w:val="161412"/>
        </w:rPr>
        <w:t>Una interfaz no se comprende solo como imagen, ni solo como estructura, ni solo como código. Se comprende como un campo perceptivo en el que un usuario atiende, actúa, evalúa, predice, recuerda e integra señales distribuidas entre varios canales.</w:t>
      </w:r>
    </w:p>
    <w:p>
      <w:pPr>
        <w:spacing w:before="200" w:after="60"/>
        <w:jc w:val="center"/>
      </w:pPr>
      <w:r>
        <w:drawing>
          <wp:inline xmlns:a="http://schemas.openxmlformats.org/drawingml/2006/main" xmlns:pic="http://schemas.openxmlformats.org/drawingml/2006/picture">
            <wp:extent cx="5029200" cy="2376297"/>
            <wp:docPr id="10" name="Picture 10"/>
            <wp:cNvGraphicFramePr>
              <a:graphicFrameLocks noChangeAspect="1"/>
            </wp:cNvGraphicFramePr>
            <a:graphic>
              <a:graphicData uri="http://schemas.openxmlformats.org/drawingml/2006/picture">
                <pic:pic>
                  <pic:nvPicPr>
                    <pic:cNvPr id="0" name="figura-3-1.png"/>
                    <pic:cNvPicPr/>
                  </pic:nvPicPr>
                  <pic:blipFill>
                    <a:blip r:embed="rId18"/>
                    <a:stretch>
                      <a:fillRect/>
                    </a:stretch>
                  </pic:blipFill>
                  <pic:spPr>
                    <a:xfrm>
                      <a:off x="0" y="0"/>
                      <a:ext cx="5029200" cy="2376297"/>
                    </a:xfrm>
                    <a:prstGeom prst="rect"/>
                  </pic:spPr>
                </pic:pic>
              </a:graphicData>
            </a:graphic>
          </wp:inline>
        </w:drawing>
      </w:r>
    </w:p>
    <w:p>
      <w:pPr>
        <w:spacing w:before="320" w:after="40"/>
      </w:pPr>
      <w:r>
        <w:rPr>
          <w:rFonts w:ascii="IBM Plex Sans" w:hAnsi="IBM Plex Sans" w:cs="IBM Plex Sans"/>
          <w:b/>
          <w:color w:val="1F3A5F"/>
          <w:sz w:val="18"/>
        </w:rPr>
        <w:t>§ 1</w:t>
      </w:r>
    </w:p>
    <w:p>
      <w:pPr>
        <w:spacing w:after="160" w:line="240" w:lineRule="auto"/>
      </w:pPr>
      <w:r>
        <w:rPr>
          <w:rFonts w:ascii="Newsreader" w:hAnsi="Newsreader" w:cs="Newsreader"/>
          <w:color w:val="161412"/>
          <w:sz w:val="38"/>
        </w:rPr>
        <w:t>Por qué necesitamos fundamentos perceptivos</w:t>
      </w:r>
    </w:p>
    <w:p>
      <w:pPr>
        <w:spacing w:after="120" w:line="320" w:lineRule="auto"/>
        <w:jc w:val="both"/>
      </w:pPr>
      <w:r>
        <w:rPr>
          <w:rFonts w:ascii="Newsreader" w:hAnsi="Newsreader" w:cs="Newsreader"/>
          <w:b w:val="0"/>
          <w:i w:val="0"/>
          <w:color w:val="161412"/>
        </w:rPr>
        <w:t>El diseño de interfaces ha construido una tradición práctica muy sólida. Sabemos organizar jerarquías visuales, usar contraste, agrupar elementos, diseñar componentes y sistemas. Pero si la interfaz hace perceptibles eventos, necesitamos explicar cómo un usuario percibe que algo ha ocurrido, que su acción fue registrada, que un estado quedó fijado, que una operación sigue viva, que una alerta reclama atención o que una pérdida ya se produjo.</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Si la interfaz es perceptiva, su gramática no puede depender solo de convenciones visuales. Debe apoyarse en cómo las personas perciben, atienden, actúan y evalúan cambios.</w:t>
      </w:r>
    </w:p>
    <w:p>
      <w:pPr>
        <w:spacing w:before="320" w:after="40"/>
      </w:pPr>
      <w:r>
        <w:rPr>
          <w:rFonts w:ascii="IBM Plex Sans" w:hAnsi="IBM Plex Sans" w:cs="IBM Plex Sans"/>
          <w:b/>
          <w:color w:val="1F3A5F"/>
          <w:sz w:val="18"/>
        </w:rPr>
        <w:t>§ 2</w:t>
      </w:r>
    </w:p>
    <w:p>
      <w:pPr>
        <w:spacing w:after="160" w:line="240" w:lineRule="auto"/>
      </w:pPr>
      <w:r>
        <w:rPr>
          <w:rFonts w:ascii="Newsreader" w:hAnsi="Newsreader" w:cs="Newsreader"/>
          <w:color w:val="161412"/>
          <w:sz w:val="38"/>
        </w:rPr>
        <w:t>Organización perceptiva: Gestalt, agrupación y figura/fondo</w:t>
      </w:r>
    </w:p>
    <w:p>
      <w:pPr>
        <w:spacing w:after="120" w:line="320" w:lineRule="auto"/>
        <w:jc w:val="both"/>
      </w:pPr>
      <w:r>
        <w:rPr>
          <w:rFonts w:ascii="Newsreader" w:hAnsi="Newsreader" w:cs="Newsreader"/>
          <w:b w:val="0"/>
          <w:i w:val="0"/>
          <w:color w:val="161412"/>
        </w:rPr>
        <w:t>Un usuario no percibe una interfaz como suma neutra de elementos. La percibe como un campo organizado: unas cosas pertenecen juntas, otras quedan separadas; unas actúan como figura, otras como fondo. La revisión de Wagemans y colaboradores sobre un siglo de psicología Gestalt resume fenómenos como agrupación, organización figura/fondo, continuidad y cierre como principios centrales de la percepción visual.</w:t>
      </w:r>
    </w:p>
    <w:p>
      <w:pPr>
        <w:spacing w:after="120" w:line="320" w:lineRule="auto"/>
        <w:jc w:val="both"/>
      </w:pPr>
      <w:r>
        <w:rPr>
          <w:rFonts w:ascii="Newsreader" w:hAnsi="Newsreader" w:cs="Newsreader"/>
          <w:b w:val="0"/>
          <w:i w:val="0"/>
          <w:color w:val="161412"/>
        </w:rPr>
        <w:t>Esto prepara una distinción esencial: hay eventos que son figura y eventos que son fondo. Un error dentro de un modal puede ser figura evaluable. La apertura del modal puede ser fondo estructural. Si no distinguimos ambas cosas, terminamos coloreando el contenedor en lugar del mensaje.</w:t>
      </w:r>
    </w:p>
    <w:p>
      <w:pPr>
        <w:spacing w:before="200" w:after="60"/>
        <w:jc w:val="center"/>
      </w:pPr>
      <w:r>
        <w:drawing>
          <wp:inline xmlns:a="http://schemas.openxmlformats.org/drawingml/2006/main" xmlns:pic="http://schemas.openxmlformats.org/drawingml/2006/picture">
            <wp:extent cx="5029200" cy="2794349"/>
            <wp:docPr id="11" name="Picture 11"/>
            <wp:cNvGraphicFramePr>
              <a:graphicFrameLocks noChangeAspect="1"/>
            </wp:cNvGraphicFramePr>
            <a:graphic>
              <a:graphicData uri="http://schemas.openxmlformats.org/drawingml/2006/picture">
                <pic:pic>
                  <pic:nvPicPr>
                    <pic:cNvPr id="0" name="figura-3-2.png"/>
                    <pic:cNvPicPr/>
                  </pic:nvPicPr>
                  <pic:blipFill>
                    <a:blip r:embed="rId19"/>
                    <a:stretch>
                      <a:fillRect/>
                    </a:stretch>
                  </pic:blipFill>
                  <pic:spPr>
                    <a:xfrm>
                      <a:off x="0" y="0"/>
                      <a:ext cx="5029200" cy="2794349"/>
                    </a:xfrm>
                    <a:prstGeom prst="rect"/>
                  </pic:spPr>
                </pic:pic>
              </a:graphicData>
            </a:graphic>
          </wp:inline>
        </w:drawing>
      </w:r>
    </w:p>
    <w:p>
      <w:pPr>
        <w:spacing w:before="320" w:after="40"/>
      </w:pPr>
      <w:r>
        <w:rPr>
          <w:rFonts w:ascii="IBM Plex Sans" w:hAnsi="IBM Plex Sans" w:cs="IBM Plex Sans"/>
          <w:b/>
          <w:color w:val="1F3A5F"/>
          <w:sz w:val="18"/>
        </w:rPr>
        <w:t>§ 3</w:t>
      </w:r>
    </w:p>
    <w:p>
      <w:pPr>
        <w:spacing w:after="160" w:line="240" w:lineRule="auto"/>
      </w:pPr>
      <w:r>
        <w:rPr>
          <w:rFonts w:ascii="Newsreader" w:hAnsi="Newsreader" w:cs="Newsreader"/>
          <w:color w:val="161412"/>
          <w:sz w:val="38"/>
        </w:rPr>
        <w:t>Affordances y acción situada</w:t>
      </w:r>
    </w:p>
    <w:p>
      <w:pPr>
        <w:spacing w:after="120" w:line="320" w:lineRule="auto"/>
        <w:jc w:val="both"/>
      </w:pPr>
      <w:r>
        <w:rPr>
          <w:rFonts w:ascii="Newsreader" w:hAnsi="Newsreader" w:cs="Newsreader"/>
          <w:b w:val="0"/>
          <w:i w:val="0"/>
          <w:color w:val="161412"/>
        </w:rPr>
        <w:t>Una interfaz no es solo algo que el usuario observa. Es un campo de posibilidades. Gibson formuló la noción de affordance para nombrar lo que el entorno ofrece al organismo en términos de acción posible. Un botón ofrece ser pulsado. Un slider ofrece ser arrastrado. Un modal comunica que ciertas acciones quedan suspendidas y otras adquieren prioridad.</w:t>
      </w:r>
    </w:p>
    <w:p>
      <w:pPr>
        <w:spacing w:after="200" w:before="40"/>
      </w:pPr>
      <w:r>
        <w:rPr>
          <w:rFonts w:ascii="IBM Plex Sans" w:hAnsi="IBM Plex Sans" w:cs="IBM Plex Sans"/>
          <w:b/>
          <w:color w:val="1F3A5F"/>
          <w:sz w:val="17"/>
        </w:rPr>
        <w:t xml:space="preserve">TABLA 3.1   </w:t>
      </w:r>
      <w:r>
        <w:rPr>
          <w:rFonts w:ascii="IBM Plex Sans" w:hAnsi="IBM Plex Sans" w:cs="IBM Plex Sans"/>
          <w:color w:val="3A352F"/>
          <w:sz w:val="18"/>
        </w:rPr>
        <w:t xml:space="preserve">Affordances y eventos</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079"/>
        <w:gridCol w:w="2079"/>
        <w:gridCol w:w="2079"/>
        <w:gridCol w:w="2079"/>
      </w:tblGrid>
      <w:tr>
        <w:tc>
          <w:tcPr>
            <w:tcW w:type="dxa" w:w="2079"/>
            <w:shd w:val="clear" w:color="auto" w:fill="EAE4D8"/>
          </w:tcPr>
          <w:p>
            <w:pPr>
              <w:spacing w:after="40"/>
            </w:pPr>
            <w:r>
              <w:rPr>
                <w:sz w:val="17"/>
              </w:rPr>
            </w:r>
            <w:r>
              <w:rPr>
                <w:rFonts w:ascii="IBM Plex Sans" w:hAnsi="IBM Plex Sans" w:cs="IBM Plex Sans"/>
                <w:b/>
                <w:i w:val="0"/>
                <w:color w:val="1F3A5F"/>
                <w:sz w:val="17"/>
              </w:rPr>
              <w:t>AFFORDANCE</w:t>
            </w:r>
          </w:p>
        </w:tc>
        <w:tc>
          <w:tcPr>
            <w:tcW w:type="dxa" w:w="2079"/>
            <w:shd w:val="clear" w:color="auto" w:fill="EAE4D8"/>
          </w:tcPr>
          <w:p>
            <w:pPr>
              <w:spacing w:after="40"/>
            </w:pPr>
            <w:r>
              <w:rPr>
                <w:sz w:val="17"/>
              </w:rPr>
            </w:r>
            <w:r>
              <w:rPr>
                <w:rFonts w:ascii="IBM Plex Sans" w:hAnsi="IBM Plex Sans" w:cs="IBM Plex Sans"/>
                <w:b/>
                <w:i w:val="0"/>
                <w:color w:val="1F3A5F"/>
                <w:sz w:val="17"/>
              </w:rPr>
              <w:t>QUÉ OFRECE</w:t>
            </w:r>
          </w:p>
        </w:tc>
        <w:tc>
          <w:tcPr>
            <w:tcW w:type="dxa" w:w="2079"/>
            <w:shd w:val="clear" w:color="auto" w:fill="EAE4D8"/>
          </w:tcPr>
          <w:p>
            <w:pPr>
              <w:spacing w:after="40"/>
            </w:pPr>
            <w:r>
              <w:rPr>
                <w:sz w:val="17"/>
              </w:rPr>
            </w:r>
            <w:r>
              <w:rPr>
                <w:rFonts w:ascii="IBM Plex Sans" w:hAnsi="IBM Plex Sans" w:cs="IBM Plex Sans"/>
                <w:b/>
                <w:i w:val="0"/>
                <w:color w:val="1F3A5F"/>
                <w:sz w:val="17"/>
              </w:rPr>
              <w:t>EVENTO</w:t>
            </w:r>
          </w:p>
        </w:tc>
        <w:tc>
          <w:tcPr>
            <w:tcW w:type="dxa" w:w="2079"/>
            <w:shd w:val="clear" w:color="auto" w:fill="EAE4D8"/>
          </w:tcPr>
          <w:p>
            <w:pPr>
              <w:spacing w:after="40"/>
            </w:pPr>
            <w:r>
              <w:rPr>
                <w:sz w:val="17"/>
              </w:rPr>
            </w:r>
            <w:r>
              <w:rPr>
                <w:rFonts w:ascii="IBM Plex Sans" w:hAnsi="IBM Plex Sans" w:cs="IBM Plex Sans"/>
                <w:b/>
                <w:i w:val="0"/>
                <w:color w:val="1F3A5F"/>
                <w:sz w:val="17"/>
              </w:rPr>
              <w:t>LECTURA</w:t>
            </w:r>
          </w:p>
        </w:tc>
      </w:tr>
      <w:tr>
        <w:tc>
          <w:tcPr>
            <w:tcW w:type="dxa" w:w="2079"/>
          </w:tcPr>
          <w:p>
            <w:pPr>
              <w:spacing w:after="40"/>
            </w:pPr>
            <w:r>
              <w:rPr>
                <w:sz w:val="17"/>
              </w:rPr>
            </w:r>
            <w:r>
              <w:rPr>
                <w:rFonts w:ascii="IBM Plex Sans" w:hAnsi="IBM Plex Sans" w:cs="IBM Plex Sans"/>
                <w:b w:val="0"/>
                <w:i w:val="0"/>
                <w:color w:val="161412"/>
                <w:sz w:val="17"/>
              </w:rPr>
              <w:t>Presionar</w:t>
            </w:r>
          </w:p>
        </w:tc>
        <w:tc>
          <w:tcPr>
            <w:tcW w:type="dxa" w:w="2079"/>
          </w:tcPr>
          <w:p>
            <w:pPr>
              <w:spacing w:after="40"/>
            </w:pPr>
            <w:r>
              <w:rPr>
                <w:sz w:val="17"/>
              </w:rPr>
            </w:r>
            <w:r>
              <w:rPr>
                <w:rFonts w:ascii="IBM Plex Sans" w:hAnsi="IBM Plex Sans" w:cs="IBM Plex Sans"/>
                <w:b w:val="0"/>
                <w:i w:val="0"/>
                <w:color w:val="161412"/>
                <w:sz w:val="17"/>
              </w:rPr>
              <w:t>Actuar sobre algo</w:t>
            </w:r>
          </w:p>
        </w:tc>
        <w:tc>
          <w:tcPr>
            <w:tcW w:type="dxa" w:w="2079"/>
          </w:tcPr>
          <w:p>
            <w:pPr>
              <w:spacing w:after="40"/>
            </w:pPr>
            <w:r>
              <w:rPr>
                <w:sz w:val="17"/>
              </w:rPr>
            </w:r>
            <w:r>
              <w:rPr>
                <w:rFonts w:ascii="IBM Plex Sans" w:hAnsi="IBM Plex Sans" w:cs="IBM Plex Sans"/>
                <w:b w:val="0"/>
                <w:i w:val="0"/>
                <w:color w:val="161412"/>
                <w:sz w:val="17"/>
              </w:rPr>
              <w:t>contact</w:t>
            </w:r>
          </w:p>
        </w:tc>
        <w:tc>
          <w:tcPr>
            <w:tcW w:type="dxa" w:w="2079"/>
          </w:tcPr>
          <w:p>
            <w:pPr>
              <w:spacing w:after="40"/>
            </w:pPr>
            <w:r>
              <w:rPr>
                <w:sz w:val="17"/>
              </w:rPr>
            </w:r>
            <w:r>
              <w:rPr>
                <w:rFonts w:ascii="IBM Plex Sans" w:hAnsi="IBM Plex Sans" w:cs="IBM Plex Sans"/>
                <w:b w:val="0"/>
                <w:i w:val="0"/>
                <w:color w:val="161412"/>
                <w:sz w:val="17"/>
              </w:rPr>
              <w:t>El sistema ha sentido mi acción</w:t>
            </w:r>
          </w:p>
        </w:tc>
      </w:tr>
      <w:tr>
        <w:tc>
          <w:tcPr>
            <w:tcW w:type="dxa" w:w="2079"/>
          </w:tcPr>
          <w:p>
            <w:pPr>
              <w:spacing w:after="40"/>
            </w:pPr>
            <w:r>
              <w:rPr>
                <w:sz w:val="17"/>
              </w:rPr>
            </w:r>
            <w:r>
              <w:rPr>
                <w:rFonts w:ascii="IBM Plex Sans" w:hAnsi="IBM Plex Sans" w:cs="IBM Plex Sans"/>
                <w:b w:val="0"/>
                <w:i w:val="0"/>
                <w:color w:val="161412"/>
                <w:sz w:val="17"/>
              </w:rPr>
              <w:t>Elegir</w:t>
            </w:r>
          </w:p>
        </w:tc>
        <w:tc>
          <w:tcPr>
            <w:tcW w:type="dxa" w:w="2079"/>
          </w:tcPr>
          <w:p>
            <w:pPr>
              <w:spacing w:after="40"/>
            </w:pPr>
            <w:r>
              <w:rPr>
                <w:sz w:val="17"/>
              </w:rPr>
            </w:r>
            <w:r>
              <w:rPr>
                <w:rFonts w:ascii="IBM Plex Sans" w:hAnsi="IBM Plex Sans" w:cs="IBM Plex Sans"/>
                <w:b w:val="0"/>
                <w:i w:val="0"/>
                <w:color w:val="161412"/>
                <w:sz w:val="17"/>
              </w:rPr>
              <w:t>Fijar una opción</w:t>
            </w:r>
          </w:p>
        </w:tc>
        <w:tc>
          <w:tcPr>
            <w:tcW w:type="dxa" w:w="2079"/>
          </w:tcPr>
          <w:p>
            <w:pPr>
              <w:spacing w:after="40"/>
            </w:pPr>
            <w:r>
              <w:rPr>
                <w:sz w:val="17"/>
              </w:rPr>
            </w:r>
            <w:r>
              <w:rPr>
                <w:rFonts w:ascii="IBM Plex Sans" w:hAnsi="IBM Plex Sans" w:cs="IBM Plex Sans"/>
                <w:b w:val="0"/>
                <w:i w:val="0"/>
                <w:color w:val="161412"/>
                <w:sz w:val="17"/>
              </w:rPr>
              <w:t>commit.select</w:t>
            </w:r>
          </w:p>
        </w:tc>
        <w:tc>
          <w:tcPr>
            <w:tcW w:type="dxa" w:w="2079"/>
          </w:tcPr>
          <w:p>
            <w:pPr>
              <w:spacing w:after="40"/>
            </w:pPr>
            <w:r>
              <w:rPr>
                <w:sz w:val="17"/>
              </w:rPr>
            </w:r>
            <w:r>
              <w:rPr>
                <w:rFonts w:ascii="IBM Plex Sans" w:hAnsi="IBM Plex Sans" w:cs="IBM Plex Sans"/>
                <w:b w:val="0"/>
                <w:i w:val="0"/>
                <w:color w:val="161412"/>
                <w:sz w:val="17"/>
              </w:rPr>
              <w:t>Esto queda elegido</w:t>
            </w:r>
          </w:p>
        </w:tc>
      </w:tr>
      <w:tr>
        <w:tc>
          <w:tcPr>
            <w:tcW w:type="dxa" w:w="2079"/>
          </w:tcPr>
          <w:p>
            <w:pPr>
              <w:spacing w:after="40"/>
            </w:pPr>
            <w:r>
              <w:rPr>
                <w:sz w:val="17"/>
              </w:rPr>
            </w:r>
            <w:r>
              <w:rPr>
                <w:rFonts w:ascii="IBM Plex Sans" w:hAnsi="IBM Plex Sans" w:cs="IBM Plex Sans"/>
                <w:b w:val="0"/>
                <w:i w:val="0"/>
                <w:color w:val="161412"/>
                <w:sz w:val="17"/>
              </w:rPr>
              <w:t>Manipular</w:t>
            </w:r>
          </w:p>
        </w:tc>
        <w:tc>
          <w:tcPr>
            <w:tcW w:type="dxa" w:w="2079"/>
          </w:tcPr>
          <w:p>
            <w:pPr>
              <w:spacing w:after="40"/>
            </w:pPr>
            <w:r>
              <w:rPr>
                <w:sz w:val="17"/>
              </w:rPr>
            </w:r>
            <w:r>
              <w:rPr>
                <w:rFonts w:ascii="IBM Plex Sans" w:hAnsi="IBM Plex Sans" w:cs="IBM Plex Sans"/>
                <w:b w:val="0"/>
                <w:i w:val="0"/>
                <w:color w:val="161412"/>
                <w:sz w:val="17"/>
              </w:rPr>
              <w:t>Mover directamente</w:t>
            </w:r>
          </w:p>
        </w:tc>
        <w:tc>
          <w:tcPr>
            <w:tcW w:type="dxa" w:w="2079"/>
          </w:tcPr>
          <w:p>
            <w:pPr>
              <w:spacing w:after="40"/>
            </w:pPr>
            <w:r>
              <w:rPr>
                <w:sz w:val="17"/>
              </w:rPr>
            </w:r>
            <w:r>
              <w:rPr>
                <w:rFonts w:ascii="IBM Plex Sans" w:hAnsi="IBM Plex Sans" w:cs="IBM Plex Sans"/>
                <w:b w:val="0"/>
                <w:i w:val="0"/>
                <w:color w:val="161412"/>
                <w:sz w:val="17"/>
              </w:rPr>
              <w:t>handle</w:t>
            </w:r>
          </w:p>
        </w:tc>
        <w:tc>
          <w:tcPr>
            <w:tcW w:type="dxa" w:w="2079"/>
          </w:tcPr>
          <w:p>
            <w:pPr>
              <w:spacing w:after="40"/>
            </w:pPr>
            <w:r>
              <w:rPr>
                <w:sz w:val="17"/>
              </w:rPr>
            </w:r>
            <w:r>
              <w:rPr>
                <w:rFonts w:ascii="IBM Plex Sans" w:hAnsi="IBM Plex Sans" w:cs="IBM Plex Sans"/>
                <w:b w:val="0"/>
                <w:i w:val="0"/>
                <w:color w:val="161412"/>
                <w:sz w:val="17"/>
              </w:rPr>
              <w:t>Estoy controlando este objeto</w:t>
            </w:r>
          </w:p>
        </w:tc>
      </w:tr>
      <w:tr>
        <w:tc>
          <w:tcPr>
            <w:tcW w:type="dxa" w:w="2079"/>
          </w:tcPr>
          <w:p>
            <w:pPr>
              <w:spacing w:after="40"/>
            </w:pPr>
            <w:r>
              <w:rPr>
                <w:sz w:val="17"/>
              </w:rPr>
            </w:r>
            <w:r>
              <w:rPr>
                <w:rFonts w:ascii="IBM Plex Sans" w:hAnsi="IBM Plex Sans" w:cs="IBM Plex Sans"/>
                <w:b w:val="0"/>
                <w:i w:val="0"/>
                <w:color w:val="161412"/>
                <w:sz w:val="17"/>
              </w:rPr>
              <w:t>Atender</w:t>
            </w:r>
          </w:p>
        </w:tc>
        <w:tc>
          <w:tcPr>
            <w:tcW w:type="dxa" w:w="2079"/>
          </w:tcPr>
          <w:p>
            <w:pPr>
              <w:spacing w:after="40"/>
            </w:pPr>
            <w:r>
              <w:rPr>
                <w:sz w:val="17"/>
              </w:rPr>
            </w:r>
            <w:r>
              <w:rPr>
                <w:rFonts w:ascii="IBM Plex Sans" w:hAnsi="IBM Plex Sans" w:cs="IBM Plex Sans"/>
                <w:b w:val="0"/>
                <w:i w:val="0"/>
                <w:color w:val="161412"/>
                <w:sz w:val="17"/>
              </w:rPr>
              <w:t>Mirar o responder</w:t>
            </w:r>
          </w:p>
        </w:tc>
        <w:tc>
          <w:tcPr>
            <w:tcW w:type="dxa" w:w="2079"/>
          </w:tcPr>
          <w:p>
            <w:pPr>
              <w:spacing w:after="40"/>
            </w:pPr>
            <w:r>
              <w:rPr>
                <w:sz w:val="17"/>
              </w:rPr>
            </w:r>
            <w:r>
              <w:rPr>
                <w:rFonts w:ascii="IBM Plex Sans" w:hAnsi="IBM Plex Sans" w:cs="IBM Plex Sans"/>
                <w:b w:val="0"/>
                <w:i w:val="0"/>
                <w:color w:val="161412"/>
                <w:sz w:val="17"/>
              </w:rPr>
              <w:t>signal</w:t>
            </w:r>
          </w:p>
        </w:tc>
        <w:tc>
          <w:tcPr>
            <w:tcW w:type="dxa" w:w="2079"/>
          </w:tcPr>
          <w:p>
            <w:pPr>
              <w:spacing w:after="40"/>
            </w:pPr>
            <w:r>
              <w:rPr>
                <w:sz w:val="17"/>
              </w:rPr>
            </w:r>
            <w:r>
              <w:rPr>
                <w:rFonts w:ascii="IBM Plex Sans" w:hAnsi="IBM Plex Sans" w:cs="IBM Plex Sans"/>
                <w:b w:val="0"/>
                <w:i w:val="0"/>
                <w:color w:val="161412"/>
                <w:sz w:val="17"/>
              </w:rPr>
              <w:t>Esto requiere mi atención</w:t>
            </w:r>
          </w:p>
        </w:tc>
      </w:tr>
      <w:tr>
        <w:tc>
          <w:tcPr>
            <w:tcW w:type="dxa" w:w="2079"/>
          </w:tcPr>
          <w:p>
            <w:pPr>
              <w:spacing w:after="40"/>
            </w:pPr>
            <w:r>
              <w:rPr>
                <w:sz w:val="17"/>
              </w:rPr>
            </w:r>
            <w:r>
              <w:rPr>
                <w:rFonts w:ascii="IBM Plex Sans" w:hAnsi="IBM Plex Sans" w:cs="IBM Plex Sans"/>
                <w:b w:val="0"/>
                <w:i w:val="0"/>
                <w:color w:val="161412"/>
                <w:sz w:val="17"/>
              </w:rPr>
              <w:t>Entrar/salir</w:t>
            </w:r>
          </w:p>
        </w:tc>
        <w:tc>
          <w:tcPr>
            <w:tcW w:type="dxa" w:w="2079"/>
          </w:tcPr>
          <w:p>
            <w:pPr>
              <w:spacing w:after="40"/>
            </w:pPr>
            <w:r>
              <w:rPr>
                <w:sz w:val="17"/>
              </w:rPr>
            </w:r>
            <w:r>
              <w:rPr>
                <w:rFonts w:ascii="IBM Plex Sans" w:hAnsi="IBM Plex Sans" w:cs="IBM Plex Sans"/>
                <w:b w:val="0"/>
                <w:i w:val="0"/>
                <w:color w:val="161412"/>
                <w:sz w:val="17"/>
              </w:rPr>
              <w:t>Cambiar disponibilidad</w:t>
            </w:r>
          </w:p>
        </w:tc>
        <w:tc>
          <w:tcPr>
            <w:tcW w:type="dxa" w:w="2079"/>
          </w:tcPr>
          <w:p>
            <w:pPr>
              <w:spacing w:after="40"/>
            </w:pPr>
            <w:r>
              <w:rPr>
                <w:sz w:val="17"/>
              </w:rPr>
            </w:r>
            <w:r>
              <w:rPr>
                <w:rFonts w:ascii="IBM Plex Sans" w:hAnsi="IBM Plex Sans" w:cs="IBM Plex Sans"/>
                <w:b w:val="0"/>
                <w:i w:val="0"/>
                <w:color w:val="161412"/>
                <w:sz w:val="17"/>
              </w:rPr>
              <w:t>emerge / shift</w:t>
            </w:r>
          </w:p>
        </w:tc>
        <w:tc>
          <w:tcPr>
            <w:tcW w:type="dxa" w:w="2079"/>
          </w:tcPr>
          <w:p>
            <w:pPr>
              <w:spacing w:after="40"/>
            </w:pPr>
            <w:r>
              <w:rPr>
                <w:sz w:val="17"/>
              </w:rPr>
            </w:r>
            <w:r>
              <w:rPr>
                <w:rFonts w:ascii="IBM Plex Sans" w:hAnsi="IBM Plex Sans" w:cs="IBM Plex Sans"/>
                <w:b w:val="0"/>
                <w:i w:val="0"/>
                <w:color w:val="161412"/>
                <w:sz w:val="17"/>
              </w:rPr>
              <w:t>Algo apareció / cambió el marco</w:t>
            </w:r>
          </w:p>
        </w:tc>
      </w:tr>
      <w:tr>
        <w:tc>
          <w:tcPr>
            <w:tcW w:type="dxa" w:w="2079"/>
          </w:tcPr>
          <w:p>
            <w:pPr>
              <w:spacing w:after="40"/>
            </w:pPr>
            <w:r>
              <w:rPr>
                <w:sz w:val="17"/>
              </w:rPr>
            </w:r>
            <w:r>
              <w:rPr>
                <w:rFonts w:ascii="IBM Plex Sans" w:hAnsi="IBM Plex Sans" w:cs="IBM Plex Sans"/>
                <w:b w:val="0"/>
                <w:i w:val="0"/>
                <w:color w:val="161412"/>
                <w:sz w:val="17"/>
              </w:rPr>
              <w:t>Esperar</w:t>
            </w:r>
          </w:p>
        </w:tc>
        <w:tc>
          <w:tcPr>
            <w:tcW w:type="dxa" w:w="2079"/>
          </w:tcPr>
          <w:p>
            <w:pPr>
              <w:spacing w:after="40"/>
            </w:pPr>
            <w:r>
              <w:rPr>
                <w:sz w:val="17"/>
              </w:rPr>
            </w:r>
            <w:r>
              <w:rPr>
                <w:rFonts w:ascii="IBM Plex Sans" w:hAnsi="IBM Plex Sans" w:cs="IBM Plex Sans"/>
                <w:b w:val="0"/>
                <w:i w:val="0"/>
                <w:color w:val="161412"/>
                <w:sz w:val="17"/>
              </w:rPr>
              <w:t>Sostener proceso</w:t>
            </w:r>
          </w:p>
        </w:tc>
        <w:tc>
          <w:tcPr>
            <w:tcW w:type="dxa" w:w="2079"/>
          </w:tcPr>
          <w:p>
            <w:pPr>
              <w:spacing w:after="40"/>
            </w:pPr>
            <w:r>
              <w:rPr>
                <w:sz w:val="17"/>
              </w:rPr>
            </w:r>
            <w:r>
              <w:rPr>
                <w:rFonts w:ascii="IBM Plex Sans" w:hAnsi="IBM Plex Sans" w:cs="IBM Plex Sans"/>
                <w:b w:val="0"/>
                <w:i w:val="0"/>
                <w:color w:val="161412"/>
                <w:sz w:val="17"/>
              </w:rPr>
              <w:t>sustain</w:t>
            </w:r>
          </w:p>
        </w:tc>
        <w:tc>
          <w:tcPr>
            <w:tcW w:type="dxa" w:w="2079"/>
          </w:tcPr>
          <w:p>
            <w:pPr>
              <w:spacing w:after="40"/>
            </w:pPr>
            <w:r>
              <w:rPr>
                <w:sz w:val="17"/>
              </w:rPr>
            </w:r>
            <w:r>
              <w:rPr>
                <w:rFonts w:ascii="IBM Plex Sans" w:hAnsi="IBM Plex Sans" w:cs="IBM Plex Sans"/>
                <w:b w:val="0"/>
                <w:i w:val="0"/>
                <w:color w:val="161412"/>
                <w:sz w:val="17"/>
              </w:rPr>
              <w:t>Esto sigue ocurriendo</w:t>
            </w:r>
          </w:p>
        </w:tc>
      </w:tr>
    </w:tbl>
    <w:p>
      <w:pPr>
        <w:spacing w:before="320" w:after="40"/>
      </w:pPr>
      <w:r>
        <w:rPr>
          <w:rFonts w:ascii="IBM Plex Sans" w:hAnsi="IBM Plex Sans" w:cs="IBM Plex Sans"/>
          <w:b/>
          <w:color w:val="1F3A5F"/>
          <w:sz w:val="18"/>
        </w:rPr>
        <w:t>§ 4</w:t>
      </w:r>
    </w:p>
    <w:p>
      <w:pPr>
        <w:spacing w:after="160" w:line="240" w:lineRule="auto"/>
      </w:pPr>
      <w:r>
        <w:rPr>
          <w:rFonts w:ascii="Newsreader" w:hAnsi="Newsreader" w:cs="Newsreader"/>
          <w:color w:val="161412"/>
          <w:sz w:val="38"/>
        </w:rPr>
        <w:t>Atención, saliencia y carga cognitiva</w:t>
      </w:r>
    </w:p>
    <w:p>
      <w:pPr>
        <w:spacing w:after="120" w:line="320" w:lineRule="auto"/>
        <w:jc w:val="both"/>
      </w:pPr>
      <w:r>
        <w:rPr>
          <w:rFonts w:ascii="Newsreader" w:hAnsi="Newsreader" w:cs="Newsreader"/>
          <w:b w:val="0"/>
          <w:i w:val="0"/>
          <w:color w:val="161412"/>
        </w:rPr>
        <w:t>Una interfaz siempre compite por recursos limitados. Cada señal, cada movimiento, cada sonido y cada color saturado tiene un coste. Posner estudió la orientación de la atención como un proceso que asigna recursos de procesamiento a una parte del campo perceptivo, incluso antes de que haya movimiento ocular explícito.</w:t>
      </w:r>
    </w:p>
    <w:p>
      <w:pPr>
        <w:spacing w:after="120" w:line="320" w:lineRule="auto"/>
        <w:jc w:val="both"/>
      </w:pPr>
      <w:r>
        <w:rPr>
          <w:rFonts w:ascii="Newsreader" w:hAnsi="Newsreader" w:cs="Newsreader"/>
          <w:b w:val="0"/>
          <w:i w:val="0"/>
          <w:color w:val="161412"/>
        </w:rPr>
        <w:t>No todo evento debe reclamar atención. Un signal.alert sí puede justificar interrupción. Un emerge.reveal quizá solo debe hacer aparecer contenido. Un sustain.progress debe mantener conciencia de proceso sin competir con la tarea principal.</w:t>
      </w:r>
    </w:p>
    <w:p>
      <w:pPr>
        <w:spacing w:before="200" w:after="60"/>
        <w:jc w:val="center"/>
      </w:pPr>
      <w:r>
        <w:drawing>
          <wp:inline xmlns:a="http://schemas.openxmlformats.org/drawingml/2006/main" xmlns:pic="http://schemas.openxmlformats.org/drawingml/2006/picture">
            <wp:extent cx="5029200" cy="2304002"/>
            <wp:docPr id="12" name="Picture 12"/>
            <wp:cNvGraphicFramePr>
              <a:graphicFrameLocks noChangeAspect="1"/>
            </wp:cNvGraphicFramePr>
            <a:graphic>
              <a:graphicData uri="http://schemas.openxmlformats.org/drawingml/2006/picture">
                <pic:pic>
                  <pic:nvPicPr>
                    <pic:cNvPr id="0" name="figura-3-3.png"/>
                    <pic:cNvPicPr/>
                  </pic:nvPicPr>
                  <pic:blipFill>
                    <a:blip r:embed="rId20"/>
                    <a:stretch>
                      <a:fillRect/>
                    </a:stretch>
                  </pic:blipFill>
                  <pic:spPr>
                    <a:xfrm>
                      <a:off x="0" y="0"/>
                      <a:ext cx="5029200" cy="2304002"/>
                    </a:xfrm>
                    <a:prstGeom prst="rect"/>
                  </pic:spPr>
                </pic:pic>
              </a:graphicData>
            </a:graphic>
          </wp:inline>
        </w:drawing>
      </w:r>
    </w:p>
    <w:p>
      <w:pPr>
        <w:spacing w:before="320" w:after="40"/>
      </w:pPr>
      <w:r>
        <w:rPr>
          <w:rFonts w:ascii="IBM Plex Sans" w:hAnsi="IBM Plex Sans" w:cs="IBM Plex Sans"/>
          <w:b/>
          <w:color w:val="1F3A5F"/>
          <w:sz w:val="18"/>
        </w:rPr>
        <w:t>§ 5</w:t>
      </w:r>
    </w:p>
    <w:p>
      <w:pPr>
        <w:spacing w:after="160" w:line="240" w:lineRule="auto"/>
      </w:pPr>
      <w:r>
        <w:rPr>
          <w:rFonts w:ascii="Newsreader" w:hAnsi="Newsreader" w:cs="Newsreader"/>
          <w:color w:val="161412"/>
          <w:sz w:val="38"/>
        </w:rPr>
        <w:t>Valoración del evento: cómo el usuario evalúa lo que ocurre</w:t>
      </w:r>
    </w:p>
    <w:p>
      <w:pPr>
        <w:spacing w:after="120" w:line="320" w:lineRule="auto"/>
        <w:jc w:val="both"/>
      </w:pPr>
      <w:r>
        <w:rPr>
          <w:rFonts w:ascii="Newsreader" w:hAnsi="Newsreader" w:cs="Newsreader"/>
          <w:b w:val="0"/>
          <w:i w:val="0"/>
          <w:color w:val="161412"/>
        </w:rPr>
        <w:t>Algunos cambios no solo se perciben. Se evalúan: ¿esto es bueno o malo para mí?, ¿favorece mi meta?, ¿bloquea mi acción?, ¿puedo corregirlo?, ¿requiere respuesta inmediata? Scherer describe el proceso emocional como una secuencia de evaluaciones en términos de relevancia, implicaciones, capacidad de afrontamiento y significado normativo.</w:t>
      </w:r>
    </w:p>
    <w:p>
      <w:pPr>
        <w:spacing w:after="120" w:line="320" w:lineRule="auto"/>
        <w:jc w:val="both"/>
      </w:pPr>
      <w:r>
        <w:rPr>
          <w:rFonts w:ascii="Newsreader" w:hAnsi="Newsreader" w:cs="Newsreader"/>
          <w:b w:val="0"/>
          <w:i w:val="0"/>
          <w:color w:val="161412"/>
        </w:rPr>
        <w:t>La valoración del evento permite formular una distinción que después será central: no todos los eventos son evaluables. Algunos son mensaje (fallo, advertencia, confirmación, pérdida). Otros son marco (apertura, expansión, navegación, sostenimiento). El intent tiene sentido cuando hay algo que evaluar.</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El intent no nace del color. Nace de la evaluación de un evento respecto a metas, riesgo, control y consecuencia.</w:t>
      </w:r>
    </w:p>
    <w:p>
      <w:pPr>
        <w:spacing w:before="320" w:after="40"/>
      </w:pPr>
      <w:r>
        <w:rPr>
          <w:rFonts w:ascii="IBM Plex Sans" w:hAnsi="IBM Plex Sans" w:cs="IBM Plex Sans"/>
          <w:b/>
          <w:color w:val="1F3A5F"/>
          <w:sz w:val="18"/>
        </w:rPr>
        <w:t>§ 6</w:t>
      </w:r>
    </w:p>
    <w:p>
      <w:pPr>
        <w:spacing w:after="160" w:line="240" w:lineRule="auto"/>
      </w:pPr>
      <w:r>
        <w:rPr>
          <w:rFonts w:ascii="Newsreader" w:hAnsi="Newsreader" w:cs="Newsreader"/>
          <w:color w:val="161412"/>
          <w:sz w:val="38"/>
        </w:rPr>
        <w:t>Valencia y activación: el espacio afectivo</w:t>
      </w:r>
    </w:p>
    <w:p>
      <w:pPr>
        <w:spacing w:after="120" w:line="320" w:lineRule="auto"/>
        <w:jc w:val="both"/>
      </w:pPr>
      <w:r>
        <w:rPr>
          <w:rFonts w:ascii="Newsreader" w:hAnsi="Newsreader" w:cs="Newsreader"/>
          <w:b w:val="0"/>
          <w:i w:val="0"/>
          <w:color w:val="161412"/>
        </w:rPr>
        <w:t>Si un evento es evaluable, necesitamos describir de qué tipo de evaluación se trata. El modelo circumplejo de Russell propone dos ejes: valencia (positivo/negativo) y activación (baja/alta activación). Esto permite distinguir regiones que el semáforo heredado (success/warning/danger/info) mezcla.</w:t>
      </w:r>
    </w:p>
    <w:p>
      <w:pPr>
        <w:spacing w:after="120" w:line="320" w:lineRule="auto"/>
        <w:jc w:val="both"/>
      </w:pPr>
      <w:r>
        <w:rPr>
          <w:rFonts w:ascii="Newsreader" w:hAnsi="Newsreader" w:cs="Newsreader"/>
          <w:b w:val="0"/>
          <w:i w:val="0"/>
          <w:color w:val="161412"/>
        </w:rPr>
        <w:t>No es lo mismo threat (negativo, alta activación) que loss (negativo, baja activación). No es lo mismo affirm (positivo leve) que fulfill (positivo, activación media-alta). Esta distinción permite formular los intents no como colores, sino como regiones evaluativas del evento.</w:t>
      </w:r>
    </w:p>
    <w:p>
      <w:pPr>
        <w:spacing w:before="200" w:after="60"/>
        <w:jc w:val="center"/>
      </w:pPr>
      <w:r>
        <w:drawing>
          <wp:inline xmlns:a="http://schemas.openxmlformats.org/drawingml/2006/main" xmlns:pic="http://schemas.openxmlformats.org/drawingml/2006/picture">
            <wp:extent cx="5029200" cy="3492151"/>
            <wp:docPr id="13" name="Picture 13"/>
            <wp:cNvGraphicFramePr>
              <a:graphicFrameLocks noChangeAspect="1"/>
            </wp:cNvGraphicFramePr>
            <a:graphic>
              <a:graphicData uri="http://schemas.openxmlformats.org/drawingml/2006/picture">
                <pic:pic>
                  <pic:nvPicPr>
                    <pic:cNvPr id="0" name="figura-3-4.png"/>
                    <pic:cNvPicPr/>
                  </pic:nvPicPr>
                  <pic:blipFill>
                    <a:blip r:embed="rId21"/>
                    <a:stretch>
                      <a:fillRect/>
                    </a:stretch>
                  </pic:blipFill>
                  <pic:spPr>
                    <a:xfrm>
                      <a:off x="0" y="0"/>
                      <a:ext cx="5029200" cy="3492151"/>
                    </a:xfrm>
                    <a:prstGeom prst="rect"/>
                  </pic:spPr>
                </pic:pic>
              </a:graphicData>
            </a:graphic>
          </wp:inline>
        </w:drawing>
      </w:r>
    </w:p>
    <w:p>
      <w:pPr>
        <w:spacing w:before="320" w:after="40"/>
      </w:pPr>
      <w:r>
        <w:rPr>
          <w:rFonts w:ascii="IBM Plex Sans" w:hAnsi="IBM Plex Sans" w:cs="IBM Plex Sans"/>
          <w:b/>
          <w:color w:val="1F3A5F"/>
          <w:sz w:val="18"/>
        </w:rPr>
        <w:t>§ 7</w:t>
      </w:r>
    </w:p>
    <w:p>
      <w:pPr>
        <w:spacing w:after="160" w:line="240" w:lineRule="auto"/>
      </w:pPr>
      <w:r>
        <w:rPr>
          <w:rFonts w:ascii="Newsreader" w:hAnsi="Newsreader" w:cs="Newsreader"/>
          <w:color w:val="161412"/>
          <w:sz w:val="38"/>
        </w:rPr>
        <w:t>Movimiento, causalidad y continuidad</w:t>
      </w:r>
    </w:p>
    <w:p>
      <w:pPr>
        <w:spacing w:after="120" w:line="320" w:lineRule="auto"/>
        <w:jc w:val="both"/>
      </w:pPr>
      <w:r>
        <w:rPr>
          <w:rFonts w:ascii="Newsreader" w:hAnsi="Newsreader" w:cs="Newsreader"/>
          <w:b w:val="0"/>
          <w:i w:val="0"/>
          <w:color w:val="161412"/>
        </w:rPr>
        <w:t>En diseño de interfaces solemos hablar de «animación» como recurso visual añadido. Pero para esta gramática conviene distinguir animación de motion. La animación es la implementación. Motion es la percepción de que algo se mueve, se comprime, aparece, se desplaza o cambia de régimen en el tiempo.</w:t>
      </w:r>
    </w:p>
    <w:p>
      <w:pPr>
        <w:spacing w:after="120" w:line="320" w:lineRule="auto"/>
        <w:jc w:val="both"/>
      </w:pPr>
      <w:r>
        <w:rPr>
          <w:rFonts w:ascii="Newsreader" w:hAnsi="Newsreader" w:cs="Newsreader"/>
          <w:b w:val="0"/>
          <w:i w:val="0"/>
          <w:color w:val="161412"/>
        </w:rPr>
        <w:t>Michotte mostró que ciertos patrones simples de movimiento producen una impresión directa de causación: si una respuesta ocurre cerca de la acción del usuario y con forma temporal adecuada, puede percibirse como consecuencia de esa acción. Si llega tarde o con forma incongruente, se percibe como evento separado.</w:t>
      </w:r>
    </w:p>
    <w:p>
      <w:pPr>
        <w:spacing w:before="200" w:after="60"/>
        <w:jc w:val="center"/>
      </w:pPr>
      <w:r>
        <w:drawing>
          <wp:inline xmlns:a="http://schemas.openxmlformats.org/drawingml/2006/main" xmlns:pic="http://schemas.openxmlformats.org/drawingml/2006/picture">
            <wp:extent cx="5029200" cy="2652903"/>
            <wp:docPr id="14" name="Picture 14"/>
            <wp:cNvGraphicFramePr>
              <a:graphicFrameLocks noChangeAspect="1"/>
            </wp:cNvGraphicFramePr>
            <a:graphic>
              <a:graphicData uri="http://schemas.openxmlformats.org/drawingml/2006/picture">
                <pic:pic>
                  <pic:nvPicPr>
                    <pic:cNvPr id="0" name="figura-3-5.png"/>
                    <pic:cNvPicPr/>
                  </pic:nvPicPr>
                  <pic:blipFill>
                    <a:blip r:embed="rId22"/>
                    <a:stretch>
                      <a:fillRect/>
                    </a:stretch>
                  </pic:blipFill>
                  <pic:spPr>
                    <a:xfrm>
                      <a:off x="0" y="0"/>
                      <a:ext cx="5029200" cy="2652903"/>
                    </a:xfrm>
                    <a:prstGeom prst="rect"/>
                  </pic:spPr>
                </pic:pic>
              </a:graphicData>
            </a:graphic>
          </wp:inline>
        </w:drawing>
      </w:r>
    </w:p>
    <w:p>
      <w:pPr>
        <w:spacing w:before="320" w:after="40"/>
      </w:pPr>
      <w:r>
        <w:rPr>
          <w:rFonts w:ascii="IBM Plex Sans" w:hAnsi="IBM Plex Sans" w:cs="IBM Plex Sans"/>
          <w:b/>
          <w:color w:val="1F3A5F"/>
          <w:sz w:val="18"/>
        </w:rPr>
        <w:t>§ 8</w:t>
      </w:r>
    </w:p>
    <w:p>
      <w:pPr>
        <w:spacing w:after="160" w:line="240" w:lineRule="auto"/>
      </w:pPr>
      <w:r>
        <w:rPr>
          <w:rFonts w:ascii="Newsreader" w:hAnsi="Newsreader" w:cs="Newsreader"/>
          <w:color w:val="161412"/>
          <w:sz w:val="38"/>
        </w:rPr>
        <w:t>Sonido, multisensorialidad e integración de canales</w:t>
      </w:r>
    </w:p>
    <w:p>
      <w:pPr>
        <w:spacing w:after="120" w:line="320" w:lineRule="auto"/>
        <w:jc w:val="both"/>
      </w:pPr>
      <w:r>
        <w:rPr>
          <w:rFonts w:ascii="Newsreader" w:hAnsi="Newsreader" w:cs="Newsreader"/>
          <w:b w:val="0"/>
          <w:i w:val="0"/>
          <w:color w:val="161412"/>
        </w:rPr>
        <w:t>El sonido tiene propiedades que otros canales no tienen: puede percibirse sin mirar la pantalla, puede comunicar urgencia rápidamente, puede marcar cierre, confirmación o pérdida, y puede funcionar como canal de respaldo cuando motion o visión están reducidos. Spence revisa cómo ciertas correspondencias crossmodales — pitch con tamaño, brillo con peso, movimiento ascendente con resolución — aparecen de forma consistente.</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El problema histórico no ha sido el sonido en la interfaz. Ha sido el sonido sin gramática: arbitrario, desproporcionado o desacoplado del evento.</w:t>
      </w:r>
    </w:p>
    <w:p>
      <w:pPr>
        <w:spacing w:after="120" w:line="320" w:lineRule="auto"/>
        <w:jc w:val="both"/>
      </w:pPr>
      <w:r>
        <w:rPr>
          <w:rFonts w:ascii="Newsreader" w:hAnsi="Newsreader" w:cs="Newsreader"/>
          <w:b w:val="0"/>
          <w:i w:val="0"/>
          <w:color w:val="161412"/>
        </w:rPr>
        <w:t>El usuario no percibe motion, sonido, color y háptica como departamentos aislados. Wallace y colaboradores muestran que la capacidad del cerebro para ligar estímulos de distintas modalidades depende de su estructura temporal. Si el sonido llega demasiado tarde respecto al movimiento, el usuario percibe dos eventos, no uno. Una interacción semántica multicanal necesita congruencia temporal, de intensidad, de dirección y afectiva.</w:t>
      </w:r>
    </w:p>
    <w:p>
      <w:pPr>
        <w:spacing w:before="200" w:after="60"/>
        <w:jc w:val="center"/>
      </w:pPr>
      <w:r>
        <w:drawing>
          <wp:inline xmlns:a="http://schemas.openxmlformats.org/drawingml/2006/main" xmlns:pic="http://schemas.openxmlformats.org/drawingml/2006/picture">
            <wp:extent cx="5029200" cy="2794349"/>
            <wp:docPr id="15" name="Picture 15"/>
            <wp:cNvGraphicFramePr>
              <a:graphicFrameLocks noChangeAspect="1"/>
            </wp:cNvGraphicFramePr>
            <a:graphic>
              <a:graphicData uri="http://schemas.openxmlformats.org/drawingml/2006/picture">
                <pic:pic>
                  <pic:nvPicPr>
                    <pic:cNvPr id="0" name="figura-3-6.png"/>
                    <pic:cNvPicPr/>
                  </pic:nvPicPr>
                  <pic:blipFill>
                    <a:blip r:embed="rId23"/>
                    <a:stretch>
                      <a:fillRect/>
                    </a:stretch>
                  </pic:blipFill>
                  <pic:spPr>
                    <a:xfrm>
                      <a:off x="0" y="0"/>
                      <a:ext cx="5029200" cy="2794349"/>
                    </a:xfrm>
                    <a:prstGeom prst="rect"/>
                  </pic:spPr>
                </pic:pic>
              </a:graphicData>
            </a:graphic>
          </wp:inline>
        </w:drawing>
      </w:r>
    </w:p>
    <w:p>
      <w:pPr>
        <w:spacing w:before="320" w:after="40"/>
      </w:pPr>
      <w:r>
        <w:rPr>
          <w:rFonts w:ascii="IBM Plex Sans" w:hAnsi="IBM Plex Sans" w:cs="IBM Plex Sans"/>
          <w:b/>
          <w:color w:val="1F3A5F"/>
          <w:sz w:val="18"/>
        </w:rPr>
        <w:t>§ 9</w:t>
      </w:r>
    </w:p>
    <w:p>
      <w:pPr>
        <w:spacing w:after="160" w:line="240" w:lineRule="auto"/>
      </w:pPr>
      <w:r>
        <w:rPr>
          <w:rFonts w:ascii="Newsreader" w:hAnsi="Newsreader" w:cs="Newsreader"/>
          <w:color w:val="161412"/>
          <w:sz w:val="38"/>
        </w:rPr>
        <w:t>Esquemas sensoriomotores y cognición corporeizada</w:t>
      </w:r>
    </w:p>
    <w:p>
      <w:pPr>
        <w:spacing w:after="120" w:line="320" w:lineRule="auto"/>
        <w:jc w:val="both"/>
      </w:pPr>
      <w:r>
        <w:rPr>
          <w:rFonts w:ascii="Newsreader" w:hAnsi="Newsreader" w:cs="Newsreader"/>
          <w:b w:val="0"/>
          <w:i w:val="0"/>
          <w:color w:val="161412"/>
        </w:rPr>
        <w:t>Muchas categorías que usamos para pensar interfaces proceden de patrones corporales básicos: contacto, presión, contenedor, camino, entrada, salida, peso, resistencia, pérdida, agarre, encaje, proceso. No las usamos solo como metáforas decorativas. Funcionan porque la interfaz digital se apoya en esquemas que el usuario ya conoce por su experiencia corporal.</w:t>
      </w:r>
    </w:p>
    <w:p>
      <w:pPr>
        <w:spacing w:after="120" w:line="320" w:lineRule="auto"/>
        <w:jc w:val="both"/>
      </w:pPr>
      <w:r>
        <w:rPr>
          <w:rFonts w:ascii="Newsreader" w:hAnsi="Newsreader" w:cs="Newsreader"/>
          <w:b w:val="0"/>
          <w:i w:val="0"/>
          <w:color w:val="161412"/>
        </w:rPr>
        <w:t>Algunos esquemas son agentivos e implican acción y evaluación: contacto, elección, logro, pérdida, manipulación. Otros son estructurales y organizan el campo: contenedor, camino, proceso, entrada/salida. Esta diferencia prepara la distinción entre eventos valenciales y transicionales.</w:t>
      </w:r>
    </w:p>
    <w:p>
      <w:pPr>
        <w:spacing w:before="200" w:after="60"/>
        <w:jc w:val="center"/>
      </w:pPr>
      <w:r>
        <w:drawing>
          <wp:inline xmlns:a="http://schemas.openxmlformats.org/drawingml/2006/main" xmlns:pic="http://schemas.openxmlformats.org/drawingml/2006/picture">
            <wp:extent cx="5029200" cy="2863501"/>
            <wp:docPr id="16" name="Picture 16"/>
            <wp:cNvGraphicFramePr>
              <a:graphicFrameLocks noChangeAspect="1"/>
            </wp:cNvGraphicFramePr>
            <a:graphic>
              <a:graphicData uri="http://schemas.openxmlformats.org/drawingml/2006/picture">
                <pic:pic>
                  <pic:nvPicPr>
                    <pic:cNvPr id="0" name="figura-3-7.png"/>
                    <pic:cNvPicPr/>
                  </pic:nvPicPr>
                  <pic:blipFill>
                    <a:blip r:embed="rId24"/>
                    <a:stretch>
                      <a:fillRect/>
                    </a:stretch>
                  </pic:blipFill>
                  <pic:spPr>
                    <a:xfrm>
                      <a:off x="0" y="0"/>
                      <a:ext cx="5029200" cy="2863501"/>
                    </a:xfrm>
                    <a:prstGeom prst="rect"/>
                  </pic:spPr>
                </pic:pic>
              </a:graphicData>
            </a:graphic>
          </wp:inline>
        </w:drawing>
      </w:r>
    </w:p>
    <w:p>
      <w:pPr>
        <w:spacing w:before="320" w:after="40"/>
      </w:pPr>
      <w:r>
        <w:rPr>
          <w:rFonts w:ascii="IBM Plex Sans" w:hAnsi="IBM Plex Sans" w:cs="IBM Plex Sans"/>
          <w:b/>
          <w:color w:val="1F3A5F"/>
          <w:sz w:val="18"/>
        </w:rPr>
        <w:t>§ 10</w:t>
      </w:r>
    </w:p>
    <w:p>
      <w:pPr>
        <w:spacing w:after="160" w:line="240" w:lineRule="auto"/>
      </w:pPr>
      <w:r>
        <w:rPr>
          <w:rFonts w:ascii="Newsreader" w:hAnsi="Newsreader" w:cs="Newsreader"/>
          <w:color w:val="161412"/>
          <w:sz w:val="38"/>
        </w:rPr>
        <w:t>Accesibilidad como prueba de arquitectura perceptiva</w:t>
      </w:r>
    </w:p>
    <w:p>
      <w:pPr>
        <w:spacing w:after="120" w:line="320" w:lineRule="auto"/>
        <w:jc w:val="both"/>
      </w:pPr>
      <w:r>
        <w:rPr>
          <w:rFonts w:ascii="Newsreader" w:hAnsi="Newsreader" w:cs="Newsreader"/>
          <w:b w:val="0"/>
          <w:i w:val="0"/>
          <w:color w:val="161412"/>
        </w:rPr>
        <w:t>Si una interfaz distribuye significado entre varios canales, debe preguntarse qué ocurre cuando uno se reduce. Si el color no basta, debe haber forma, texto o posición. Si se reduce motion, la causalidad debe apoyarse en otros recursos. Si el sonido está desactivado, una alerta debe seguir siendo perceptible.</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La accesibilidad no solo adapta la interfaz. Revela si el significado estaba bien distribuido entre canales.</w:t>
      </w:r>
    </w:p>
    <w:p>
      <w:pPr>
        <w:spacing w:before="320" w:after="40"/>
      </w:pPr>
      <w:r>
        <w:rPr>
          <w:rFonts w:ascii="IBM Plex Sans" w:hAnsi="IBM Plex Sans" w:cs="IBM Plex Sans"/>
          <w:b/>
          <w:color w:val="1F3A5F"/>
          <w:sz w:val="18"/>
        </w:rPr>
        <w:t>§ 11</w:t>
      </w:r>
    </w:p>
    <w:p>
      <w:pPr>
        <w:spacing w:after="160" w:line="240" w:lineRule="auto"/>
      </w:pPr>
      <w:r>
        <w:rPr>
          <w:rFonts w:ascii="Newsreader" w:hAnsi="Newsreader" w:cs="Newsreader"/>
          <w:color w:val="161412"/>
          <w:sz w:val="38"/>
        </w:rPr>
        <w:t>Cómo usará este libro estos fundamentos</w:t>
      </w:r>
    </w:p>
    <w:p>
      <w:pPr>
        <w:spacing w:after="200" w:before="40"/>
      </w:pPr>
      <w:r>
        <w:rPr>
          <w:rFonts w:ascii="IBM Plex Sans" w:hAnsi="IBM Plex Sans" w:cs="IBM Plex Sans"/>
          <w:b/>
          <w:color w:val="1F3A5F"/>
          <w:sz w:val="17"/>
        </w:rPr>
        <w:t xml:space="preserve">TABLA 3.2   </w:t>
      </w:r>
      <w:r>
        <w:rPr>
          <w:rFonts w:ascii="IBM Plex Sans" w:hAnsi="IBM Plex Sans" w:cs="IBM Plex Sans"/>
          <w:color w:val="3A352F"/>
          <w:sz w:val="18"/>
        </w:rPr>
        <w:t xml:space="preserve">Mapa de fundamentos y función en el libro</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FUNDAMENTO</w:t>
            </w:r>
          </w:p>
        </w:tc>
        <w:tc>
          <w:tcPr>
            <w:tcW w:type="dxa" w:w="2772"/>
            <w:shd w:val="clear" w:color="auto" w:fill="EAE4D8"/>
          </w:tcPr>
          <w:p>
            <w:pPr>
              <w:spacing w:after="40"/>
            </w:pPr>
            <w:r>
              <w:rPr>
                <w:sz w:val="17"/>
              </w:rPr>
            </w:r>
            <w:r>
              <w:rPr>
                <w:rFonts w:ascii="IBM Plex Sans" w:hAnsi="IBM Plex Sans" w:cs="IBM Plex Sans"/>
                <w:b/>
                <w:i w:val="0"/>
                <w:color w:val="1F3A5F"/>
                <w:sz w:val="17"/>
              </w:rPr>
              <w:t>QUÉ EXPLICA</w:t>
            </w:r>
          </w:p>
        </w:tc>
        <w:tc>
          <w:tcPr>
            <w:tcW w:type="dxa" w:w="2772"/>
            <w:shd w:val="clear" w:color="auto" w:fill="EAE4D8"/>
          </w:tcPr>
          <w:p>
            <w:pPr>
              <w:spacing w:after="40"/>
            </w:pPr>
            <w:r>
              <w:rPr>
                <w:sz w:val="17"/>
              </w:rPr>
            </w:r>
            <w:r>
              <w:rPr>
                <w:rFonts w:ascii="IBM Plex Sans" w:hAnsi="IBM Plex Sans" w:cs="IBM Plex Sans"/>
                <w:b/>
                <w:i w:val="0"/>
                <w:color w:val="1F3A5F"/>
                <w:sz w:val="17"/>
              </w:rPr>
              <w:t>QUÉ APORTA A LA TEORÍA</w:t>
            </w:r>
          </w:p>
        </w:tc>
      </w:tr>
      <w:tr>
        <w:tc>
          <w:tcPr>
            <w:tcW w:type="dxa" w:w="2772"/>
          </w:tcPr>
          <w:p>
            <w:pPr>
              <w:spacing w:after="40"/>
            </w:pPr>
            <w:r>
              <w:rPr>
                <w:sz w:val="17"/>
              </w:rPr>
            </w:r>
            <w:r>
              <w:rPr>
                <w:rFonts w:ascii="IBM Plex Sans" w:hAnsi="IBM Plex Sans" w:cs="IBM Plex Sans"/>
                <w:b w:val="0"/>
                <w:i w:val="0"/>
                <w:color w:val="161412"/>
                <w:sz w:val="17"/>
              </w:rPr>
              <w:t>Gestalt</w:t>
            </w:r>
          </w:p>
        </w:tc>
        <w:tc>
          <w:tcPr>
            <w:tcW w:type="dxa" w:w="2772"/>
          </w:tcPr>
          <w:p>
            <w:pPr>
              <w:spacing w:after="40"/>
            </w:pPr>
            <w:r>
              <w:rPr>
                <w:sz w:val="17"/>
              </w:rPr>
            </w:r>
            <w:r>
              <w:rPr>
                <w:rFonts w:ascii="IBM Plex Sans" w:hAnsi="IBM Plex Sans" w:cs="IBM Plex Sans"/>
                <w:b w:val="0"/>
                <w:i w:val="0"/>
                <w:color w:val="161412"/>
                <w:sz w:val="17"/>
              </w:rPr>
              <w:t>Agrupación, figura/fondo</w:t>
            </w:r>
          </w:p>
        </w:tc>
        <w:tc>
          <w:tcPr>
            <w:tcW w:type="dxa" w:w="2772"/>
          </w:tcPr>
          <w:p>
            <w:pPr>
              <w:spacing w:after="40"/>
            </w:pPr>
            <w:r>
              <w:rPr>
                <w:sz w:val="17"/>
              </w:rPr>
            </w:r>
            <w:r>
              <w:rPr>
                <w:rFonts w:ascii="IBM Plex Sans" w:hAnsi="IBM Plex Sans" w:cs="IBM Plex Sans"/>
                <w:b w:val="0"/>
                <w:i w:val="0"/>
                <w:color w:val="161412"/>
                <w:sz w:val="17"/>
              </w:rPr>
              <w:t>Diferencia entre marco y mensaje</w:t>
            </w:r>
          </w:p>
        </w:tc>
      </w:tr>
      <w:tr>
        <w:tc>
          <w:tcPr>
            <w:tcW w:type="dxa" w:w="2772"/>
          </w:tcPr>
          <w:p>
            <w:pPr>
              <w:spacing w:after="40"/>
            </w:pPr>
            <w:r>
              <w:rPr>
                <w:sz w:val="17"/>
              </w:rPr>
            </w:r>
            <w:r>
              <w:rPr>
                <w:rFonts w:ascii="IBM Plex Sans" w:hAnsi="IBM Plex Sans" w:cs="IBM Plex Sans"/>
                <w:b w:val="0"/>
                <w:i w:val="0"/>
                <w:color w:val="161412"/>
                <w:sz w:val="17"/>
              </w:rPr>
              <w:t>Affordances</w:t>
            </w:r>
          </w:p>
        </w:tc>
        <w:tc>
          <w:tcPr>
            <w:tcW w:type="dxa" w:w="2772"/>
          </w:tcPr>
          <w:p>
            <w:pPr>
              <w:spacing w:after="40"/>
            </w:pPr>
            <w:r>
              <w:rPr>
                <w:sz w:val="17"/>
              </w:rPr>
            </w:r>
            <w:r>
              <w:rPr>
                <w:rFonts w:ascii="IBM Plex Sans" w:hAnsi="IBM Plex Sans" w:cs="IBM Plex Sans"/>
                <w:b w:val="0"/>
                <w:i w:val="0"/>
                <w:color w:val="161412"/>
                <w:sz w:val="17"/>
              </w:rPr>
              <w:t>Percepción de acción posible</w:t>
            </w:r>
          </w:p>
        </w:tc>
        <w:tc>
          <w:tcPr>
            <w:tcW w:type="dxa" w:w="2772"/>
          </w:tcPr>
          <w:p>
            <w:pPr>
              <w:spacing w:after="40"/>
            </w:pPr>
            <w:r>
              <w:rPr>
                <w:sz w:val="17"/>
              </w:rPr>
            </w:r>
            <w:r>
              <w:rPr>
                <w:rFonts w:ascii="IBM Plex Sans" w:hAnsi="IBM Plex Sans" w:cs="IBM Plex Sans"/>
                <w:b w:val="0"/>
                <w:i w:val="0"/>
                <w:color w:val="161412"/>
                <w:sz w:val="17"/>
              </w:rPr>
              <w:t>Contexto operativo, contacto, manipulación</w:t>
            </w:r>
          </w:p>
        </w:tc>
      </w:tr>
      <w:tr>
        <w:tc>
          <w:tcPr>
            <w:tcW w:type="dxa" w:w="2772"/>
          </w:tcPr>
          <w:p>
            <w:pPr>
              <w:spacing w:after="40"/>
            </w:pPr>
            <w:r>
              <w:rPr>
                <w:sz w:val="17"/>
              </w:rPr>
            </w:r>
            <w:r>
              <w:rPr>
                <w:rFonts w:ascii="IBM Plex Sans" w:hAnsi="IBM Plex Sans" w:cs="IBM Plex Sans"/>
                <w:b w:val="0"/>
                <w:i w:val="0"/>
                <w:color w:val="161412"/>
                <w:sz w:val="17"/>
              </w:rPr>
              <w:t>Atención</w:t>
            </w:r>
          </w:p>
        </w:tc>
        <w:tc>
          <w:tcPr>
            <w:tcW w:type="dxa" w:w="2772"/>
          </w:tcPr>
          <w:p>
            <w:pPr>
              <w:spacing w:after="40"/>
            </w:pPr>
            <w:r>
              <w:rPr>
                <w:sz w:val="17"/>
              </w:rPr>
            </w:r>
            <w:r>
              <w:rPr>
                <w:rFonts w:ascii="IBM Plex Sans" w:hAnsi="IBM Plex Sans" w:cs="IBM Plex Sans"/>
                <w:b w:val="0"/>
                <w:i w:val="0"/>
                <w:color w:val="161412"/>
                <w:sz w:val="17"/>
              </w:rPr>
              <w:t>Saliencia, orientación, carga</w:t>
            </w:r>
          </w:p>
        </w:tc>
        <w:tc>
          <w:tcPr>
            <w:tcW w:type="dxa" w:w="2772"/>
          </w:tcPr>
          <w:p>
            <w:pPr>
              <w:spacing w:after="40"/>
            </w:pPr>
            <w:r>
              <w:rPr>
                <w:sz w:val="17"/>
              </w:rPr>
            </w:r>
            <w:r>
              <w:rPr>
                <w:rFonts w:ascii="IBM Plex Sans" w:hAnsi="IBM Plex Sans" w:cs="IBM Plex Sans"/>
                <w:b w:val="0"/>
                <w:i w:val="0"/>
                <w:color w:val="161412"/>
                <w:sz w:val="17"/>
              </w:rPr>
              <w:t>Signal, proporción, interrupción</w:t>
            </w:r>
          </w:p>
        </w:tc>
      </w:tr>
      <w:tr>
        <w:tc>
          <w:tcPr>
            <w:tcW w:type="dxa" w:w="2772"/>
          </w:tcPr>
          <w:p>
            <w:pPr>
              <w:spacing w:after="40"/>
            </w:pPr>
            <w:r>
              <w:rPr>
                <w:sz w:val="17"/>
              </w:rPr>
            </w:r>
            <w:r>
              <w:rPr>
                <w:rFonts w:ascii="IBM Plex Sans" w:hAnsi="IBM Plex Sans" w:cs="IBM Plex Sans"/>
                <w:b w:val="0"/>
                <w:i w:val="0"/>
                <w:color w:val="161412"/>
                <w:sz w:val="17"/>
              </w:rPr>
              <w:t>Valoración del evento</w:t>
            </w:r>
          </w:p>
        </w:tc>
        <w:tc>
          <w:tcPr>
            <w:tcW w:type="dxa" w:w="2772"/>
          </w:tcPr>
          <w:p>
            <w:pPr>
              <w:spacing w:after="40"/>
            </w:pPr>
            <w:r>
              <w:rPr>
                <w:sz w:val="17"/>
              </w:rPr>
            </w:r>
            <w:r>
              <w:rPr>
                <w:rFonts w:ascii="IBM Plex Sans" w:hAnsi="IBM Plex Sans" w:cs="IBM Plex Sans"/>
                <w:b w:val="0"/>
                <w:i w:val="0"/>
                <w:color w:val="161412"/>
                <w:sz w:val="17"/>
              </w:rPr>
              <w:t>Evaluación respecto a metas</w:t>
            </w:r>
          </w:p>
        </w:tc>
        <w:tc>
          <w:tcPr>
            <w:tcW w:type="dxa" w:w="2772"/>
          </w:tcPr>
          <w:p>
            <w:pPr>
              <w:spacing w:after="40"/>
            </w:pPr>
            <w:r>
              <w:rPr>
                <w:sz w:val="17"/>
              </w:rPr>
            </w:r>
            <w:r>
              <w:rPr>
                <w:rFonts w:ascii="IBM Plex Sans" w:hAnsi="IBM Plex Sans" w:cs="IBM Plex Sans"/>
                <w:b w:val="0"/>
                <w:i w:val="0"/>
                <w:color w:val="161412"/>
                <w:sz w:val="17"/>
              </w:rPr>
              <w:t>Semánticas valenciales/transicionales</w:t>
            </w:r>
          </w:p>
        </w:tc>
      </w:tr>
      <w:tr>
        <w:tc>
          <w:tcPr>
            <w:tcW w:type="dxa" w:w="2772"/>
          </w:tcPr>
          <w:p>
            <w:pPr>
              <w:spacing w:after="40"/>
            </w:pPr>
            <w:r>
              <w:rPr>
                <w:sz w:val="17"/>
              </w:rPr>
            </w:r>
            <w:r>
              <w:rPr>
                <w:rFonts w:ascii="IBM Plex Sans" w:hAnsi="IBM Plex Sans" w:cs="IBM Plex Sans"/>
                <w:b w:val="0"/>
                <w:i w:val="0"/>
                <w:color w:val="161412"/>
                <w:sz w:val="17"/>
              </w:rPr>
              <w:t>Valencia/activación</w:t>
            </w:r>
          </w:p>
        </w:tc>
        <w:tc>
          <w:tcPr>
            <w:tcW w:type="dxa" w:w="2772"/>
          </w:tcPr>
          <w:p>
            <w:pPr>
              <w:spacing w:after="40"/>
            </w:pPr>
            <w:r>
              <w:rPr>
                <w:sz w:val="17"/>
              </w:rPr>
            </w:r>
            <w:r>
              <w:rPr>
                <w:rFonts w:ascii="IBM Plex Sans" w:hAnsi="IBM Plex Sans" w:cs="IBM Plex Sans"/>
                <w:b w:val="0"/>
                <w:i w:val="0"/>
                <w:color w:val="161412"/>
                <w:sz w:val="17"/>
              </w:rPr>
              <w:t>Estructura afectiva básica</w:t>
            </w:r>
          </w:p>
        </w:tc>
        <w:tc>
          <w:tcPr>
            <w:tcW w:type="dxa" w:w="2772"/>
          </w:tcPr>
          <w:p>
            <w:pPr>
              <w:spacing w:after="40"/>
            </w:pPr>
            <w:r>
              <w:rPr>
                <w:sz w:val="17"/>
              </w:rPr>
            </w:r>
            <w:r>
              <w:rPr>
                <w:rFonts w:ascii="IBM Plex Sans" w:hAnsi="IBM Plex Sans" w:cs="IBM Plex Sans"/>
                <w:b w:val="0"/>
                <w:i w:val="0"/>
                <w:color w:val="161412"/>
                <w:sz w:val="17"/>
              </w:rPr>
              <w:t>Sistema de intents</w:t>
            </w:r>
          </w:p>
        </w:tc>
      </w:tr>
      <w:tr>
        <w:tc>
          <w:tcPr>
            <w:tcW w:type="dxa" w:w="2772"/>
          </w:tcPr>
          <w:p>
            <w:pPr>
              <w:spacing w:after="40"/>
            </w:pPr>
            <w:r>
              <w:rPr>
                <w:sz w:val="17"/>
              </w:rPr>
            </w:r>
            <w:r>
              <w:rPr>
                <w:rFonts w:ascii="IBM Plex Sans" w:hAnsi="IBM Plex Sans" w:cs="IBM Plex Sans"/>
                <w:b w:val="0"/>
                <w:i w:val="0"/>
                <w:color w:val="161412"/>
                <w:sz w:val="17"/>
              </w:rPr>
              <w:t>Motion</w:t>
            </w:r>
          </w:p>
        </w:tc>
        <w:tc>
          <w:tcPr>
            <w:tcW w:type="dxa" w:w="2772"/>
          </w:tcPr>
          <w:p>
            <w:pPr>
              <w:spacing w:after="40"/>
            </w:pPr>
            <w:r>
              <w:rPr>
                <w:sz w:val="17"/>
              </w:rPr>
            </w:r>
            <w:r>
              <w:rPr>
                <w:rFonts w:ascii="IBM Plex Sans" w:hAnsi="IBM Plex Sans" w:cs="IBM Plex Sans"/>
                <w:b w:val="0"/>
                <w:i w:val="0"/>
                <w:color w:val="161412"/>
                <w:sz w:val="17"/>
              </w:rPr>
              <w:t>Causalidad, continuidad, energía</w:t>
            </w:r>
          </w:p>
        </w:tc>
        <w:tc>
          <w:tcPr>
            <w:tcW w:type="dxa" w:w="2772"/>
          </w:tcPr>
          <w:p>
            <w:pPr>
              <w:spacing w:after="40"/>
            </w:pPr>
            <w:r>
              <w:rPr>
                <w:sz w:val="17"/>
              </w:rPr>
            </w:r>
            <w:r>
              <w:rPr>
                <w:rFonts w:ascii="IBM Plex Sans" w:hAnsi="IBM Plex Sans" w:cs="IBM Plex Sans"/>
                <w:b w:val="0"/>
                <w:i w:val="0"/>
                <w:color w:val="161412"/>
                <w:sz w:val="17"/>
              </w:rPr>
              <w:t>Temporalidad y física del evento</w:t>
            </w:r>
          </w:p>
        </w:tc>
      </w:tr>
      <w:tr>
        <w:tc>
          <w:tcPr>
            <w:tcW w:type="dxa" w:w="2772"/>
          </w:tcPr>
          <w:p>
            <w:pPr>
              <w:spacing w:after="40"/>
            </w:pPr>
            <w:r>
              <w:rPr>
                <w:sz w:val="17"/>
              </w:rPr>
            </w:r>
            <w:r>
              <w:rPr>
                <w:rFonts w:ascii="IBM Plex Sans" w:hAnsi="IBM Plex Sans" w:cs="IBM Plex Sans"/>
                <w:b w:val="0"/>
                <w:i w:val="0"/>
                <w:color w:val="161412"/>
                <w:sz w:val="17"/>
              </w:rPr>
              <w:t>Sonido</w:t>
            </w:r>
          </w:p>
        </w:tc>
        <w:tc>
          <w:tcPr>
            <w:tcW w:type="dxa" w:w="2772"/>
          </w:tcPr>
          <w:p>
            <w:pPr>
              <w:spacing w:after="40"/>
            </w:pPr>
            <w:r>
              <w:rPr>
                <w:sz w:val="17"/>
              </w:rPr>
            </w:r>
            <w:r>
              <w:rPr>
                <w:rFonts w:ascii="IBM Plex Sans" w:hAnsi="IBM Plex Sans" w:cs="IBM Plex Sans"/>
                <w:b w:val="0"/>
                <w:i w:val="0"/>
                <w:color w:val="161412"/>
                <w:sz w:val="17"/>
              </w:rPr>
              <w:t>Urgencia, valencia, cierre</w:t>
            </w:r>
          </w:p>
        </w:tc>
        <w:tc>
          <w:tcPr>
            <w:tcW w:type="dxa" w:w="2772"/>
          </w:tcPr>
          <w:p>
            <w:pPr>
              <w:spacing w:after="40"/>
            </w:pPr>
            <w:r>
              <w:rPr>
                <w:sz w:val="17"/>
              </w:rPr>
            </w:r>
            <w:r>
              <w:rPr>
                <w:rFonts w:ascii="IBM Plex Sans" w:hAnsi="IBM Plex Sans" w:cs="IBM Plex Sans"/>
                <w:b w:val="0"/>
                <w:i w:val="0"/>
                <w:color w:val="161412"/>
                <w:sz w:val="17"/>
              </w:rPr>
              <w:t>Microeventos auditivos</w:t>
            </w:r>
          </w:p>
        </w:tc>
      </w:tr>
      <w:tr>
        <w:tc>
          <w:tcPr>
            <w:tcW w:type="dxa" w:w="2772"/>
          </w:tcPr>
          <w:p>
            <w:pPr>
              <w:spacing w:after="40"/>
            </w:pPr>
            <w:r>
              <w:rPr>
                <w:sz w:val="17"/>
              </w:rPr>
            </w:r>
            <w:r>
              <w:rPr>
                <w:rFonts w:ascii="IBM Plex Sans" w:hAnsi="IBM Plex Sans" w:cs="IBM Plex Sans"/>
                <w:b w:val="0"/>
                <w:i w:val="0"/>
                <w:color w:val="161412"/>
                <w:sz w:val="17"/>
              </w:rPr>
              <w:t>Multisensorialidad</w:t>
            </w:r>
          </w:p>
        </w:tc>
        <w:tc>
          <w:tcPr>
            <w:tcW w:type="dxa" w:w="2772"/>
          </w:tcPr>
          <w:p>
            <w:pPr>
              <w:spacing w:after="40"/>
            </w:pPr>
            <w:r>
              <w:rPr>
                <w:sz w:val="17"/>
              </w:rPr>
            </w:r>
            <w:r>
              <w:rPr>
                <w:rFonts w:ascii="IBM Plex Sans" w:hAnsi="IBM Plex Sans" w:cs="IBM Plex Sans"/>
                <w:b w:val="0"/>
                <w:i w:val="0"/>
                <w:color w:val="161412"/>
                <w:sz w:val="17"/>
              </w:rPr>
              <w:t>Integración temporal de señales</w:t>
            </w:r>
          </w:p>
        </w:tc>
        <w:tc>
          <w:tcPr>
            <w:tcW w:type="dxa" w:w="2772"/>
          </w:tcPr>
          <w:p>
            <w:pPr>
              <w:spacing w:after="40"/>
            </w:pPr>
            <w:r>
              <w:rPr>
                <w:sz w:val="17"/>
              </w:rPr>
            </w:r>
            <w:r>
              <w:rPr>
                <w:rFonts w:ascii="IBM Plex Sans" w:hAnsi="IBM Plex Sans" w:cs="IBM Plex Sans"/>
                <w:b w:val="0"/>
                <w:i w:val="0"/>
                <w:color w:val="161412"/>
                <w:sz w:val="17"/>
              </w:rPr>
              <w:t>Evento multicanal unificado</w:t>
            </w:r>
          </w:p>
        </w:tc>
      </w:tr>
      <w:tr>
        <w:tc>
          <w:tcPr>
            <w:tcW w:type="dxa" w:w="2772"/>
          </w:tcPr>
          <w:p>
            <w:pPr>
              <w:spacing w:after="40"/>
            </w:pPr>
            <w:r>
              <w:rPr>
                <w:sz w:val="17"/>
              </w:rPr>
            </w:r>
            <w:r>
              <w:rPr>
                <w:rFonts w:ascii="IBM Plex Sans" w:hAnsi="IBM Plex Sans" w:cs="IBM Plex Sans"/>
                <w:b w:val="0"/>
                <w:i w:val="0"/>
                <w:color w:val="161412"/>
                <w:sz w:val="17"/>
              </w:rPr>
              <w:t>Esquemas corporales</w:t>
            </w:r>
          </w:p>
        </w:tc>
        <w:tc>
          <w:tcPr>
            <w:tcW w:type="dxa" w:w="2772"/>
          </w:tcPr>
          <w:p>
            <w:pPr>
              <w:spacing w:after="40"/>
            </w:pPr>
            <w:r>
              <w:rPr>
                <w:sz w:val="17"/>
              </w:rPr>
            </w:r>
            <w:r>
              <w:rPr>
                <w:rFonts w:ascii="IBM Plex Sans" w:hAnsi="IBM Plex Sans" w:cs="IBM Plex Sans"/>
                <w:b w:val="0"/>
                <w:i w:val="0"/>
                <w:color w:val="161412"/>
                <w:sz w:val="17"/>
              </w:rPr>
              <w:t>Contacto, camino, contenedor, pérdida</w:t>
            </w:r>
          </w:p>
        </w:tc>
        <w:tc>
          <w:tcPr>
            <w:tcW w:type="dxa" w:w="2772"/>
          </w:tcPr>
          <w:p>
            <w:pPr>
              <w:spacing w:after="40"/>
            </w:pPr>
            <w:r>
              <w:rPr>
                <w:sz w:val="17"/>
              </w:rPr>
            </w:r>
            <w:r>
              <w:rPr>
                <w:rFonts w:ascii="IBM Plex Sans" w:hAnsi="IBM Plex Sans" w:cs="IBM Plex Sans"/>
                <w:b w:val="0"/>
                <w:i w:val="0"/>
                <w:color w:val="161412"/>
                <w:sz w:val="17"/>
              </w:rPr>
              <w:t>Familias semánticas</w:t>
            </w:r>
          </w:p>
        </w:tc>
      </w:tr>
      <w:tr>
        <w:tc>
          <w:tcPr>
            <w:tcW w:type="dxa" w:w="2772"/>
          </w:tcPr>
          <w:p>
            <w:pPr>
              <w:spacing w:after="40"/>
            </w:pPr>
            <w:r>
              <w:rPr>
                <w:sz w:val="17"/>
              </w:rPr>
            </w:r>
            <w:r>
              <w:rPr>
                <w:rFonts w:ascii="IBM Plex Sans" w:hAnsi="IBM Plex Sans" w:cs="IBM Plex Sans"/>
                <w:b w:val="0"/>
                <w:i w:val="0"/>
                <w:color w:val="161412"/>
                <w:sz w:val="17"/>
              </w:rPr>
              <w:t>Accesibilidad</w:t>
            </w:r>
          </w:p>
        </w:tc>
        <w:tc>
          <w:tcPr>
            <w:tcW w:type="dxa" w:w="2772"/>
          </w:tcPr>
          <w:p>
            <w:pPr>
              <w:spacing w:after="40"/>
            </w:pPr>
            <w:r>
              <w:rPr>
                <w:sz w:val="17"/>
              </w:rPr>
            </w:r>
            <w:r>
              <w:rPr>
                <w:rFonts w:ascii="IBM Plex Sans" w:hAnsi="IBM Plex Sans" w:cs="IBM Plex Sans"/>
                <w:b w:val="0"/>
                <w:i w:val="0"/>
                <w:color w:val="161412"/>
                <w:sz w:val="17"/>
              </w:rPr>
              <w:t>Reducción o sustitución de canales</w:t>
            </w:r>
          </w:p>
        </w:tc>
        <w:tc>
          <w:tcPr>
            <w:tcW w:type="dxa" w:w="2772"/>
          </w:tcPr>
          <w:p>
            <w:pPr>
              <w:spacing w:after="40"/>
            </w:pPr>
            <w:r>
              <w:rPr>
                <w:sz w:val="17"/>
              </w:rPr>
            </w:r>
            <w:r>
              <w:rPr>
                <w:rFonts w:ascii="IBM Plex Sans" w:hAnsi="IBM Plex Sans" w:cs="IBM Plex Sans"/>
                <w:b w:val="0"/>
                <w:i w:val="0"/>
                <w:color w:val="161412"/>
                <w:sz w:val="17"/>
              </w:rPr>
              <w:t>Migración semántica</w:t>
            </w:r>
          </w:p>
        </w:tc>
      </w:tr>
    </w:tbl>
    <w:p>
      <w:pPr>
        <w:spacing w:before="320" w:after="40"/>
      </w:pPr>
      <w:r>
        <w:rPr>
          <w:rFonts w:ascii="IBM Plex Sans" w:hAnsi="IBM Plex Sans" w:cs="IBM Plex Sans"/>
          <w:b/>
          <w:color w:val="1F3A5F"/>
          <w:sz w:val="18"/>
        </w:rPr>
        <w:t>§ 12</w:t>
      </w:r>
    </w:p>
    <w:p>
      <w:pPr>
        <w:spacing w:after="160" w:line="240" w:lineRule="auto"/>
      </w:pPr>
      <w:r>
        <w:rPr>
          <w:rFonts w:ascii="Newsreader" w:hAnsi="Newsreader" w:cs="Newsreader"/>
          <w:color w:val="161412"/>
          <w:sz w:val="38"/>
        </w:rPr>
        <w:t>El espacio evaluativo: valencia y activación</w:t>
      </w:r>
    </w:p>
    <w:p>
      <w:pPr>
        <w:spacing w:after="120" w:line="320" w:lineRule="auto"/>
        <w:jc w:val="both"/>
      </w:pPr>
      <w:r>
        <w:rPr>
          <w:rFonts w:ascii="Newsreader" w:hAnsi="Newsreader" w:cs="Newsreader"/>
          <w:b w:val="0"/>
          <w:i w:val="0"/>
          <w:color w:val="161412"/>
        </w:rPr>
        <w:t>Hasta ahora hemos descrito cómo el usuario percibe, atiende y actúa. Falta una dimensión esencial: cómo evalúa lo que ocurre.</w:t>
      </w:r>
    </w:p>
    <w:p>
      <w:pPr>
        <w:spacing w:after="120" w:line="320" w:lineRule="auto"/>
        <w:jc w:val="both"/>
      </w:pPr>
      <w:r>
        <w:rPr>
          <w:rFonts w:ascii="Newsreader" w:hAnsi="Newsreader" w:cs="Newsreader"/>
          <w:b w:val="0"/>
          <w:i w:val="0"/>
          <w:color w:val="161412"/>
        </w:rPr>
        <w:t>Cuando un evento sucede, el usuario no solo lo reconoce. También lo interpreta: ¿esto es bueno o malo para mí? ¿requiere acción inmediata? ¿puedo ignorarlo? ¿ya ocurrió o aún puedo evitarlo? ¿se resolvió algo que estaba pendiente?</w:t>
      </w:r>
    </w:p>
    <w:p>
      <w:pPr>
        <w:spacing w:after="120" w:line="320" w:lineRule="auto"/>
        <w:jc w:val="both"/>
      </w:pPr>
      <w:r>
        <w:rPr>
          <w:rFonts w:ascii="Newsreader" w:hAnsi="Newsreader" w:cs="Newsreader"/>
          <w:b w:val="0"/>
          <w:i w:val="0"/>
          <w:color w:val="161412"/>
        </w:rPr>
        <w:t>Una forma útil de organizar estas evaluaciones es el espacio propuesto por James A. Russell, que describe los estados afectivos mediante dos dimensiones: valencia (positivo / negativo) y activación (baja / alta).</w:t>
      </w:r>
    </w:p>
    <w:p>
      <w:pPr>
        <w:spacing w:after="120" w:line="320" w:lineRule="auto"/>
        <w:jc w:val="both"/>
      </w:pPr>
      <w:r>
        <w:rPr>
          <w:rFonts w:ascii="Newsreader" w:hAnsi="Newsreader" w:cs="Newsreader"/>
          <w:b w:val="0"/>
          <w:i w:val="0"/>
          <w:color w:val="161412"/>
        </w:rPr>
        <w:t>Este modelo no pretende capturar toda la complejidad emocional. Pero resulta suficiente para distinguir diferencias que una interfaz necesita comunicar de forma consistente.</w:t>
      </w:r>
    </w:p>
    <w:p>
      <w:pPr>
        <w:spacing w:after="120" w:line="320" w:lineRule="auto"/>
        <w:jc w:val="both"/>
      </w:pPr>
      <w:r>
        <w:rPr>
          <w:rFonts w:ascii="Newsreader" w:hAnsi="Newsreader" w:cs="Newsreader"/>
          <w:b w:val="0"/>
          <w:i w:val="0"/>
          <w:color w:val="161412"/>
        </w:rPr>
        <w:t>Por ejemplo: no es lo mismo algo negativo urgente que algo negativo ya ocurrido; no es lo mismo una confirmación leve que una culminación; no es lo mismo informar que advertir; no es lo mismo pedir atención que registrar una pérdida.</w:t>
      </w:r>
    </w:p>
    <w:p>
      <w:pPr>
        <w:spacing w:after="120" w:line="320" w:lineRule="auto"/>
        <w:jc w:val="both"/>
      </w:pPr>
      <w:r>
        <w:rPr>
          <w:rFonts w:ascii="Newsreader" w:hAnsi="Newsreader" w:cs="Newsreader"/>
          <w:b w:val="0"/>
          <w:i w:val="0"/>
          <w:color w:val="161412"/>
        </w:rPr>
        <w:t>Estas diferencias no son estilísticas. Son operativas.</w:t>
      </w:r>
    </w:p>
    <w:p>
      <w:pPr>
        <w:spacing w:after="120" w:line="320" w:lineRule="auto"/>
        <w:jc w:val="both"/>
      </w:pPr>
      <w:r>
        <w:rPr>
          <w:rFonts w:ascii="Newsreader" w:hAnsi="Newsreader" w:cs="Newsreader"/>
          <w:b w:val="0"/>
          <w:i w:val="0"/>
          <w:color w:val="161412"/>
        </w:rPr>
        <w:t>Este libro utilizará ese espacio como base para definir los intents, no como una teoría psicológica completa, sino como una estructura mínima para organizar la evaluación del evento.</w:t>
      </w:r>
    </w:p>
    <w:p>
      <w:pPr>
        <w:spacing w:before="240" w:after="100"/>
      </w:pPr>
      <w:r>
        <w:rPr>
          <w:rFonts w:ascii="Newsreader" w:hAnsi="Newsreader" w:cs="Newsreader"/>
          <w:i/>
          <w:color w:val="1F3A5F"/>
          <w:sz w:val="28"/>
        </w:rPr>
        <w:t>Síntesis</w:t>
      </w:r>
    </w:p>
    <w:p>
      <w:pPr>
        <w:spacing w:after="120" w:line="320" w:lineRule="auto"/>
        <w:jc w:val="both"/>
      </w:pPr>
      <w:r>
        <w:rPr>
          <w:rFonts w:ascii="Newsreader" w:hAnsi="Newsreader" w:cs="Newsreader"/>
          <w:b w:val="0"/>
          <w:i w:val="0"/>
          <w:color w:val="161412"/>
        </w:rPr>
        <w:t>La interfaz se percibe como campo organizado: por eso necesitamos Gestalt y figura/fondo. Se usa como campo de acción: por eso necesitamos affordances. Compite por atención limitada: por eso necesitamos saliencia y carga cognitiva. Comunica resultados, riesgos y pérdidas: por eso necesitamos valoración del evento. Modula tono afectivo: por eso necesitamos valencia y activación. Cambia en el tiempo: por eso necesitamos motion. Puede sonar, vibrar, moverse y cambiar de presencia a la vez: por eso necesitamos multisensorialidad. Se apoya en experiencia corporal: por eso necesitamos esquemas. Y debe seguir siendo legible cuando un canal falta: por eso la accesibilidad es constitutiva, no añadida.</w:t>
      </w:r>
    </w:p>
    <w:p>
      <w:pPr>
        <w:spacing w:after="120" w:line="320" w:lineRule="auto"/>
        <w:jc w:val="both"/>
      </w:pPr>
      <w:r>
        <w:rPr>
          <w:rFonts w:ascii="Newsreader" w:hAnsi="Newsreader" w:cs="Newsreader"/>
          <w:b w:val="0"/>
          <w:i w:val="0"/>
          <w:color w:val="161412"/>
        </w:rPr>
        <w:t>Estos fundamentos no pretenden probar una taxonomía definitiva ni dictar cada valor concreto de duración, frecuencia o intensidad. La ciencia no sustituye al diseño. Lo disciplina. Le impide confundir color con intent, motion con decoración, sonido con accesorio y evento técnico con significado experiencial.</w:t>
      </w:r>
    </w:p>
    <w:p>
      <w:pPr>
        <w:spacing w:after="120" w:line="320" w:lineRule="auto"/>
        <w:jc w:val="both"/>
      </w:pPr>
      <w:r>
        <w:rPr>
          <w:rFonts w:ascii="Newsreader" w:hAnsi="Newsreader" w:cs="Newsreader"/>
          <w:b w:val="0"/>
          <w:i w:val="0"/>
          <w:color w:val="161412"/>
        </w:rPr>
        <w:t>Una gramática semántica de la interfaz debe apoyarse en cómo los seres humanos perciben cambios, actúan sobre posibilidades, atienden señales, evalúan consecuencias e integran canales.</w:t>
      </w:r>
    </w:p>
    <w:p>
      <w:pPr>
        <w:spacing w:after="120" w:line="320" w:lineRule="auto"/>
        <w:jc w:val="both"/>
      </w:pPr>
      <w:r>
        <w:rPr>
          <w:rFonts w:ascii="Newsreader" w:hAnsi="Newsreader" w:cs="Newsreader"/>
          <w:b w:val="0"/>
          <w:i w:val="0"/>
          <w:color w:val="161412"/>
        </w:rPr>
        <w:t>El siguiente capítulo podrá volver ahora al concepto central del libro: el evento como unidad básica de cambio. Ya no partiremos solo de una intuición práctica. Tendremos un mapa de fundamentos que explica por qué el evento, y no solo el componente, puede convertirse en la unidad central de una gramática perceptiva de la interfaz.</w:t>
      </w:r>
    </w:p>
    <w:p>
      <w:pPr>
        <w:spacing w:after="120" w:line="320" w:lineRule="auto"/>
        <w:jc w:val="both"/>
      </w:pPr>
      <w:r>
        <w:rPr>
          <w:rFonts w:ascii="Newsreader" w:hAnsi="Newsreader" w:cs="Newsreader"/>
          <w:b w:val="0"/>
          <w:i w:val="0"/>
          <w:color w:val="161412"/>
        </w:rPr>
        <w:t>Estos fundamentos no dictan una taxonomía cerrada. No prueban que solo existan ocho familias ni seis intents. Lo que hacen es otra cosa: ofrecen criterios para que las categorías del libro no parezcan arbitrarias.</w:t>
      </w:r>
    </w:p>
    <w:p>
      <w:pPr>
        <w:spacing w:after="120" w:line="320" w:lineRule="auto"/>
        <w:jc w:val="both"/>
      </w:pPr>
      <w:r>
        <w:rPr>
          <w:rFonts w:ascii="Newsreader" w:hAnsi="Newsreader" w:cs="Newsreader"/>
          <w:b w:val="0"/>
          <w:i w:val="0"/>
          <w:color w:val="161412"/>
        </w:rPr>
        <w:t>A partir de aquí, cuando hablemos de evento, gramática, interacción semántica, familias, intent y canales, no estaremos hablando de nombres inventados desde el diseño. Estaremos nombrando formas recurrentes de percibir, actuar, atender, evaluar e integrar cambios.</w:t>
      </w:r>
    </w:p>
    <w:p>
      <w:pPr>
        <w:spacing w:before="160" w:after="40"/>
        <w:pBdr>
          <w:left w:val="single" w:sz="18" w:space="12" w:color="1F3A5F"/>
        </w:pBdr>
      </w:pPr>
      <w:r>
        <w:rPr>
          <w:rFonts w:ascii="IBM Plex Sans" w:hAnsi="IBM Plex Sans" w:cs="IBM Plex Sans"/>
          <w:b/>
          <w:color w:val="1F3A5F"/>
          <w:sz w:val="16"/>
        </w:rPr>
        <w:t>DISTINCIÓN</w:t>
      </w:r>
    </w:p>
    <w:p>
      <w:pPr>
        <w:spacing w:after="120" w:line="312" w:lineRule="auto"/>
        <w:pBdr>
          <w:left w:val="single" w:sz="18" w:space="12" w:color="1F3A5F"/>
        </w:pBdr>
      </w:pPr>
      <w:r>
        <w:rPr>
          <w:rFonts w:ascii="Newsreader" w:hAnsi="Newsreader" w:cs="Newsreader"/>
          <w:b w:val="0"/>
          <w:i/>
          <w:color w:val="3A352F"/>
        </w:rPr>
        <w:t>Este libro no inventa categorías perceptivas. Les da nombre dentro de la interfaz.</w:t>
      </w:r>
    </w:p>
    <w:p>
      <w:pPr>
        <w:spacing w:after="80"/>
      </w:pPr>
    </w:p>
    <w:p>
      <w:pPr>
        <w:spacing w:after="80"/>
      </w:pPr>
    </w:p>
    <w:p>
      <w:r>
        <w:br w:type="page"/>
      </w:r>
    </w:p>
    <w:p>
      <w:pPr>
        <w:spacing w:after="40"/>
      </w:pPr>
      <w:r>
        <w:rPr>
          <w:rFonts w:ascii="IBM Plex Sans" w:hAnsi="IBM Plex Sans" w:cs="IBM Plex Sans"/>
          <w:b/>
          <w:color w:val="1F3A5F"/>
          <w:sz w:val="18"/>
        </w:rPr>
        <w:t>CAPÍTULO 4</w:t>
      </w:r>
    </w:p>
    <w:p>
      <w:pPr>
        <w:spacing w:after="80" w:line="240" w:lineRule="auto"/>
      </w:pPr>
      <w:r>
        <w:rPr>
          <w:rFonts w:ascii="IBM Plex Sans" w:hAnsi="IBM Plex Sans" w:cs="IBM Plex Sans"/>
          <w:color w:val="161412"/>
          <w:sz w:val="220"/>
        </w:rPr>
        <w:t>04</w:t>
      </w:r>
    </w:p>
    <w:p>
      <w:pPr>
        <w:spacing w:after="60" w:line="240" w:lineRule="auto"/>
      </w:pPr>
      <w:r>
        <w:rPr>
          <w:rFonts w:ascii="Newsreader" w:hAnsi="Newsreader" w:cs="Newsreader"/>
          <w:color w:val="161412"/>
          <w:sz w:val="60"/>
        </w:rPr>
        <w:t>El evento como unidad básica de cambio</w:t>
      </w:r>
    </w:p>
    <w:p>
      <w:pPr>
        <w:spacing w:after="280"/>
      </w:pPr>
      <w:r>
        <w:rPr>
          <w:rFonts w:ascii="IBM Plex Sans" w:hAnsi="IBM Plex Sans" w:cs="IBM Plex Sans"/>
          <w:color w:val="6A635A"/>
          <w:sz w:val="26"/>
        </w:rPr>
        <w:t>Qué cuenta como cambio significativo en una interfaz</w:t>
      </w:r>
    </w:p>
    <w:p>
      <w:pPr>
        <w:pBdr>
          <w:bottom w:val="single" w:sz="4" w:space="4" w:color="1F3A5F"/>
        </w:pBdr>
      </w:pP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¿Qué cuenta como evento en una interfaz, y qué lo distingue de un simple cambio de estado?</w:t>
      </w:r>
    </w:p>
    <w:p>
      <w:pPr>
        <w:spacing w:after="120" w:line="320" w:lineRule="auto"/>
        <w:jc w:val="both"/>
      </w:pPr>
      <w:r>
        <w:rPr>
          <w:rFonts w:ascii="Newsreader" w:hAnsi="Newsreader" w:cs="Newsreader"/>
          <w:b w:val="0"/>
          <w:i w:val="0"/>
          <w:color w:val="161412"/>
        </w:rPr>
        <w:t>Pulsas una tecla y aparece una letra. ¿Eso es un evento? El cursor parpadea cada segundo: ¿y eso? El reloj de la esquina avanza un minuto, una notificación se desliza, un botón cambia de tono al pasar el ratón. Algunas de esas cosas importan a lo que el usuario está haciendo; otras son ruido de fondo. Distinguir cuáles cuentan como cambio es el problema de este capítulo.</w:t>
      </w:r>
    </w:p>
    <w:p>
      <w:pPr>
        <w:spacing w:after="120" w:line="320" w:lineRule="auto"/>
        <w:jc w:val="both"/>
      </w:pPr>
      <w:r>
        <w:rPr>
          <w:rFonts w:ascii="Newsreader" w:hAnsi="Newsreader" w:cs="Newsreader"/>
          <w:b w:val="0"/>
          <w:i w:val="0"/>
          <w:color w:val="161412"/>
        </w:rPr>
        <w:t>La definición de evento se apoya en los fundamentos anteriores. Desde la organización perceptiva, un evento modifica el campo: algo aparece, cambia de figura, se subordina. Desde las affordances, un evento modifica lo que el usuario puede hacer. Desde la atención, un evento puede orientar, reclamar o liberar foco. Desde la valoración del evento, un evento puede volverse evaluable: favorable, riesgoso, urgente, perdido o resuelto. Desde la multisensorialidad, un evento puede distribuirse entre varios canales y aun así percibirse como una sola unidad.</w:t>
      </w:r>
    </w:p>
    <w:p>
      <w:pPr>
        <w:spacing w:after="120" w:line="320" w:lineRule="auto"/>
        <w:jc w:val="both"/>
      </w:pPr>
      <w:r>
        <w:rPr>
          <w:rFonts w:ascii="Newsreader" w:hAnsi="Newsreader" w:cs="Newsreader"/>
          <w:b w:val="0"/>
          <w:i w:val="0"/>
          <w:color w:val="161412"/>
        </w:rPr>
        <w:t>Por eso un evento no equivale a un click, a un callback ni a un cambio interno de estado. Un evento existe cuando una modificación perceptible altera la relación operativa entre usuario y sistema.</w:t>
      </w:r>
    </w:p>
    <w:p>
      <w:pPr>
        <w:spacing w:after="120" w:line="320" w:lineRule="auto"/>
        <w:jc w:val="both"/>
      </w:pPr>
      <w:r>
        <w:rPr>
          <w:rFonts w:ascii="Newsreader" w:hAnsi="Newsreader" w:cs="Newsreader"/>
          <w:b w:val="0"/>
          <w:i w:val="0"/>
          <w:color w:val="161412"/>
        </w:rPr>
        <w:t>El capítulo anterior propuso una redefinición inicial: la interfaz no es solo una superficie de componentes, sino la dimensión perceptible de un contexto operativo. Desde ahí aparecía una consecuencia inevitable: si la interfaz no solo muestra cosas, sino que también hace ocurrir transformaciones, entonces la unidad básica de cambio no puede buscarse únicamente en el componente. Tiene que buscarse en el cambio. Tiene que buscarse en el evento.</w:t>
      </w:r>
    </w:p>
    <w:p>
      <w:pPr>
        <w:spacing w:after="120" w:line="320" w:lineRule="auto"/>
        <w:jc w:val="both"/>
      </w:pPr>
      <w:r>
        <w:rPr>
          <w:rFonts w:ascii="Newsreader" w:hAnsi="Newsreader" w:cs="Newsreader"/>
          <w:b w:val="0"/>
          <w:i w:val="0"/>
          <w:color w:val="161412"/>
        </w:rPr>
        <w:t>Su objetivo no es todavía cerrar la taxonomía de familias semánticas. Tampoco entrar en canales de expresión, intents o valores concretos. Aquí necesitamos algo más básico: entender qué es un evento, qué lo diferencia de una acción técnica, de un estado, de una variación visual, de un efecto y de una consecuencia.</w:t>
      </w:r>
    </w:p>
    <w:p>
      <w:pPr>
        <w:spacing w:after="120" w:line="320" w:lineRule="auto"/>
        <w:jc w:val="both"/>
      </w:pPr>
      <w:r>
        <w:rPr>
          <w:rFonts w:ascii="Newsreader" w:hAnsi="Newsreader" w:cs="Newsreader"/>
          <w:b w:val="0"/>
          <w:i w:val="0"/>
          <w:color w:val="161412"/>
        </w:rPr>
        <w:t>¿Cuándo algo que cambia en una interfaz merece ser tratado como evento significativo?</w:t>
      </w:r>
    </w:p>
    <w:p>
      <w:pPr>
        <w:spacing w:before="320" w:after="40"/>
      </w:pPr>
      <w:r>
        <w:rPr>
          <w:rFonts w:ascii="IBM Plex Sans" w:hAnsi="IBM Plex Sans" w:cs="IBM Plex Sans"/>
          <w:b/>
          <w:color w:val="1F3A5F"/>
          <w:sz w:val="18"/>
        </w:rPr>
        <w:t>§ 1</w:t>
      </w:r>
    </w:p>
    <w:p>
      <w:pPr>
        <w:spacing w:after="160" w:line="240" w:lineRule="auto"/>
      </w:pPr>
      <w:r>
        <w:rPr>
          <w:rFonts w:ascii="Newsreader" w:hAnsi="Newsreader" w:cs="Newsreader"/>
          <w:color w:val="161412"/>
          <w:sz w:val="38"/>
        </w:rPr>
        <w:t>El cambio no basta</w:t>
      </w:r>
    </w:p>
    <w:p>
      <w:pPr>
        <w:spacing w:after="120" w:line="320" w:lineRule="auto"/>
        <w:jc w:val="both"/>
      </w:pPr>
      <w:r>
        <w:rPr>
          <w:rFonts w:ascii="Newsreader" w:hAnsi="Newsreader" w:cs="Newsreader"/>
          <w:b w:val="0"/>
          <w:i w:val="0"/>
          <w:color w:val="161412"/>
        </w:rPr>
        <w:t>En una interfaz pasan muchas cosas. Un botón cambia de color al pasar el cursor. Un icono modifica su opacidad. Una lista se reordena. Un menú aparece. Un campo muestra un error. Un spinner empieza a girar. Un toast entra desde la esquina. Una tarjeta desaparece. Un sonido breve acompaña una confirmación. Una vibración responde al contacto. Una vista sustituye a otra.</w:t>
      </w:r>
    </w:p>
    <w:p>
      <w:pPr>
        <w:spacing w:after="120" w:line="320" w:lineRule="auto"/>
        <w:jc w:val="both"/>
      </w:pPr>
      <w:r>
        <w:rPr>
          <w:rFonts w:ascii="Newsreader" w:hAnsi="Newsreader" w:cs="Newsreader"/>
          <w:b w:val="0"/>
          <w:i w:val="0"/>
          <w:color w:val="161412"/>
        </w:rPr>
        <w:t>Podríamos llamar «evento» a todo eso. Pero esa definición sería demasiado amplia. No todo cambio perceptible es un evento en sentido fuerte. Algunos cambios son ornamentales. Otros son puramente mecánicos. Otros son variaciones locales sin relevancia para la acción del usuario.</w:t>
      </w:r>
    </w:p>
    <w:p>
      <w:pPr>
        <w:spacing w:after="120" w:line="320" w:lineRule="auto"/>
        <w:jc w:val="both"/>
      </w:pPr>
      <w:r>
        <w:rPr>
          <w:rFonts w:ascii="Newsreader" w:hAnsi="Newsreader" w:cs="Newsreader"/>
          <w:b w:val="0"/>
          <w:i w:val="0"/>
          <w:color w:val="161412"/>
        </w:rPr>
        <w:t>La pregunta no es simplemente: ¿algo ha cambiado? La pregunta es: ¿ese cambio modifica lo que el usuario entiende que está ocurriendo?</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Un evento no es cualquier cambio perceptible. Es un cambio perceptible con relevancia operativa.</w:t>
      </w:r>
    </w:p>
    <w:p>
      <w:pPr>
        <w:spacing w:before="320" w:after="40"/>
      </w:pPr>
      <w:r>
        <w:rPr>
          <w:rFonts w:ascii="IBM Plex Sans" w:hAnsi="IBM Plex Sans" w:cs="IBM Plex Sans"/>
          <w:b/>
          <w:color w:val="1F3A5F"/>
          <w:sz w:val="18"/>
        </w:rPr>
        <w:t>§ 2</w:t>
      </w:r>
    </w:p>
    <w:p>
      <w:pPr>
        <w:spacing w:after="160" w:line="240" w:lineRule="auto"/>
      </w:pPr>
      <w:r>
        <w:rPr>
          <w:rFonts w:ascii="Newsreader" w:hAnsi="Newsreader" w:cs="Newsreader"/>
          <w:color w:val="161412"/>
          <w:sz w:val="38"/>
        </w:rPr>
        <w:t>Variación, efecto y evento</w:t>
      </w:r>
    </w:p>
    <w:p>
      <w:pPr>
        <w:spacing w:after="120" w:line="320" w:lineRule="auto"/>
        <w:jc w:val="both"/>
      </w:pPr>
      <w:r>
        <w:rPr>
          <w:rFonts w:ascii="Newsreader" w:hAnsi="Newsreader" w:cs="Newsreader"/>
          <w:b w:val="0"/>
          <w:i w:val="0"/>
          <w:color w:val="161412"/>
        </w:rPr>
        <w:t xml:space="preserve">Una variación es un cambio perceptible que todavía no compromete significado. Un botón que cambia su sombra al hover puede indicar interactividad, pero si no altera el estado ni comunica una acción registrada, no es todavía un evento pleno.</w:t>
      </w:r>
    </w:p>
    <w:p>
      <w:pPr>
        <w:spacing w:after="120" w:line="320" w:lineRule="auto"/>
        <w:jc w:val="both"/>
      </w:pPr>
      <w:r>
        <w:rPr>
          <w:rFonts w:ascii="Newsreader" w:hAnsi="Newsreader" w:cs="Newsreader"/>
          <w:b w:val="0"/>
          <w:i w:val="0"/>
          <w:color w:val="161412"/>
        </w:rPr>
        <w:t>Un efecto es una realización perceptiva concreta: una animación, un sonido, una vibración, un cambio cromático, un fade, un bounce, un shake. El efecto pertenece al plano de los medios.</w:t>
      </w:r>
    </w:p>
    <w:p>
      <w:pPr>
        <w:spacing w:after="120" w:line="320" w:lineRule="auto"/>
        <w:jc w:val="both"/>
      </w:pPr>
      <w:r>
        <w:rPr>
          <w:rFonts w:ascii="Newsreader" w:hAnsi="Newsreader" w:cs="Newsreader"/>
          <w:b w:val="0"/>
          <w:i w:val="0"/>
          <w:color w:val="161412"/>
        </w:rPr>
        <w:t>Un evento pertenece al plano del significado operativo. No se define por la forma que toma, sino por la transformación que vuelve legible.</w:t>
      </w:r>
    </w:p>
    <w:p>
      <w:pPr>
        <w:spacing w:after="120" w:line="320" w:lineRule="auto"/>
        <w:jc w:val="both"/>
      </w:pPr>
      <w:r>
        <w:rPr>
          <w:rFonts w:ascii="Newsreader" w:hAnsi="Newsreader" w:cs="Newsreader"/>
          <w:b w:val="0"/>
          <w:i w:val="0"/>
          <w:color w:val="161412"/>
        </w:rPr>
        <w:t>Un shake puede ser un efecto. Pero «el sistema reclama atención por una discrepancia» es un evento. Un bounce puede ser un efecto. Pero «esta decisión ha quedado fijada» es un evento.</w:t>
      </w:r>
    </w:p>
    <w:p>
      <w:pPr>
        <w:spacing w:before="200" w:after="60"/>
        <w:jc w:val="center"/>
      </w:pPr>
      <w:r>
        <w:drawing>
          <wp:inline xmlns:a="http://schemas.openxmlformats.org/drawingml/2006/main" xmlns:pic="http://schemas.openxmlformats.org/drawingml/2006/picture">
            <wp:extent cx="5029200" cy="2652903"/>
            <wp:docPr id="17" name="Picture 17"/>
            <wp:cNvGraphicFramePr>
              <a:graphicFrameLocks noChangeAspect="1"/>
            </wp:cNvGraphicFramePr>
            <a:graphic>
              <a:graphicData uri="http://schemas.openxmlformats.org/drawingml/2006/picture">
                <pic:pic>
                  <pic:nvPicPr>
                    <pic:cNvPr id="0" name="figura-4-1.png"/>
                    <pic:cNvPicPr/>
                  </pic:nvPicPr>
                  <pic:blipFill>
                    <a:blip r:embed="rId25"/>
                    <a:stretch>
                      <a:fillRect/>
                    </a:stretch>
                  </pic:blipFill>
                  <pic:spPr>
                    <a:xfrm>
                      <a:off x="0" y="0"/>
                      <a:ext cx="5029200" cy="2652903"/>
                    </a:xfrm>
                    <a:prstGeom prst="rect"/>
                  </pic:spPr>
                </pic:pic>
              </a:graphicData>
            </a:graphic>
          </wp:inline>
        </w:drawing>
      </w:r>
    </w:p>
    <w:p>
      <w:pPr>
        <w:spacing w:before="320" w:after="40"/>
      </w:pPr>
      <w:r>
        <w:rPr>
          <w:rFonts w:ascii="IBM Plex Sans" w:hAnsi="IBM Plex Sans" w:cs="IBM Plex Sans"/>
          <w:b/>
          <w:color w:val="1F3A5F"/>
          <w:sz w:val="18"/>
        </w:rPr>
        <w:t>§ 3</w:t>
      </w:r>
    </w:p>
    <w:p>
      <w:pPr>
        <w:spacing w:after="160" w:line="240" w:lineRule="auto"/>
      </w:pPr>
      <w:r>
        <w:rPr>
          <w:rFonts w:ascii="Newsreader" w:hAnsi="Newsreader" w:cs="Newsreader"/>
          <w:color w:val="161412"/>
          <w:sz w:val="38"/>
        </w:rPr>
        <w:t>El evento no está en el código</w:t>
      </w:r>
    </w:p>
    <w:p>
      <w:pPr>
        <w:spacing w:after="120" w:line="320" w:lineRule="auto"/>
        <w:jc w:val="both"/>
      </w:pPr>
      <w:r>
        <w:rPr>
          <w:rFonts w:ascii="Newsreader" w:hAnsi="Newsreader" w:cs="Newsreader"/>
          <w:b w:val="0"/>
          <w:i w:val="0"/>
          <w:color w:val="161412"/>
        </w:rPr>
        <w:t>Un click solo dice que ocurrió una activación de entrada. No dice qué significa esa activación para el usuario. El mismo click puede abrir un menú, confirmar una eliminación, seleccionar una opción, iniciar una carga, enviar un formulario, cerrar un diálogo o navegar a otro destino. Desde el código, todos empiezan igual. Desde la experiencia, no tienen nada que ver.</w:t>
      </w:r>
    </w:p>
    <w:p>
      <w:pPr>
        <w:spacing w:after="200" w:before="40"/>
      </w:pPr>
      <w:r>
        <w:rPr>
          <w:rFonts w:ascii="IBM Plex Sans" w:hAnsi="IBM Plex Sans" w:cs="IBM Plex Sans"/>
          <w:b/>
          <w:color w:val="1F3A5F"/>
          <w:sz w:val="17"/>
        </w:rPr>
        <w:t xml:space="preserve">TABLA 4.1   </w:t>
      </w:r>
      <w:r>
        <w:rPr>
          <w:rFonts w:ascii="IBM Plex Sans" w:hAnsi="IBM Plex Sans" w:cs="IBM Plex Sans"/>
          <w:color w:val="3A352F"/>
          <w:sz w:val="18"/>
        </w:rPr>
        <w:t xml:space="preserve">Tres planos del evento</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PLANO</w:t>
            </w:r>
          </w:p>
        </w:tc>
        <w:tc>
          <w:tcPr>
            <w:tcW w:type="dxa" w:w="2772"/>
            <w:shd w:val="clear" w:color="auto" w:fill="EAE4D8"/>
          </w:tcPr>
          <w:p>
            <w:pPr>
              <w:spacing w:after="40"/>
            </w:pPr>
            <w:r>
              <w:rPr>
                <w:sz w:val="17"/>
              </w:rPr>
            </w:r>
            <w:r>
              <w:rPr>
                <w:rFonts w:ascii="IBM Plex Sans" w:hAnsi="IBM Plex Sans" w:cs="IBM Plex Sans"/>
                <w:b/>
                <w:i w:val="0"/>
                <w:color w:val="1F3A5F"/>
                <w:sz w:val="17"/>
              </w:rPr>
              <w:t>QUÉ REGISTRA</w:t>
            </w:r>
          </w:p>
        </w:tc>
        <w:tc>
          <w:tcPr>
            <w:tcW w:type="dxa" w:w="2772"/>
            <w:shd w:val="clear" w:color="auto" w:fill="EAE4D8"/>
          </w:tcPr>
          <w:p>
            <w:pPr>
              <w:spacing w:after="40"/>
            </w:pPr>
            <w:r>
              <w:rPr>
                <w:sz w:val="17"/>
              </w:rPr>
            </w:r>
            <w:r>
              <w:rPr>
                <w:rFonts w:ascii="IBM Plex Sans" w:hAnsi="IBM Plex Sans" w:cs="IBM Plex Sans"/>
                <w:b/>
                <w:i w:val="0"/>
                <w:color w:val="1F3A5F"/>
                <w:sz w:val="17"/>
              </w:rPr>
              <w:t>EJEMPLO</w:t>
            </w:r>
          </w:p>
        </w:tc>
      </w:tr>
      <w:tr>
        <w:tc>
          <w:tcPr>
            <w:tcW w:type="dxa" w:w="2772"/>
          </w:tcPr>
          <w:p>
            <w:pPr>
              <w:spacing w:after="40"/>
            </w:pPr>
            <w:r>
              <w:rPr>
                <w:sz w:val="17"/>
              </w:rPr>
            </w:r>
            <w:r>
              <w:rPr>
                <w:rFonts w:ascii="IBM Plex Sans" w:hAnsi="IBM Plex Sans" w:cs="IBM Plex Sans"/>
                <w:b w:val="0"/>
                <w:i w:val="0"/>
                <w:color w:val="161412"/>
                <w:sz w:val="17"/>
              </w:rPr>
              <w:t>Evento técnico</w:t>
            </w:r>
          </w:p>
        </w:tc>
        <w:tc>
          <w:tcPr>
            <w:tcW w:type="dxa" w:w="2772"/>
          </w:tcPr>
          <w:p>
            <w:pPr>
              <w:spacing w:after="40"/>
            </w:pPr>
            <w:r>
              <w:rPr>
                <w:sz w:val="17"/>
              </w:rPr>
            </w:r>
            <w:r>
              <w:rPr>
                <w:rFonts w:ascii="IBM Plex Sans" w:hAnsi="IBM Plex Sans" w:cs="IBM Plex Sans"/>
                <w:b w:val="0"/>
                <w:i w:val="0"/>
                <w:color w:val="161412"/>
                <w:sz w:val="17"/>
              </w:rPr>
              <w:t>Una ocurrencia del sistema o dispositivo</w:t>
            </w:r>
          </w:p>
        </w:tc>
        <w:tc>
          <w:tcPr>
            <w:tcW w:type="dxa" w:w="2772"/>
          </w:tcPr>
          <w:p>
            <w:pPr>
              <w:spacing w:after="40"/>
            </w:pPr>
            <w:r>
              <w:rPr>
                <w:sz w:val="17"/>
              </w:rPr>
            </w:r>
            <w:r>
              <w:rPr>
                <w:rFonts w:ascii="IBM Plex Sans" w:hAnsi="IBM Plex Sans" w:cs="IBM Plex Sans"/>
                <w:b w:val="0"/>
                <w:i w:val="0"/>
                <w:color w:val="161412"/>
                <w:sz w:val="17"/>
              </w:rPr>
              <w:t>click, submit, change, dragstart</w:t>
            </w:r>
          </w:p>
        </w:tc>
      </w:tr>
      <w:tr>
        <w:tc>
          <w:tcPr>
            <w:tcW w:type="dxa" w:w="2772"/>
          </w:tcPr>
          <w:p>
            <w:pPr>
              <w:spacing w:after="40"/>
            </w:pPr>
            <w:r>
              <w:rPr>
                <w:sz w:val="17"/>
              </w:rPr>
            </w:r>
            <w:r>
              <w:rPr>
                <w:rFonts w:ascii="IBM Plex Sans" w:hAnsi="IBM Plex Sans" w:cs="IBM Plex Sans"/>
                <w:b w:val="0"/>
                <w:i w:val="0"/>
                <w:color w:val="161412"/>
                <w:sz w:val="17"/>
              </w:rPr>
              <w:t>Evento</w:t>
            </w:r>
          </w:p>
        </w:tc>
        <w:tc>
          <w:tcPr>
            <w:tcW w:type="dxa" w:w="2772"/>
          </w:tcPr>
          <w:p>
            <w:pPr>
              <w:spacing w:after="40"/>
            </w:pPr>
            <w:r>
              <w:rPr>
                <w:sz w:val="17"/>
              </w:rPr>
            </w:r>
            <w:r>
              <w:rPr>
                <w:rFonts w:ascii="IBM Plex Sans" w:hAnsi="IBM Plex Sans" w:cs="IBM Plex Sans"/>
                <w:b w:val="0"/>
                <w:i w:val="0"/>
                <w:color w:val="161412"/>
                <w:sz w:val="17"/>
              </w:rPr>
              <w:t>Una transformación significativa para el usuario</w:t>
            </w:r>
          </w:p>
        </w:tc>
        <w:tc>
          <w:tcPr>
            <w:tcW w:type="dxa" w:w="2772"/>
          </w:tcPr>
          <w:p>
            <w:pPr>
              <w:spacing w:after="40"/>
            </w:pPr>
            <w:r>
              <w:rPr>
                <w:sz w:val="17"/>
              </w:rPr>
            </w:r>
            <w:r>
              <w:rPr>
                <w:rFonts w:ascii="IBM Plex Sans" w:hAnsi="IBM Plex Sans" w:cs="IBM Plex Sans"/>
                <w:b w:val="0"/>
                <w:i w:val="0"/>
                <w:color w:val="161412"/>
                <w:sz w:val="17"/>
              </w:rPr>
              <w:t>Contacto, consolidación, señal, aparición</w:t>
            </w:r>
          </w:p>
        </w:tc>
      </w:tr>
      <w:tr>
        <w:tc>
          <w:tcPr>
            <w:tcW w:type="dxa" w:w="2772"/>
          </w:tcPr>
          <w:p>
            <w:pPr>
              <w:spacing w:after="40"/>
            </w:pPr>
            <w:r>
              <w:rPr>
                <w:sz w:val="17"/>
              </w:rPr>
            </w:r>
            <w:r>
              <w:rPr>
                <w:rFonts w:ascii="IBM Plex Sans" w:hAnsi="IBM Plex Sans" w:cs="IBM Plex Sans"/>
                <w:b w:val="0"/>
                <w:i w:val="0"/>
                <w:color w:val="161412"/>
                <w:sz w:val="17"/>
              </w:rPr>
              <w:t>Interacción semántica</w:t>
            </w:r>
          </w:p>
        </w:tc>
        <w:tc>
          <w:tcPr>
            <w:tcW w:type="dxa" w:w="2772"/>
          </w:tcPr>
          <w:p>
            <w:pPr>
              <w:spacing w:after="40"/>
            </w:pPr>
            <w:r>
              <w:rPr>
                <w:sz w:val="17"/>
              </w:rPr>
            </w:r>
            <w:r>
              <w:rPr>
                <w:rFonts w:ascii="IBM Plex Sans" w:hAnsi="IBM Plex Sans" w:cs="IBM Plex Sans"/>
                <w:b w:val="0"/>
                <w:i w:val="0"/>
                <w:color w:val="161412"/>
                <w:sz w:val="17"/>
              </w:rPr>
              <w:t>Una forma recurrente de hacer legible esa transformación</w:t>
            </w:r>
          </w:p>
        </w:tc>
        <w:tc>
          <w:tcPr>
            <w:tcW w:type="dxa" w:w="2772"/>
          </w:tcPr>
          <w:p>
            <w:pPr>
              <w:spacing w:after="40"/>
            </w:pPr>
            <w:r>
              <w:rPr>
                <w:sz w:val="17"/>
              </w:rPr>
            </w:r>
            <w:r>
              <w:rPr>
                <w:rFonts w:ascii="IBM Plex Sans" w:hAnsi="IBM Plex Sans" w:cs="IBM Plex Sans"/>
                <w:b w:val="0"/>
                <w:i w:val="0"/>
                <w:color w:val="161412"/>
                <w:sz w:val="17"/>
              </w:rPr>
              <w:t>contact, commit, signal, handle, emerge</w:t>
            </w:r>
          </w:p>
        </w:tc>
      </w:tr>
    </w:tbl>
    <w:p>
      <w:pPr>
        <w:spacing w:before="160" w:after="40"/>
        <w:pBdr>
          <w:left w:val="single" w:sz="18" w:space="12" w:color="1F3A5F"/>
        </w:pBdr>
      </w:pPr>
      <w:r>
        <w:rPr>
          <w:rFonts w:ascii="IBM Plex Sans" w:hAnsi="IBM Plex Sans" w:cs="IBM Plex Sans"/>
          <w:b/>
          <w:color w:val="1F3A5F"/>
          <w:sz w:val="16"/>
        </w:rPr>
        <w:t>DISTINCIÓN</w:t>
      </w:r>
    </w:p>
    <w:p>
      <w:pPr>
        <w:spacing w:after="120" w:line="312" w:lineRule="auto"/>
        <w:pBdr>
          <w:left w:val="single" w:sz="18" w:space="12" w:color="1F3A5F"/>
        </w:pBdr>
      </w:pPr>
      <w:r>
        <w:rPr>
          <w:rFonts w:ascii="Newsreader" w:hAnsi="Newsreader" w:cs="Newsreader"/>
          <w:b w:val="0"/>
          <w:i/>
          <w:color w:val="3A352F"/>
        </w:rPr>
        <w:t>Un evento técnico ocurre en el sistema. Un evento ocurre para el usuario.</w:t>
      </w:r>
    </w:p>
    <w:p>
      <w:pPr>
        <w:spacing w:before="320" w:after="40"/>
      </w:pPr>
      <w:r>
        <w:rPr>
          <w:rFonts w:ascii="IBM Plex Sans" w:hAnsi="IBM Plex Sans" w:cs="IBM Plex Sans"/>
          <w:b/>
          <w:color w:val="1F3A5F"/>
          <w:sz w:val="18"/>
        </w:rPr>
        <w:t>§ 4</w:t>
      </w:r>
    </w:p>
    <w:p>
      <w:pPr>
        <w:spacing w:after="160" w:line="240" w:lineRule="auto"/>
      </w:pPr>
      <w:r>
        <w:rPr>
          <w:rFonts w:ascii="Newsreader" w:hAnsi="Newsreader" w:cs="Newsreader"/>
          <w:color w:val="161412"/>
          <w:sz w:val="38"/>
        </w:rPr>
        <w:t>El evento como transformación del contexto operativo</w:t>
      </w:r>
    </w:p>
    <w:p>
      <w:pPr>
        <w:spacing w:after="120" w:line="320" w:lineRule="auto"/>
        <w:jc w:val="both"/>
      </w:pPr>
      <w:r>
        <w:rPr>
          <w:rFonts w:ascii="Newsreader" w:hAnsi="Newsreader" w:cs="Newsreader"/>
          <w:b w:val="0"/>
          <w:i w:val="0"/>
          <w:color w:val="161412"/>
        </w:rPr>
        <w:t>Un evento es una modificación perceptible del contexto operativo que tiene significado para la acción, la atención o la interpretación del estado.</w:t>
      </w:r>
    </w:p>
    <w:p>
      <w:pPr>
        <w:spacing w:after="120" w:line="320" w:lineRule="auto"/>
        <w:jc w:val="both"/>
      </w:pPr>
      <w:r>
        <w:rPr>
          <w:rFonts w:ascii="Newsreader" w:hAnsi="Newsreader" w:cs="Newsreader"/>
          <w:b w:val="0"/>
          <w:i w:val="0"/>
          <w:color w:val="161412"/>
        </w:rPr>
        <w:t xml:space="preserve">Esta definición contiene tres condiciones. La primera: una modificación perceptible. Algo debe cambiar en el campo perceptivo. La segunda: relevancia operativa. El cambio debe afectar a lo que el usuario puede hacer, debe atender o necesita interpretar. La tercera: debe pertenecer a una clase reconocible — contacto, consolidación, señal, manipulación, aparición, cambio de contexto, sostenimiento.</w:t>
      </w:r>
    </w:p>
    <w:p>
      <w:pPr>
        <w:spacing w:before="200" w:after="60"/>
        <w:jc w:val="center"/>
      </w:pPr>
      <w:r>
        <w:drawing>
          <wp:inline xmlns:a="http://schemas.openxmlformats.org/drawingml/2006/main" xmlns:pic="http://schemas.openxmlformats.org/drawingml/2006/picture">
            <wp:extent cx="5029200" cy="2794349"/>
            <wp:docPr id="18" name="Picture 18"/>
            <wp:cNvGraphicFramePr>
              <a:graphicFrameLocks noChangeAspect="1"/>
            </wp:cNvGraphicFramePr>
            <a:graphic>
              <a:graphicData uri="http://schemas.openxmlformats.org/drawingml/2006/picture">
                <pic:pic>
                  <pic:nvPicPr>
                    <pic:cNvPr id="0" name="figura-4-2.png"/>
                    <pic:cNvPicPr/>
                  </pic:nvPicPr>
                  <pic:blipFill>
                    <a:blip r:embed="rId26"/>
                    <a:stretch>
                      <a:fillRect/>
                    </a:stretch>
                  </pic:blipFill>
                  <pic:spPr>
                    <a:xfrm>
                      <a:off x="0" y="0"/>
                      <a:ext cx="5029200" cy="2794349"/>
                    </a:xfrm>
                    <a:prstGeom prst="rect"/>
                  </pic:spPr>
                </pic:pic>
              </a:graphicData>
            </a:graphic>
          </wp:inline>
        </w:drawing>
      </w:r>
    </w:p>
    <w:p>
      <w:pPr>
        <w:spacing w:after="120" w:line="320" w:lineRule="auto"/>
        <w:jc w:val="both"/>
      </w:pPr>
      <w:r>
        <w:rPr>
          <w:rFonts w:ascii="Newsreader" w:hAnsi="Newsreader" w:cs="Newsreader"/>
          <w:b w:val="0"/>
          <w:i w:val="0"/>
          <w:color w:val="161412"/>
        </w:rPr>
        <w:t>Un botón que se comprime al ser pulsado comunica contacto. Un switch que cambia de estado comunica consolidación. Un modal que se abre comunica cambio de contexto. Un spinner que aparece comunica sostenimiento. Un elemento que desaparece comunica pérdida o retirada. En todos estos casos, lo importante no es que algo cambie en pantalla. Lo importante es que el cambio reorganiza la relación entre usuario y sistema.</w:t>
      </w:r>
    </w:p>
    <w:p>
      <w:pPr>
        <w:spacing w:before="320" w:after="40"/>
      </w:pPr>
      <w:r>
        <w:rPr>
          <w:rFonts w:ascii="IBM Plex Sans" w:hAnsi="IBM Plex Sans" w:cs="IBM Plex Sans"/>
          <w:b/>
          <w:color w:val="1F3A5F"/>
          <w:sz w:val="18"/>
        </w:rPr>
        <w:t>§ 5</w:t>
      </w:r>
    </w:p>
    <w:p>
      <w:pPr>
        <w:spacing w:after="160" w:line="240" w:lineRule="auto"/>
      </w:pPr>
      <w:r>
        <w:rPr>
          <w:rFonts w:ascii="Newsreader" w:hAnsi="Newsreader" w:cs="Newsreader"/>
          <w:color w:val="161412"/>
          <w:sz w:val="38"/>
        </w:rPr>
        <w:t>Acción, evento y consecuencia</w:t>
      </w:r>
    </w:p>
    <w:p>
      <w:pPr>
        <w:spacing w:after="120" w:line="320" w:lineRule="auto"/>
        <w:jc w:val="both"/>
      </w:pPr>
      <w:r>
        <w:rPr>
          <w:rFonts w:ascii="Newsreader" w:hAnsi="Newsreader" w:cs="Newsreader"/>
          <w:b w:val="0"/>
          <w:i w:val="0"/>
          <w:color w:val="161412"/>
        </w:rPr>
        <w:t>La acción es lo que hace el usuario o el sistema. El evento es la transformación perceptible que esa acción produce. La consecuencia es lo que cambia después en el contexto operativo.</w:t>
      </w:r>
    </w:p>
    <w:p>
      <w:pPr>
        <w:spacing w:before="200" w:after="60"/>
        <w:jc w:val="center"/>
      </w:pPr>
      <w:r>
        <w:drawing>
          <wp:inline xmlns:a="http://schemas.openxmlformats.org/drawingml/2006/main" xmlns:pic="http://schemas.openxmlformats.org/drawingml/2006/picture">
            <wp:extent cx="5029200" cy="2652903"/>
            <wp:docPr id="19" name="Picture 19"/>
            <wp:cNvGraphicFramePr>
              <a:graphicFrameLocks noChangeAspect="1"/>
            </wp:cNvGraphicFramePr>
            <a:graphic>
              <a:graphicData uri="http://schemas.openxmlformats.org/drawingml/2006/picture">
                <pic:pic>
                  <pic:nvPicPr>
                    <pic:cNvPr id="0" name="figura-4-3.png"/>
                    <pic:cNvPicPr/>
                  </pic:nvPicPr>
                  <pic:blipFill>
                    <a:blip r:embed="rId27"/>
                    <a:stretch>
                      <a:fillRect/>
                    </a:stretch>
                  </pic:blipFill>
                  <pic:spPr>
                    <a:xfrm>
                      <a:off x="0" y="0"/>
                      <a:ext cx="5029200" cy="2652903"/>
                    </a:xfrm>
                    <a:prstGeom prst="rect"/>
                  </pic:spPr>
                </pic:pic>
              </a:graphicData>
            </a:graphic>
          </wp:inline>
        </w:drawing>
      </w:r>
    </w:p>
    <w:p>
      <w:pPr>
        <w:spacing w:after="120" w:line="320" w:lineRule="auto"/>
        <w:jc w:val="both"/>
      </w:pPr>
      <w:r>
        <w:rPr>
          <w:rFonts w:ascii="Newsreader" w:hAnsi="Newsreader" w:cs="Newsreader"/>
          <w:b w:val="0"/>
          <w:i w:val="0"/>
          <w:color w:val="161412"/>
        </w:rPr>
        <w:t>Acción, evento y consecuencia no siempre coinciden en el tiempo. A veces la acción y el evento están muy próximos. A veces la acción inicia un proceso. A veces la consecuencia llega después. A veces el sistema produce un evento sin acción inmediata del usuario: una notificación, una alerta, una sesión expirada.</w:t>
      </w:r>
    </w:p>
    <w:p>
      <w:pPr>
        <w:spacing w:before="320" w:after="40"/>
      </w:pPr>
      <w:r>
        <w:rPr>
          <w:rFonts w:ascii="IBM Plex Sans" w:hAnsi="IBM Plex Sans" w:cs="IBM Plex Sans"/>
          <w:b/>
          <w:color w:val="1F3A5F"/>
          <w:sz w:val="18"/>
        </w:rPr>
        <w:t>§ 6</w:t>
      </w:r>
    </w:p>
    <w:p>
      <w:pPr>
        <w:spacing w:after="160" w:line="240" w:lineRule="auto"/>
      </w:pPr>
      <w:r>
        <w:rPr>
          <w:rFonts w:ascii="Newsreader" w:hAnsi="Newsreader" w:cs="Newsreader"/>
          <w:color w:val="161412"/>
          <w:sz w:val="38"/>
        </w:rPr>
        <w:t>Estado y evento: dos formas de sentido</w:t>
      </w:r>
    </w:p>
    <w:p>
      <w:pPr>
        <w:spacing w:after="120" w:line="320" w:lineRule="auto"/>
        <w:jc w:val="both"/>
      </w:pPr>
      <w:r>
        <w:rPr>
          <w:rFonts w:ascii="Newsreader" w:hAnsi="Newsreader" w:cs="Newsreader"/>
          <w:b w:val="0"/>
          <w:i w:val="0"/>
          <w:color w:val="161412"/>
        </w:rPr>
        <w:t>Un estado describe una condición relativamente estable: seleccionado, abierto, cargando, inválido. Un evento describe una transformación: seleccionar, abrir, empezar a cargar, fallar. Los estados orientan. Los eventos explican cómo se llegó a esa orientación. El usuario necesita ambos.</w:t>
      </w:r>
    </w:p>
    <w:p>
      <w:pPr>
        <w:spacing w:after="200" w:before="40"/>
      </w:pPr>
      <w:r>
        <w:rPr>
          <w:rFonts w:ascii="IBM Plex Sans" w:hAnsi="IBM Plex Sans" w:cs="IBM Plex Sans"/>
          <w:b/>
          <w:color w:val="1F3A5F"/>
          <w:sz w:val="17"/>
        </w:rPr>
        <w:t xml:space="preserve">TABLA 4.2   </w:t>
      </w:r>
      <w:r>
        <w:rPr>
          <w:rFonts w:ascii="IBM Plex Sans" w:hAnsi="IBM Plex Sans" w:cs="IBM Plex Sans"/>
          <w:color w:val="3A352F"/>
          <w:sz w:val="18"/>
        </w:rPr>
        <w:t xml:space="preserve">Estado, evento y consecuencia</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079"/>
        <w:gridCol w:w="2079"/>
        <w:gridCol w:w="2079"/>
        <w:gridCol w:w="2079"/>
      </w:tblGrid>
      <w:tr>
        <w:tc>
          <w:tcPr>
            <w:tcW w:type="dxa" w:w="2079"/>
            <w:shd w:val="clear" w:color="auto" w:fill="EAE4D8"/>
          </w:tcPr>
          <w:p>
            <w:pPr>
              <w:spacing w:after="40"/>
            </w:pPr>
            <w:r>
              <w:rPr>
                <w:sz w:val="17"/>
              </w:rPr>
            </w:r>
            <w:r>
              <w:rPr>
                <w:rFonts w:ascii="IBM Plex Sans" w:hAnsi="IBM Plex Sans" w:cs="IBM Plex Sans"/>
                <w:b/>
                <w:i w:val="0"/>
                <w:color w:val="1F3A5F"/>
                <w:sz w:val="17"/>
              </w:rPr>
              <w:t>PLANO</w:t>
            </w:r>
          </w:p>
        </w:tc>
        <w:tc>
          <w:tcPr>
            <w:tcW w:type="dxa" w:w="2079"/>
            <w:shd w:val="clear" w:color="auto" w:fill="EAE4D8"/>
          </w:tcPr>
          <w:p>
            <w:pPr>
              <w:spacing w:after="40"/>
            </w:pPr>
            <w:r>
              <w:rPr>
                <w:sz w:val="17"/>
              </w:rPr>
            </w:r>
            <w:r>
              <w:rPr>
                <w:rFonts w:ascii="IBM Plex Sans" w:hAnsi="IBM Plex Sans" w:cs="IBM Plex Sans"/>
                <w:b/>
                <w:i w:val="0"/>
                <w:color w:val="1F3A5F"/>
                <w:sz w:val="17"/>
              </w:rPr>
              <w:t>PREGUNTA</w:t>
            </w:r>
          </w:p>
        </w:tc>
        <w:tc>
          <w:tcPr>
            <w:tcW w:type="dxa" w:w="2079"/>
            <w:shd w:val="clear" w:color="auto" w:fill="EAE4D8"/>
          </w:tcPr>
          <w:p>
            <w:pPr>
              <w:spacing w:after="40"/>
            </w:pPr>
            <w:r>
              <w:rPr>
                <w:sz w:val="17"/>
              </w:rPr>
            </w:r>
            <w:r>
              <w:rPr>
                <w:rFonts w:ascii="IBM Plex Sans" w:hAnsi="IBM Plex Sans" w:cs="IBM Plex Sans"/>
                <w:b/>
                <w:i w:val="0"/>
                <w:color w:val="1F3A5F"/>
                <w:sz w:val="17"/>
              </w:rPr>
              <w:t>EJEMPLO</w:t>
            </w:r>
          </w:p>
        </w:tc>
        <w:tc>
          <w:tcPr>
            <w:tcW w:type="dxa" w:w="2079"/>
            <w:shd w:val="clear" w:color="auto" w:fill="EAE4D8"/>
          </w:tcPr>
          <w:p>
            <w:pPr>
              <w:spacing w:after="40"/>
            </w:pPr>
            <w:r>
              <w:rPr>
                <w:sz w:val="17"/>
              </w:rPr>
            </w:r>
            <w:r>
              <w:rPr>
                <w:rFonts w:ascii="IBM Plex Sans" w:hAnsi="IBM Plex Sans" w:cs="IBM Plex Sans"/>
                <w:b/>
                <w:i w:val="0"/>
                <w:color w:val="1F3A5F"/>
                <w:sz w:val="17"/>
              </w:rPr>
              <w:t>RIESGO SI FALTA</w:t>
            </w:r>
          </w:p>
        </w:tc>
      </w:tr>
      <w:tr>
        <w:tc>
          <w:tcPr>
            <w:tcW w:type="dxa" w:w="2079"/>
          </w:tcPr>
          <w:p>
            <w:pPr>
              <w:spacing w:after="40"/>
            </w:pPr>
            <w:r>
              <w:rPr>
                <w:sz w:val="17"/>
              </w:rPr>
            </w:r>
            <w:r>
              <w:rPr>
                <w:rFonts w:ascii="IBM Plex Sans" w:hAnsi="IBM Plex Sans" w:cs="IBM Plex Sans"/>
                <w:b w:val="0"/>
                <w:i w:val="0"/>
                <w:color w:val="161412"/>
                <w:sz w:val="17"/>
              </w:rPr>
              <w:t>Estado</w:t>
            </w:r>
          </w:p>
        </w:tc>
        <w:tc>
          <w:tcPr>
            <w:tcW w:type="dxa" w:w="2079"/>
          </w:tcPr>
          <w:p>
            <w:pPr>
              <w:spacing w:after="40"/>
            </w:pPr>
            <w:r>
              <w:rPr>
                <w:sz w:val="17"/>
              </w:rPr>
            </w:r>
            <w:r>
              <w:rPr>
                <w:rFonts w:ascii="IBM Plex Sans" w:hAnsi="IBM Plex Sans" w:cs="IBM Plex Sans"/>
                <w:b w:val="0"/>
                <w:i w:val="0"/>
                <w:color w:val="161412"/>
                <w:sz w:val="17"/>
              </w:rPr>
              <w:t>¿En qué condición está?</w:t>
            </w:r>
          </w:p>
        </w:tc>
        <w:tc>
          <w:tcPr>
            <w:tcW w:type="dxa" w:w="2079"/>
          </w:tcPr>
          <w:p>
            <w:pPr>
              <w:spacing w:after="40"/>
            </w:pPr>
            <w:r>
              <w:rPr>
                <w:sz w:val="17"/>
              </w:rPr>
            </w:r>
            <w:r>
              <w:rPr>
                <w:rFonts w:ascii="IBM Plex Sans" w:hAnsi="IBM Plex Sans" w:cs="IBM Plex Sans"/>
                <w:b w:val="0"/>
                <w:i w:val="0"/>
                <w:color w:val="161412"/>
                <w:sz w:val="17"/>
              </w:rPr>
              <w:t>El switch está encendido</w:t>
            </w:r>
          </w:p>
        </w:tc>
        <w:tc>
          <w:tcPr>
            <w:tcW w:type="dxa" w:w="2079"/>
          </w:tcPr>
          <w:p>
            <w:pPr>
              <w:spacing w:after="40"/>
            </w:pPr>
            <w:r>
              <w:rPr>
                <w:sz w:val="17"/>
              </w:rPr>
            </w:r>
            <w:r>
              <w:rPr>
                <w:rFonts w:ascii="IBM Plex Sans" w:hAnsi="IBM Plex Sans" w:cs="IBM Plex Sans"/>
                <w:b w:val="0"/>
                <w:i w:val="0"/>
                <w:color w:val="161412"/>
                <w:sz w:val="17"/>
              </w:rPr>
              <w:t>No sabe cómo actuar ahora</w:t>
            </w:r>
          </w:p>
        </w:tc>
      </w:tr>
      <w:tr>
        <w:tc>
          <w:tcPr>
            <w:tcW w:type="dxa" w:w="2079"/>
          </w:tcPr>
          <w:p>
            <w:pPr>
              <w:spacing w:after="40"/>
            </w:pPr>
            <w:r>
              <w:rPr>
                <w:sz w:val="17"/>
              </w:rPr>
            </w:r>
            <w:r>
              <w:rPr>
                <w:rFonts w:ascii="IBM Plex Sans" w:hAnsi="IBM Plex Sans" w:cs="IBM Plex Sans"/>
                <w:b w:val="0"/>
                <w:i w:val="0"/>
                <w:color w:val="161412"/>
                <w:sz w:val="17"/>
              </w:rPr>
              <w:t>Evento</w:t>
            </w:r>
          </w:p>
        </w:tc>
        <w:tc>
          <w:tcPr>
            <w:tcW w:type="dxa" w:w="2079"/>
          </w:tcPr>
          <w:p>
            <w:pPr>
              <w:spacing w:after="40"/>
            </w:pPr>
            <w:r>
              <w:rPr>
                <w:sz w:val="17"/>
              </w:rPr>
            </w:r>
            <w:r>
              <w:rPr>
                <w:rFonts w:ascii="IBM Plex Sans" w:hAnsi="IBM Plex Sans" w:cs="IBM Plex Sans"/>
                <w:b w:val="0"/>
                <w:i w:val="0"/>
                <w:color w:val="161412"/>
                <w:sz w:val="17"/>
              </w:rPr>
              <w:t>¿Qué cambio ocurrió?</w:t>
            </w:r>
          </w:p>
        </w:tc>
        <w:tc>
          <w:tcPr>
            <w:tcW w:type="dxa" w:w="2079"/>
          </w:tcPr>
          <w:p>
            <w:pPr>
              <w:spacing w:after="40"/>
            </w:pPr>
            <w:r>
              <w:rPr>
                <w:sz w:val="17"/>
              </w:rPr>
            </w:r>
            <w:r>
              <w:rPr>
                <w:rFonts w:ascii="IBM Plex Sans" w:hAnsi="IBM Plex Sans" w:cs="IBM Plex Sans"/>
                <w:b w:val="0"/>
                <w:i w:val="0"/>
                <w:color w:val="161412"/>
                <w:sz w:val="17"/>
              </w:rPr>
              <w:t>El switch acaba de activarse</w:t>
            </w:r>
          </w:p>
        </w:tc>
        <w:tc>
          <w:tcPr>
            <w:tcW w:type="dxa" w:w="2079"/>
          </w:tcPr>
          <w:p>
            <w:pPr>
              <w:spacing w:after="40"/>
            </w:pPr>
            <w:r>
              <w:rPr>
                <w:sz w:val="17"/>
              </w:rPr>
            </w:r>
            <w:r>
              <w:rPr>
                <w:rFonts w:ascii="IBM Plex Sans" w:hAnsi="IBM Plex Sans" w:cs="IBM Plex Sans"/>
                <w:b w:val="0"/>
                <w:i w:val="0"/>
                <w:color w:val="161412"/>
                <w:sz w:val="17"/>
              </w:rPr>
              <w:t>No sabe si su acción tuvo efecto</w:t>
            </w:r>
          </w:p>
        </w:tc>
      </w:tr>
      <w:tr>
        <w:tc>
          <w:tcPr>
            <w:tcW w:type="dxa" w:w="2079"/>
          </w:tcPr>
          <w:p>
            <w:pPr>
              <w:spacing w:after="40"/>
            </w:pPr>
            <w:r>
              <w:rPr>
                <w:sz w:val="17"/>
              </w:rPr>
            </w:r>
            <w:r>
              <w:rPr>
                <w:rFonts w:ascii="IBM Plex Sans" w:hAnsi="IBM Plex Sans" w:cs="IBM Plex Sans"/>
                <w:b w:val="0"/>
                <w:i w:val="0"/>
                <w:color w:val="161412"/>
                <w:sz w:val="17"/>
              </w:rPr>
              <w:t>Consecuencia</w:t>
            </w:r>
          </w:p>
        </w:tc>
        <w:tc>
          <w:tcPr>
            <w:tcW w:type="dxa" w:w="2079"/>
          </w:tcPr>
          <w:p>
            <w:pPr>
              <w:spacing w:after="40"/>
            </w:pPr>
            <w:r>
              <w:rPr>
                <w:sz w:val="17"/>
              </w:rPr>
            </w:r>
            <w:r>
              <w:rPr>
                <w:rFonts w:ascii="IBM Plex Sans" w:hAnsi="IBM Plex Sans" w:cs="IBM Plex Sans"/>
                <w:b w:val="0"/>
                <w:i w:val="0"/>
                <w:color w:val="161412"/>
                <w:sz w:val="17"/>
              </w:rPr>
              <w:t>¿Qué implica?</w:t>
            </w:r>
          </w:p>
        </w:tc>
        <w:tc>
          <w:tcPr>
            <w:tcW w:type="dxa" w:w="2079"/>
          </w:tcPr>
          <w:p>
            <w:pPr>
              <w:spacing w:after="40"/>
            </w:pPr>
            <w:r>
              <w:rPr>
                <w:sz w:val="17"/>
              </w:rPr>
            </w:r>
            <w:r>
              <w:rPr>
                <w:rFonts w:ascii="IBM Plex Sans" w:hAnsi="IBM Plex Sans" w:cs="IBM Plex Sans"/>
                <w:b w:val="0"/>
                <w:i w:val="0"/>
                <w:color w:val="161412"/>
                <w:sz w:val="17"/>
              </w:rPr>
              <w:t>La preferencia ya se aplicó</w:t>
            </w:r>
          </w:p>
        </w:tc>
        <w:tc>
          <w:tcPr>
            <w:tcW w:type="dxa" w:w="2079"/>
          </w:tcPr>
          <w:p>
            <w:pPr>
              <w:spacing w:after="40"/>
            </w:pPr>
            <w:r>
              <w:rPr>
                <w:sz w:val="17"/>
              </w:rPr>
            </w:r>
            <w:r>
              <w:rPr>
                <w:rFonts w:ascii="IBM Plex Sans" w:hAnsi="IBM Plex Sans" w:cs="IBM Plex Sans"/>
                <w:b w:val="0"/>
                <w:i w:val="0"/>
                <w:color w:val="161412"/>
                <w:sz w:val="17"/>
              </w:rPr>
              <w:t>No entiende el alcance del cambio</w:t>
            </w:r>
          </w:p>
        </w:tc>
      </w:tr>
    </w:tbl>
    <w:p>
      <w:pPr>
        <w:spacing w:after="120" w:line="320" w:lineRule="auto"/>
        <w:jc w:val="both"/>
      </w:pPr>
      <w:r>
        <w:rPr>
          <w:rFonts w:ascii="Newsreader" w:hAnsi="Newsreader" w:cs="Newsreader"/>
          <w:b w:val="0"/>
          <w:i w:val="0"/>
          <w:color w:val="161412"/>
        </w:rPr>
        <w:t>Una interfaz centrada solo en estados puede mostrar el resultado final, pero dejar pobremente articulado el cambio que llevó hasta él. Una interfaz centrada solo en eventos puede volverse efímera. La gramática necesita ambos planos.</w:t>
      </w:r>
    </w:p>
    <w:p>
      <w:pPr>
        <w:spacing w:before="320" w:after="40"/>
      </w:pPr>
      <w:r>
        <w:rPr>
          <w:rFonts w:ascii="IBM Plex Sans" w:hAnsi="IBM Plex Sans" w:cs="IBM Plex Sans"/>
          <w:b/>
          <w:color w:val="1F3A5F"/>
          <w:sz w:val="18"/>
        </w:rPr>
        <w:t>§ 7</w:t>
      </w:r>
    </w:p>
    <w:p>
      <w:pPr>
        <w:spacing w:after="160" w:line="240" w:lineRule="auto"/>
      </w:pPr>
      <w:r>
        <w:rPr>
          <w:rFonts w:ascii="Newsreader" w:hAnsi="Newsreader" w:cs="Newsreader"/>
          <w:color w:val="161412"/>
          <w:sz w:val="38"/>
        </w:rPr>
        <w:t>El evento tiene forma temporal</w:t>
      </w:r>
    </w:p>
    <w:p>
      <w:pPr>
        <w:spacing w:after="120" w:line="320" w:lineRule="auto"/>
        <w:jc w:val="both"/>
      </w:pPr>
      <w:r>
        <w:rPr>
          <w:rFonts w:ascii="Newsreader" w:hAnsi="Newsreader" w:cs="Newsreader"/>
          <w:b w:val="0"/>
          <w:i w:val="0"/>
          <w:color w:val="161412"/>
        </w:rPr>
        <w:t>Un evento no es solo una etiqueta. Tiene forma en el tiempo. Algunos son casi puntuales. Otros tienen fase de entrada y salida. Otros son sostenidos. Otros tienen estructura interna compleja.</w:t>
      </w:r>
    </w:p>
    <w:p>
      <w:pPr>
        <w:spacing w:before="200" w:after="60"/>
        <w:jc w:val="center"/>
      </w:pPr>
      <w:r>
        <w:drawing>
          <wp:inline xmlns:a="http://schemas.openxmlformats.org/drawingml/2006/main" xmlns:pic="http://schemas.openxmlformats.org/drawingml/2006/picture">
            <wp:extent cx="5029200" cy="3004947"/>
            <wp:docPr id="20" name="Picture 20"/>
            <wp:cNvGraphicFramePr>
              <a:graphicFrameLocks noChangeAspect="1"/>
            </wp:cNvGraphicFramePr>
            <a:graphic>
              <a:graphicData uri="http://schemas.openxmlformats.org/drawingml/2006/picture">
                <pic:pic>
                  <pic:nvPicPr>
                    <pic:cNvPr id="0" name="figura-4-4.png"/>
                    <pic:cNvPicPr/>
                  </pic:nvPicPr>
                  <pic:blipFill>
                    <a:blip r:embed="rId28"/>
                    <a:stretch>
                      <a:fillRect/>
                    </a:stretch>
                  </pic:blipFill>
                  <pic:spPr>
                    <a:xfrm>
                      <a:off x="0" y="0"/>
                      <a:ext cx="5029200" cy="3004947"/>
                    </a:xfrm>
                    <a:prstGeom prst="rect"/>
                  </pic:spPr>
                </pic:pic>
              </a:graphicData>
            </a:graphic>
          </wp:inline>
        </w:drawing>
      </w:r>
    </w:p>
    <w:p>
      <w:pPr>
        <w:spacing w:after="120" w:line="320" w:lineRule="auto"/>
        <w:jc w:val="both"/>
      </w:pPr>
      <w:r>
        <w:rPr>
          <w:rFonts w:ascii="Newsreader" w:hAnsi="Newsreader" w:cs="Newsreader"/>
          <w:b w:val="0"/>
          <w:i w:val="0"/>
          <w:color w:val="161412"/>
        </w:rPr>
        <w:t>Un contacto se siente como ataque. Una consolidación se siente como asentamiento. Una señal se siente como irrupción. Una aparición se siente como entrada de presencia. Un cambio de contexto se siente como cruce de umbral. Un sostenimiento se siente como continuidad. Una manipulación se siente como trayectoria.</w:t>
      </w:r>
    </w:p>
    <w:p>
      <w:pPr>
        <w:spacing w:after="120" w:line="320" w:lineRule="auto"/>
        <w:jc w:val="both"/>
      </w:pPr>
      <w:r>
        <w:rPr>
          <w:rFonts w:ascii="Newsreader" w:hAnsi="Newsreader" w:cs="Newsreader"/>
          <w:b w:val="0"/>
          <w:i w:val="0"/>
          <w:color w:val="161412"/>
        </w:rPr>
        <w:t>La temporalidad no es decoración. Es parte de la semántica.</w:t>
      </w:r>
    </w:p>
    <w:p>
      <w:pPr>
        <w:spacing w:before="320" w:after="40"/>
      </w:pPr>
      <w:r>
        <w:rPr>
          <w:rFonts w:ascii="IBM Plex Sans" w:hAnsi="IBM Plex Sans" w:cs="IBM Plex Sans"/>
          <w:b/>
          <w:color w:val="1F3A5F"/>
          <w:sz w:val="18"/>
        </w:rPr>
        <w:t>§ 8</w:t>
      </w:r>
    </w:p>
    <w:p>
      <w:pPr>
        <w:spacing w:after="160" w:line="240" w:lineRule="auto"/>
      </w:pPr>
      <w:r>
        <w:rPr>
          <w:rFonts w:ascii="Newsreader" w:hAnsi="Newsreader" w:cs="Newsreader"/>
          <w:color w:val="161412"/>
          <w:sz w:val="38"/>
        </w:rPr>
        <w:t>El evento tiene granularidad</w:t>
      </w:r>
    </w:p>
    <w:p>
      <w:pPr>
        <w:spacing w:after="120" w:line="320" w:lineRule="auto"/>
        <w:jc w:val="both"/>
      </w:pPr>
      <w:r>
        <w:rPr>
          <w:rFonts w:ascii="Newsreader" w:hAnsi="Newsreader" w:cs="Newsreader"/>
          <w:b w:val="0"/>
          <w:i w:val="0"/>
          <w:color w:val="161412"/>
        </w:rPr>
        <w:t>Los eventos pueden observarse a distintas escalas. A escala pequeña, un botón responde al contacto. A escala media, una operación se inicia. A escala de flujo, un usuario completa un proceso. La gramática necesita permitir todos los niveles, pero sin mezclarlos.</w:t>
      </w:r>
    </w:p>
    <w:p>
      <w:pPr>
        <w:spacing w:after="120" w:line="320" w:lineRule="auto"/>
        <w:jc w:val="both"/>
      </w:pPr>
      <w:r>
        <w:rPr>
          <w:rFonts w:ascii="Newsreader" w:hAnsi="Newsreader" w:cs="Newsreader"/>
          <w:b w:val="0"/>
          <w:i w:val="0"/>
          <w:color w:val="161412"/>
        </w:rPr>
        <w:t>Conviene distinguir entre microeventos (cambios inmediatos), eventos compuestos (varias fases), secuencias semánticas (encadenamientos de familias distintas) y resultados de la acción (estabilización del nuevo contexto).</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No todos los eventos tienen el mismo tamaño. Algunos son microeventos; otros son secuencias completas de transformación.</w:t>
      </w:r>
    </w:p>
    <w:p>
      <w:pPr>
        <w:spacing w:before="320" w:after="40"/>
      </w:pPr>
      <w:r>
        <w:rPr>
          <w:rFonts w:ascii="IBM Plex Sans" w:hAnsi="IBM Plex Sans" w:cs="IBM Plex Sans"/>
          <w:b/>
          <w:color w:val="1F3A5F"/>
          <w:sz w:val="18"/>
        </w:rPr>
        <w:t>§ 9</w:t>
      </w:r>
    </w:p>
    <w:p>
      <w:pPr>
        <w:spacing w:after="160" w:line="240" w:lineRule="auto"/>
      </w:pPr>
      <w:r>
        <w:rPr>
          <w:rFonts w:ascii="Newsreader" w:hAnsi="Newsreader" w:cs="Newsreader"/>
          <w:color w:val="161412"/>
          <w:sz w:val="38"/>
        </w:rPr>
        <w:t>El evento tiene origen</w:t>
      </w:r>
    </w:p>
    <w:p>
      <w:pPr>
        <w:spacing w:after="120" w:line="320" w:lineRule="auto"/>
        <w:jc w:val="both"/>
      </w:pPr>
      <w:r>
        <w:rPr>
          <w:rFonts w:ascii="Newsreader" w:hAnsi="Newsreader" w:cs="Newsreader"/>
          <w:b w:val="0"/>
          <w:i w:val="0"/>
          <w:color w:val="161412"/>
        </w:rPr>
        <w:t>Un evento puede estar iniciado por el usuario o por el sistema. Cuando el usuario inicia, la interfaz debe preservar la relación causal entre acción y respuesta. Cuando el sistema inicia, la cuestión principal es atención: el usuario necesita saber por qué algo aparece o por qué se interrumpe el flujo.</w:t>
      </w:r>
    </w:p>
    <w:p>
      <w:pPr>
        <w:spacing w:after="200" w:before="40"/>
      </w:pPr>
      <w:r>
        <w:rPr>
          <w:rFonts w:ascii="IBM Plex Sans" w:hAnsi="IBM Plex Sans" w:cs="IBM Plex Sans"/>
          <w:b/>
          <w:color w:val="1F3A5F"/>
          <w:sz w:val="17"/>
        </w:rPr>
        <w:t xml:space="preserve">TABLA 4.3   </w:t>
      </w:r>
      <w:r>
        <w:rPr>
          <w:rFonts w:ascii="IBM Plex Sans" w:hAnsi="IBM Plex Sans" w:cs="IBM Plex Sans"/>
          <w:color w:val="3A352F"/>
          <w:sz w:val="18"/>
        </w:rPr>
        <w:t xml:space="preserve">Origen del evento</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079"/>
        <w:gridCol w:w="2079"/>
        <w:gridCol w:w="2079"/>
        <w:gridCol w:w="2079"/>
      </w:tblGrid>
      <w:tr>
        <w:tc>
          <w:tcPr>
            <w:tcW w:type="dxa" w:w="2079"/>
            <w:shd w:val="clear" w:color="auto" w:fill="EAE4D8"/>
          </w:tcPr>
          <w:p>
            <w:pPr>
              <w:spacing w:after="40"/>
            </w:pPr>
            <w:r>
              <w:rPr>
                <w:sz w:val="17"/>
              </w:rPr>
            </w:r>
            <w:r>
              <w:rPr>
                <w:rFonts w:ascii="IBM Plex Sans" w:hAnsi="IBM Plex Sans" w:cs="IBM Plex Sans"/>
                <w:b/>
                <w:i w:val="0"/>
                <w:color w:val="1F3A5F"/>
                <w:sz w:val="17"/>
              </w:rPr>
              <w:t>ORIGEN</w:t>
            </w:r>
          </w:p>
        </w:tc>
        <w:tc>
          <w:tcPr>
            <w:tcW w:type="dxa" w:w="2079"/>
            <w:shd w:val="clear" w:color="auto" w:fill="EAE4D8"/>
          </w:tcPr>
          <w:p>
            <w:pPr>
              <w:spacing w:after="40"/>
            </w:pPr>
            <w:r>
              <w:rPr>
                <w:sz w:val="17"/>
              </w:rPr>
            </w:r>
            <w:r>
              <w:rPr>
                <w:rFonts w:ascii="IBM Plex Sans" w:hAnsi="IBM Plex Sans" w:cs="IBM Plex Sans"/>
                <w:b/>
                <w:i w:val="0"/>
                <w:color w:val="1F3A5F"/>
                <w:sz w:val="17"/>
              </w:rPr>
              <w:t>PREGUNTA DEL USUARIO</w:t>
            </w:r>
          </w:p>
        </w:tc>
        <w:tc>
          <w:tcPr>
            <w:tcW w:type="dxa" w:w="2079"/>
            <w:shd w:val="clear" w:color="auto" w:fill="EAE4D8"/>
          </w:tcPr>
          <w:p>
            <w:pPr>
              <w:spacing w:after="40"/>
            </w:pPr>
            <w:r>
              <w:rPr>
                <w:sz w:val="17"/>
              </w:rPr>
            </w:r>
            <w:r>
              <w:rPr>
                <w:rFonts w:ascii="IBM Plex Sans" w:hAnsi="IBM Plex Sans" w:cs="IBM Plex Sans"/>
                <w:b/>
                <w:i w:val="0"/>
                <w:color w:val="1F3A5F"/>
                <w:sz w:val="17"/>
              </w:rPr>
              <w:t>EJEMPLO</w:t>
            </w:r>
          </w:p>
        </w:tc>
        <w:tc>
          <w:tcPr>
            <w:tcW w:type="dxa" w:w="2079"/>
            <w:shd w:val="clear" w:color="auto" w:fill="EAE4D8"/>
          </w:tcPr>
          <w:p>
            <w:pPr>
              <w:spacing w:after="40"/>
            </w:pPr>
            <w:r>
              <w:rPr>
                <w:sz w:val="17"/>
              </w:rPr>
            </w:r>
            <w:r>
              <w:rPr>
                <w:rFonts w:ascii="IBM Plex Sans" w:hAnsi="IBM Plex Sans" w:cs="IBM Plex Sans"/>
                <w:b/>
                <w:i w:val="0"/>
                <w:color w:val="1F3A5F"/>
                <w:sz w:val="17"/>
              </w:rPr>
              <w:t>RIESGO</w:t>
            </w:r>
          </w:p>
        </w:tc>
      </w:tr>
      <w:tr>
        <w:tc>
          <w:tcPr>
            <w:tcW w:type="dxa" w:w="2079"/>
          </w:tcPr>
          <w:p>
            <w:pPr>
              <w:spacing w:after="40"/>
            </w:pPr>
            <w:r>
              <w:rPr>
                <w:sz w:val="17"/>
              </w:rPr>
            </w:r>
            <w:r>
              <w:rPr>
                <w:rFonts w:ascii="IBM Plex Sans" w:hAnsi="IBM Plex Sans" w:cs="IBM Plex Sans"/>
                <w:b w:val="0"/>
                <w:i w:val="0"/>
                <w:color w:val="161412"/>
                <w:sz w:val="17"/>
              </w:rPr>
              <w:t>Usuario</w:t>
            </w:r>
          </w:p>
        </w:tc>
        <w:tc>
          <w:tcPr>
            <w:tcW w:type="dxa" w:w="2079"/>
          </w:tcPr>
          <w:p>
            <w:pPr>
              <w:spacing w:after="40"/>
            </w:pPr>
            <w:r>
              <w:rPr>
                <w:sz w:val="17"/>
              </w:rPr>
            </w:r>
            <w:r>
              <w:rPr>
                <w:rFonts w:ascii="IBM Plex Sans" w:hAnsi="IBM Plex Sans" w:cs="IBM Plex Sans"/>
                <w:b w:val="0"/>
                <w:i w:val="0"/>
                <w:color w:val="161412"/>
                <w:sz w:val="17"/>
              </w:rPr>
              <w:t>¿Mi acción tuvo efecto?</w:t>
            </w:r>
          </w:p>
        </w:tc>
        <w:tc>
          <w:tcPr>
            <w:tcW w:type="dxa" w:w="2079"/>
          </w:tcPr>
          <w:p>
            <w:pPr>
              <w:spacing w:after="40"/>
            </w:pPr>
            <w:r>
              <w:rPr>
                <w:sz w:val="17"/>
              </w:rPr>
            </w:r>
            <w:r>
              <w:rPr>
                <w:rFonts w:ascii="IBM Plex Sans" w:hAnsi="IBM Plex Sans" w:cs="IBM Plex Sans"/>
                <w:b w:val="0"/>
                <w:i w:val="0"/>
                <w:color w:val="161412"/>
                <w:sz w:val="17"/>
              </w:rPr>
              <w:t>Pulsar, arrastrar, seleccionar</w:t>
            </w:r>
          </w:p>
        </w:tc>
        <w:tc>
          <w:tcPr>
            <w:tcW w:type="dxa" w:w="2079"/>
          </w:tcPr>
          <w:p>
            <w:pPr>
              <w:spacing w:after="40"/>
            </w:pPr>
            <w:r>
              <w:rPr>
                <w:sz w:val="17"/>
              </w:rPr>
            </w:r>
            <w:r>
              <w:rPr>
                <w:rFonts w:ascii="IBM Plex Sans" w:hAnsi="IBM Plex Sans" w:cs="IBM Plex Sans"/>
                <w:b w:val="0"/>
                <w:i w:val="0"/>
                <w:color w:val="161412"/>
                <w:sz w:val="17"/>
              </w:rPr>
              <w:t>Pérdida de agencia</w:t>
            </w:r>
          </w:p>
        </w:tc>
      </w:tr>
      <w:tr>
        <w:tc>
          <w:tcPr>
            <w:tcW w:type="dxa" w:w="2079"/>
          </w:tcPr>
          <w:p>
            <w:pPr>
              <w:spacing w:after="40"/>
            </w:pPr>
            <w:r>
              <w:rPr>
                <w:sz w:val="17"/>
              </w:rPr>
            </w:r>
            <w:r>
              <w:rPr>
                <w:rFonts w:ascii="IBM Plex Sans" w:hAnsi="IBM Plex Sans" w:cs="IBM Plex Sans"/>
                <w:b w:val="0"/>
                <w:i w:val="0"/>
                <w:color w:val="161412"/>
                <w:sz w:val="17"/>
              </w:rPr>
              <w:t>Sistema</w:t>
            </w:r>
          </w:p>
        </w:tc>
        <w:tc>
          <w:tcPr>
            <w:tcW w:type="dxa" w:w="2079"/>
          </w:tcPr>
          <w:p>
            <w:pPr>
              <w:spacing w:after="40"/>
            </w:pPr>
            <w:r>
              <w:rPr>
                <w:sz w:val="17"/>
              </w:rPr>
            </w:r>
            <w:r>
              <w:rPr>
                <w:rFonts w:ascii="IBM Plex Sans" w:hAnsi="IBM Plex Sans" w:cs="IBM Plex Sans"/>
                <w:b w:val="0"/>
                <w:i w:val="0"/>
                <w:color w:val="161412"/>
                <w:sz w:val="17"/>
              </w:rPr>
              <w:t>¿Por qué ocurre esto ahora?</w:t>
            </w:r>
          </w:p>
        </w:tc>
        <w:tc>
          <w:tcPr>
            <w:tcW w:type="dxa" w:w="2079"/>
          </w:tcPr>
          <w:p>
            <w:pPr>
              <w:spacing w:after="40"/>
            </w:pPr>
            <w:r>
              <w:rPr>
                <w:sz w:val="17"/>
              </w:rPr>
            </w:r>
            <w:r>
              <w:rPr>
                <w:rFonts w:ascii="IBM Plex Sans" w:hAnsi="IBM Plex Sans" w:cs="IBM Plex Sans"/>
                <w:b w:val="0"/>
                <w:i w:val="0"/>
                <w:color w:val="161412"/>
                <w:sz w:val="17"/>
              </w:rPr>
              <w:t>Notificación, alerta, sesión expirada</w:t>
            </w:r>
          </w:p>
        </w:tc>
        <w:tc>
          <w:tcPr>
            <w:tcW w:type="dxa" w:w="2079"/>
          </w:tcPr>
          <w:p>
            <w:pPr>
              <w:spacing w:after="40"/>
            </w:pPr>
            <w:r>
              <w:rPr>
                <w:sz w:val="17"/>
              </w:rPr>
            </w:r>
            <w:r>
              <w:rPr>
                <w:rFonts w:ascii="IBM Plex Sans" w:hAnsi="IBM Plex Sans" w:cs="IBM Plex Sans"/>
                <w:b w:val="0"/>
                <w:i w:val="0"/>
                <w:color w:val="161412"/>
                <w:sz w:val="17"/>
              </w:rPr>
              <w:t>Interrupción o sorpresa</w:t>
            </w:r>
          </w:p>
        </w:tc>
      </w:tr>
      <w:tr>
        <w:tc>
          <w:tcPr>
            <w:tcW w:type="dxa" w:w="2079"/>
          </w:tcPr>
          <w:p>
            <w:pPr>
              <w:spacing w:after="40"/>
            </w:pPr>
            <w:r>
              <w:rPr>
                <w:sz w:val="17"/>
              </w:rPr>
            </w:r>
            <w:r>
              <w:rPr>
                <w:rFonts w:ascii="IBM Plex Sans" w:hAnsi="IBM Plex Sans" w:cs="IBM Plex Sans"/>
                <w:b w:val="0"/>
                <w:i w:val="0"/>
                <w:color w:val="161412"/>
                <w:sz w:val="17"/>
              </w:rPr>
              <w:t>Mixto</w:t>
            </w:r>
          </w:p>
        </w:tc>
        <w:tc>
          <w:tcPr>
            <w:tcW w:type="dxa" w:w="2079"/>
          </w:tcPr>
          <w:p>
            <w:pPr>
              <w:spacing w:after="40"/>
            </w:pPr>
            <w:r>
              <w:rPr>
                <w:sz w:val="17"/>
              </w:rPr>
            </w:r>
            <w:r>
              <w:rPr>
                <w:rFonts w:ascii="IBM Plex Sans" w:hAnsi="IBM Plex Sans" w:cs="IBM Plex Sans"/>
                <w:b w:val="0"/>
                <w:i w:val="0"/>
                <w:color w:val="161412"/>
                <w:sz w:val="17"/>
              </w:rPr>
              <w:t>¿Qué parte depende de mí?</w:t>
            </w:r>
          </w:p>
        </w:tc>
        <w:tc>
          <w:tcPr>
            <w:tcW w:type="dxa" w:w="2079"/>
          </w:tcPr>
          <w:p>
            <w:pPr>
              <w:spacing w:after="40"/>
            </w:pPr>
            <w:r>
              <w:rPr>
                <w:sz w:val="17"/>
              </w:rPr>
            </w:r>
            <w:r>
              <w:rPr>
                <w:rFonts w:ascii="IBM Plex Sans" w:hAnsi="IBM Plex Sans" w:cs="IBM Plex Sans"/>
                <w:b w:val="0"/>
                <w:i w:val="0"/>
                <w:color w:val="161412"/>
                <w:sz w:val="17"/>
              </w:rPr>
              <w:t>Guardar con validación, subir archivo</w:t>
            </w:r>
          </w:p>
        </w:tc>
        <w:tc>
          <w:tcPr>
            <w:tcW w:type="dxa" w:w="2079"/>
          </w:tcPr>
          <w:p>
            <w:pPr>
              <w:spacing w:after="40"/>
            </w:pPr>
            <w:r>
              <w:rPr>
                <w:sz w:val="17"/>
              </w:rPr>
            </w:r>
            <w:r>
              <w:rPr>
                <w:rFonts w:ascii="IBM Plex Sans" w:hAnsi="IBM Plex Sans" w:cs="IBM Plex Sans"/>
                <w:b w:val="0"/>
                <w:i w:val="0"/>
                <w:color w:val="161412"/>
                <w:sz w:val="17"/>
              </w:rPr>
              <w:t>Ambigüedad causal</w:t>
            </w:r>
          </w:p>
        </w:tc>
      </w:tr>
    </w:tbl>
    <w:p>
      <w:pPr>
        <w:spacing w:before="320" w:after="40"/>
      </w:pPr>
      <w:r>
        <w:rPr>
          <w:rFonts w:ascii="IBM Plex Sans" w:hAnsi="IBM Plex Sans" w:cs="IBM Plex Sans"/>
          <w:b/>
          <w:color w:val="1F3A5F"/>
          <w:sz w:val="18"/>
        </w:rPr>
        <w:t>§ 10</w:t>
      </w:r>
    </w:p>
    <w:p>
      <w:pPr>
        <w:spacing w:after="160" w:line="240" w:lineRule="auto"/>
      </w:pPr>
      <w:r>
        <w:rPr>
          <w:rFonts w:ascii="Newsreader" w:hAnsi="Newsreader" w:cs="Newsreader"/>
          <w:color w:val="161412"/>
          <w:sz w:val="38"/>
        </w:rPr>
        <w:t>El evento tiene dirección</w:t>
      </w:r>
    </w:p>
    <w:p>
      <w:pPr>
        <w:spacing w:after="120" w:line="320" w:lineRule="auto"/>
        <w:jc w:val="both"/>
      </w:pPr>
      <w:r>
        <w:rPr>
          <w:rFonts w:ascii="Newsreader" w:hAnsi="Newsreader" w:cs="Newsreader"/>
          <w:b w:val="0"/>
          <w:i w:val="0"/>
          <w:color w:val="161412"/>
        </w:rPr>
        <w:t>Algunos eventos son reversibles. Otros no. Algunos abren posibilidades. Otros las cierran. Abrir no significa lo mismo que cerrar. Seleccionar no significa lo mismo que deseleccionar. Eliminar no significa lo mismo que ocultar.</w:t>
      </w:r>
    </w:p>
    <w:p>
      <w:pPr>
        <w:spacing w:after="120" w:line="320" w:lineRule="auto"/>
        <w:jc w:val="both"/>
      </w:pPr>
      <w:r>
        <w:rPr>
          <w:rFonts w:ascii="Newsreader" w:hAnsi="Newsreader" w:cs="Newsreader"/>
          <w:b w:val="0"/>
          <w:i w:val="0"/>
          <w:color w:val="161412"/>
        </w:rPr>
        <w:t>Muchas implementaciones tratan estas parejas como simples reversos animados. Pero perceptivamente eso es insuficiente. Entrar y salir no son la misma narración en sentido contrario.</w:t>
      </w:r>
    </w:p>
    <w:p>
      <w:pPr>
        <w:spacing w:before="200" w:after="60"/>
        <w:jc w:val="center"/>
      </w:pPr>
      <w:r>
        <w:drawing>
          <wp:inline xmlns:a="http://schemas.openxmlformats.org/drawingml/2006/main" xmlns:pic="http://schemas.openxmlformats.org/drawingml/2006/picture">
            <wp:extent cx="5029200" cy="2514600"/>
            <wp:docPr id="21" name="Picture 21"/>
            <wp:cNvGraphicFramePr>
              <a:graphicFrameLocks noChangeAspect="1"/>
            </wp:cNvGraphicFramePr>
            <a:graphic>
              <a:graphicData uri="http://schemas.openxmlformats.org/drawingml/2006/picture">
                <pic:pic>
                  <pic:nvPicPr>
                    <pic:cNvPr id="0" name="figura-4-5.png"/>
                    <pic:cNvPicPr/>
                  </pic:nvPicPr>
                  <pic:blipFill>
                    <a:blip r:embed="rId29"/>
                    <a:stretch>
                      <a:fillRect/>
                    </a:stretch>
                  </pic:blipFill>
                  <pic:spPr>
                    <a:xfrm>
                      <a:off x="0" y="0"/>
                      <a:ext cx="5029200" cy="2514600"/>
                    </a:xfrm>
                    <a:prstGeom prst="rect"/>
                  </pic:spPr>
                </pic:pic>
              </a:graphicData>
            </a:graphic>
          </wp:inline>
        </w:drawing>
      </w:r>
    </w:p>
    <w:p>
      <w:pPr>
        <w:spacing w:before="320" w:after="40"/>
      </w:pPr>
      <w:r>
        <w:rPr>
          <w:rFonts w:ascii="IBM Plex Sans" w:hAnsi="IBM Plex Sans" w:cs="IBM Plex Sans"/>
          <w:b/>
          <w:color w:val="1F3A5F"/>
          <w:sz w:val="18"/>
        </w:rPr>
        <w:t>§ 11</w:t>
      </w:r>
    </w:p>
    <w:p>
      <w:pPr>
        <w:spacing w:after="160" w:line="240" w:lineRule="auto"/>
      </w:pPr>
      <w:r>
        <w:rPr>
          <w:rFonts w:ascii="Newsreader" w:hAnsi="Newsreader" w:cs="Newsreader"/>
          <w:color w:val="161412"/>
          <w:sz w:val="38"/>
        </w:rPr>
        <w:t>El evento tiene valencia o estructura</w:t>
      </w:r>
    </w:p>
    <w:p>
      <w:pPr>
        <w:spacing w:after="120" w:line="320" w:lineRule="auto"/>
        <w:jc w:val="both"/>
      </w:pPr>
      <w:r>
        <w:rPr>
          <w:rFonts w:ascii="Newsreader" w:hAnsi="Newsreader" w:cs="Newsreader"/>
          <w:b w:val="0"/>
          <w:i w:val="0"/>
          <w:color w:val="161412"/>
        </w:rPr>
        <w:t>Algunos eventos son evaluables. Comunican algo que puede leerse como bueno, malo, urgente, grave, reparable o perdido. Una confirmación puede ser positiva. Una alerta puede ser amenazante. Un fallo puede exigir corrección.</w:t>
      </w:r>
    </w:p>
    <w:p>
      <w:pPr>
        <w:spacing w:after="120" w:line="320" w:lineRule="auto"/>
        <w:jc w:val="both"/>
      </w:pPr>
      <w:r>
        <w:rPr>
          <w:rFonts w:ascii="Newsreader" w:hAnsi="Newsreader" w:cs="Newsreader"/>
          <w:b w:val="0"/>
          <w:i w:val="0"/>
          <w:color w:val="161412"/>
        </w:rPr>
        <w:t>Otros eventos son estructurales. No comunican por sí mismos una evaluación, sino una reorganización del campo perceptivo: algo aparece, se expande, cambia de plano, desplaza el foco, sostiene una operación.</w:t>
      </w:r>
    </w:p>
    <w:p>
      <w:pPr>
        <w:spacing w:after="120" w:line="320" w:lineRule="auto"/>
        <w:jc w:val="both"/>
      </w:pPr>
      <w:r>
        <w:rPr>
          <w:rFonts w:ascii="Newsreader" w:hAnsi="Newsreader" w:cs="Newsreader"/>
          <w:b w:val="0"/>
          <w:i w:val="0"/>
          <w:color w:val="161412"/>
        </w:rPr>
        <w:t>Hay eventos que son mensaje. Hay eventos que son marco.</w:t>
      </w:r>
    </w:p>
    <w:p>
      <w:pPr>
        <w:spacing w:after="200" w:before="40"/>
      </w:pPr>
      <w:r>
        <w:rPr>
          <w:rFonts w:ascii="IBM Plex Sans" w:hAnsi="IBM Plex Sans" w:cs="IBM Plex Sans"/>
          <w:b/>
          <w:color w:val="1F3A5F"/>
          <w:sz w:val="17"/>
        </w:rPr>
        <w:t xml:space="preserve">TABLA 4.4   </w:t>
      </w:r>
      <w:r>
        <w:rPr>
          <w:rFonts w:ascii="IBM Plex Sans" w:hAnsi="IBM Plex Sans" w:cs="IBM Plex Sans"/>
          <w:color w:val="3A352F"/>
          <w:sz w:val="18"/>
        </w:rPr>
        <w:t xml:space="preserve">Eventos evaluables y eventos estructurales</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079"/>
        <w:gridCol w:w="2079"/>
        <w:gridCol w:w="2079"/>
        <w:gridCol w:w="2079"/>
      </w:tblGrid>
      <w:tr>
        <w:tc>
          <w:tcPr>
            <w:tcW w:type="dxa" w:w="2079"/>
            <w:shd w:val="clear" w:color="auto" w:fill="EAE4D8"/>
          </w:tcPr>
          <w:p>
            <w:pPr>
              <w:spacing w:after="40"/>
            </w:pPr>
            <w:r>
              <w:rPr>
                <w:sz w:val="17"/>
              </w:rPr>
            </w:r>
            <w:r>
              <w:rPr>
                <w:rFonts w:ascii="IBM Plex Sans" w:hAnsi="IBM Plex Sans" w:cs="IBM Plex Sans"/>
                <w:b/>
                <w:i w:val="0"/>
                <w:color w:val="1F3A5F"/>
                <w:sz w:val="17"/>
              </w:rPr>
              <w:t>TIPO</w:t>
            </w:r>
          </w:p>
        </w:tc>
        <w:tc>
          <w:tcPr>
            <w:tcW w:type="dxa" w:w="2079"/>
            <w:shd w:val="clear" w:color="auto" w:fill="EAE4D8"/>
          </w:tcPr>
          <w:p>
            <w:pPr>
              <w:spacing w:after="40"/>
            </w:pPr>
            <w:r>
              <w:rPr>
                <w:sz w:val="17"/>
              </w:rPr>
            </w:r>
            <w:r>
              <w:rPr>
                <w:rFonts w:ascii="IBM Plex Sans" w:hAnsi="IBM Plex Sans" w:cs="IBM Plex Sans"/>
                <w:b/>
                <w:i w:val="0"/>
                <w:color w:val="1F3A5F"/>
                <w:sz w:val="17"/>
              </w:rPr>
              <w:t>QUÉ HACE</w:t>
            </w:r>
          </w:p>
        </w:tc>
        <w:tc>
          <w:tcPr>
            <w:tcW w:type="dxa" w:w="2079"/>
            <w:shd w:val="clear" w:color="auto" w:fill="EAE4D8"/>
          </w:tcPr>
          <w:p>
            <w:pPr>
              <w:spacing w:after="40"/>
            </w:pPr>
            <w:r>
              <w:rPr>
                <w:sz w:val="17"/>
              </w:rPr>
            </w:r>
            <w:r>
              <w:rPr>
                <w:rFonts w:ascii="IBM Plex Sans" w:hAnsi="IBM Plex Sans" w:cs="IBM Plex Sans"/>
                <w:b/>
                <w:i w:val="0"/>
                <w:color w:val="1F3A5F"/>
                <w:sz w:val="17"/>
              </w:rPr>
              <w:t>EJEMPLO</w:t>
            </w:r>
          </w:p>
        </w:tc>
        <w:tc>
          <w:tcPr>
            <w:tcW w:type="dxa" w:w="2079"/>
            <w:shd w:val="clear" w:color="auto" w:fill="EAE4D8"/>
          </w:tcPr>
          <w:p>
            <w:pPr>
              <w:spacing w:after="40"/>
            </w:pPr>
            <w:r>
              <w:rPr>
                <w:sz w:val="17"/>
              </w:rPr>
            </w:r>
            <w:r>
              <w:rPr>
                <w:rFonts w:ascii="IBM Plex Sans" w:hAnsi="IBM Plex Sans" w:cs="IBM Plex Sans"/>
                <w:b/>
                <w:i w:val="0"/>
                <w:color w:val="1F3A5F"/>
                <w:sz w:val="17"/>
              </w:rPr>
              <w:t>¿ACEPTA INTENT?</w:t>
            </w:r>
          </w:p>
        </w:tc>
      </w:tr>
      <w:tr>
        <w:tc>
          <w:tcPr>
            <w:tcW w:type="dxa" w:w="2079"/>
          </w:tcPr>
          <w:p>
            <w:pPr>
              <w:spacing w:after="40"/>
            </w:pPr>
            <w:r>
              <w:rPr>
                <w:sz w:val="17"/>
              </w:rPr>
            </w:r>
            <w:r>
              <w:rPr>
                <w:rFonts w:ascii="IBM Plex Sans" w:hAnsi="IBM Plex Sans" w:cs="IBM Plex Sans"/>
                <w:b w:val="0"/>
                <w:i w:val="0"/>
                <w:color w:val="161412"/>
                <w:sz w:val="17"/>
              </w:rPr>
              <w:t>Evaluable</w:t>
            </w:r>
          </w:p>
        </w:tc>
        <w:tc>
          <w:tcPr>
            <w:tcW w:type="dxa" w:w="2079"/>
          </w:tcPr>
          <w:p>
            <w:pPr>
              <w:spacing w:after="40"/>
            </w:pPr>
            <w:r>
              <w:rPr>
                <w:sz w:val="17"/>
              </w:rPr>
            </w:r>
            <w:r>
              <w:rPr>
                <w:rFonts w:ascii="IBM Plex Sans" w:hAnsi="IBM Plex Sans" w:cs="IBM Plex Sans"/>
                <w:b w:val="0"/>
                <w:i w:val="0"/>
                <w:color w:val="161412"/>
                <w:sz w:val="17"/>
              </w:rPr>
              <w:t>Comunica resultado, riesgo, pérdida o logro</w:t>
            </w:r>
          </w:p>
        </w:tc>
        <w:tc>
          <w:tcPr>
            <w:tcW w:type="dxa" w:w="2079"/>
          </w:tcPr>
          <w:p>
            <w:pPr>
              <w:spacing w:after="40"/>
            </w:pPr>
            <w:r>
              <w:rPr>
                <w:sz w:val="17"/>
              </w:rPr>
            </w:r>
            <w:r>
              <w:rPr>
                <w:rFonts w:ascii="IBM Plex Sans" w:hAnsi="IBM Plex Sans" w:cs="IBM Plex Sans"/>
                <w:b w:val="0"/>
                <w:i w:val="0"/>
                <w:color w:val="161412"/>
                <w:sz w:val="17"/>
              </w:rPr>
              <w:t>Confirmación, alerta, error, eliminación</w:t>
            </w:r>
          </w:p>
        </w:tc>
        <w:tc>
          <w:tcPr>
            <w:tcW w:type="dxa" w:w="2079"/>
          </w:tcPr>
          <w:p>
            <w:pPr>
              <w:spacing w:after="40"/>
            </w:pPr>
            <w:r>
              <w:rPr>
                <w:sz w:val="17"/>
              </w:rPr>
            </w:r>
            <w:r>
              <w:rPr>
                <w:rFonts w:ascii="IBM Plex Sans" w:hAnsi="IBM Plex Sans" w:cs="IBM Plex Sans"/>
                <w:b w:val="0"/>
                <w:i w:val="0"/>
                <w:color w:val="161412"/>
                <w:sz w:val="17"/>
              </w:rPr>
              <w:t>Sí</w:t>
            </w:r>
          </w:p>
        </w:tc>
      </w:tr>
      <w:tr>
        <w:tc>
          <w:tcPr>
            <w:tcW w:type="dxa" w:w="2079"/>
          </w:tcPr>
          <w:p>
            <w:pPr>
              <w:spacing w:after="40"/>
            </w:pPr>
            <w:r>
              <w:rPr>
                <w:sz w:val="17"/>
              </w:rPr>
            </w:r>
            <w:r>
              <w:rPr>
                <w:rFonts w:ascii="IBM Plex Sans" w:hAnsi="IBM Plex Sans" w:cs="IBM Plex Sans"/>
                <w:b w:val="0"/>
                <w:i w:val="0"/>
                <w:color w:val="161412"/>
                <w:sz w:val="17"/>
              </w:rPr>
              <w:t>Estructural</w:t>
            </w:r>
          </w:p>
        </w:tc>
        <w:tc>
          <w:tcPr>
            <w:tcW w:type="dxa" w:w="2079"/>
          </w:tcPr>
          <w:p>
            <w:pPr>
              <w:spacing w:after="40"/>
            </w:pPr>
            <w:r>
              <w:rPr>
                <w:sz w:val="17"/>
              </w:rPr>
            </w:r>
            <w:r>
              <w:rPr>
                <w:rFonts w:ascii="IBM Plex Sans" w:hAnsi="IBM Plex Sans" w:cs="IBM Plex Sans"/>
                <w:b w:val="0"/>
                <w:i w:val="0"/>
                <w:color w:val="161412"/>
                <w:sz w:val="17"/>
              </w:rPr>
              <w:t>Organiza presencia, foco, marco o continuidad</w:t>
            </w:r>
          </w:p>
        </w:tc>
        <w:tc>
          <w:tcPr>
            <w:tcW w:type="dxa" w:w="2079"/>
          </w:tcPr>
          <w:p>
            <w:pPr>
              <w:spacing w:after="40"/>
            </w:pPr>
            <w:r>
              <w:rPr>
                <w:sz w:val="17"/>
              </w:rPr>
            </w:r>
            <w:r>
              <w:rPr>
                <w:rFonts w:ascii="IBM Plex Sans" w:hAnsi="IBM Plex Sans" w:cs="IBM Plex Sans"/>
                <w:b w:val="0"/>
                <w:i w:val="0"/>
                <w:color w:val="161412"/>
                <w:sz w:val="17"/>
              </w:rPr>
              <w:t>Abrir, expandir, navegar, sostener</w:t>
            </w:r>
          </w:p>
        </w:tc>
        <w:tc>
          <w:tcPr>
            <w:tcW w:type="dxa" w:w="2079"/>
          </w:tcPr>
          <w:p>
            <w:pPr>
              <w:spacing w:after="40"/>
            </w:pPr>
            <w:r>
              <w:rPr>
                <w:sz w:val="17"/>
              </w:rPr>
            </w:r>
            <w:r>
              <w:rPr>
                <w:rFonts w:ascii="IBM Plex Sans" w:hAnsi="IBM Plex Sans" w:cs="IBM Plex Sans"/>
                <w:b w:val="0"/>
                <w:i w:val="0"/>
                <w:color w:val="161412"/>
                <w:sz w:val="17"/>
              </w:rPr>
              <w:t>Normalmente no</w:t>
            </w:r>
          </w:p>
        </w:tc>
      </w:tr>
      <w:tr>
        <w:tc>
          <w:tcPr>
            <w:tcW w:type="dxa" w:w="2079"/>
          </w:tcPr>
          <w:p>
            <w:pPr>
              <w:spacing w:after="40"/>
            </w:pPr>
            <w:r>
              <w:rPr>
                <w:sz w:val="17"/>
              </w:rPr>
            </w:r>
            <w:r>
              <w:rPr>
                <w:rFonts w:ascii="IBM Plex Sans" w:hAnsi="IBM Plex Sans" w:cs="IBM Plex Sans"/>
                <w:b w:val="0"/>
                <w:i w:val="0"/>
                <w:color w:val="161412"/>
                <w:sz w:val="17"/>
              </w:rPr>
              <w:t>Compuesto</w:t>
            </w:r>
          </w:p>
        </w:tc>
        <w:tc>
          <w:tcPr>
            <w:tcW w:type="dxa" w:w="2079"/>
          </w:tcPr>
          <w:p>
            <w:pPr>
              <w:spacing w:after="40"/>
            </w:pPr>
            <w:r>
              <w:rPr>
                <w:sz w:val="17"/>
              </w:rPr>
            </w:r>
            <w:r>
              <w:rPr>
                <w:rFonts w:ascii="IBM Plex Sans" w:hAnsi="IBM Plex Sans" w:cs="IBM Plex Sans"/>
                <w:b w:val="0"/>
                <w:i w:val="0"/>
                <w:color w:val="161412"/>
                <w:sz w:val="17"/>
              </w:rPr>
              <w:t>Combina marco y mensaje</w:t>
            </w:r>
          </w:p>
        </w:tc>
        <w:tc>
          <w:tcPr>
            <w:tcW w:type="dxa" w:w="2079"/>
          </w:tcPr>
          <w:p>
            <w:pPr>
              <w:spacing w:after="40"/>
            </w:pPr>
            <w:r>
              <w:rPr>
                <w:sz w:val="17"/>
              </w:rPr>
            </w:r>
            <w:r>
              <w:rPr>
                <w:rFonts w:ascii="IBM Plex Sans" w:hAnsi="IBM Plex Sans" w:cs="IBM Plex Sans"/>
                <w:b w:val="0"/>
                <w:i w:val="0"/>
                <w:color w:val="161412"/>
                <w:sz w:val="17"/>
              </w:rPr>
              <w:t>Modal de error, wizard con validación</w:t>
            </w:r>
          </w:p>
        </w:tc>
        <w:tc>
          <w:tcPr>
            <w:tcW w:type="dxa" w:w="2079"/>
          </w:tcPr>
          <w:p>
            <w:pPr>
              <w:spacing w:after="40"/>
            </w:pPr>
            <w:r>
              <w:rPr>
                <w:sz w:val="17"/>
              </w:rPr>
            </w:r>
            <w:r>
              <w:rPr>
                <w:rFonts w:ascii="IBM Plex Sans" w:hAnsi="IBM Plex Sans" w:cs="IBM Plex Sans"/>
                <w:b w:val="0"/>
                <w:i w:val="0"/>
                <w:color w:val="161412"/>
                <w:sz w:val="17"/>
              </w:rPr>
              <w:t>En el mensaje, no en el marco</w:t>
            </w:r>
          </w:p>
        </w:tc>
      </w:tr>
    </w:tbl>
    <w:p>
      <w:pPr>
        <w:spacing w:before="320" w:after="40"/>
      </w:pPr>
      <w:r>
        <w:rPr>
          <w:rFonts w:ascii="IBM Plex Sans" w:hAnsi="IBM Plex Sans" w:cs="IBM Plex Sans"/>
          <w:b/>
          <w:color w:val="1F3A5F"/>
          <w:sz w:val="18"/>
        </w:rPr>
        <w:t>§ 12</w:t>
      </w:r>
    </w:p>
    <w:p>
      <w:pPr>
        <w:spacing w:after="160" w:line="240" w:lineRule="auto"/>
      </w:pPr>
      <w:r>
        <w:rPr>
          <w:rFonts w:ascii="Newsreader" w:hAnsi="Newsreader" w:cs="Newsreader"/>
          <w:color w:val="161412"/>
          <w:sz w:val="38"/>
        </w:rPr>
        <w:t>El evento puede ser simple o compuesto</w:t>
      </w:r>
    </w:p>
    <w:p>
      <w:pPr>
        <w:spacing w:after="120" w:line="320" w:lineRule="auto"/>
        <w:jc w:val="both"/>
      </w:pPr>
      <w:r>
        <w:rPr>
          <w:rFonts w:ascii="Newsreader" w:hAnsi="Newsreader" w:cs="Newsreader"/>
          <w:b w:val="0"/>
          <w:i w:val="0"/>
          <w:color w:val="161412"/>
        </w:rPr>
        <w:t>Muchos eventos reales no pertenecen a una sola familia de forma pura. Son composiciones. Un modal de confirmación destructiva combina cambio de contexto y señal de amenaza. Un drag hacia una papelera combina manipulación y pérdida. Un guardado largo combina contacto, sostenimiento y consolidación.</w:t>
      </w:r>
    </w:p>
    <w:p>
      <w:pPr>
        <w:spacing w:before="200" w:after="60"/>
        <w:jc w:val="center"/>
      </w:pPr>
      <w:r>
        <w:drawing>
          <wp:inline xmlns:a="http://schemas.openxmlformats.org/drawingml/2006/main" xmlns:pic="http://schemas.openxmlformats.org/drawingml/2006/picture">
            <wp:extent cx="5029200" cy="2514600"/>
            <wp:docPr id="22" name="Picture 22"/>
            <wp:cNvGraphicFramePr>
              <a:graphicFrameLocks noChangeAspect="1"/>
            </wp:cNvGraphicFramePr>
            <a:graphic>
              <a:graphicData uri="http://schemas.openxmlformats.org/drawingml/2006/picture">
                <pic:pic>
                  <pic:nvPicPr>
                    <pic:cNvPr id="0" name="figura-4-6.png"/>
                    <pic:cNvPicPr/>
                  </pic:nvPicPr>
                  <pic:blipFill>
                    <a:blip r:embed="rId30"/>
                    <a:stretch>
                      <a:fillRect/>
                    </a:stretch>
                  </pic:blipFill>
                  <pic:spPr>
                    <a:xfrm>
                      <a:off x="0" y="0"/>
                      <a:ext cx="5029200" cy="2514600"/>
                    </a:xfrm>
                    <a:prstGeom prst="rect"/>
                  </pic:spPr>
                </pic:pic>
              </a:graphicData>
            </a:graphic>
          </wp:inline>
        </w:drawing>
      </w:r>
    </w:p>
    <w:p>
      <w:pPr>
        <w:spacing w:after="120" w:line="320" w:lineRule="auto"/>
        <w:jc w:val="both"/>
      </w:pPr>
      <w:r>
        <w:rPr>
          <w:rFonts w:ascii="Newsreader" w:hAnsi="Newsreader" w:cs="Newsreader"/>
          <w:b w:val="0"/>
          <w:i w:val="0"/>
          <w:color w:val="161412"/>
        </w:rPr>
        <w:t>Un evento compuesto debe poder descomponerse en eventos simples sin perder la unidad de experiencia.</w:t>
      </w:r>
    </w:p>
    <w:p>
      <w:pPr>
        <w:spacing w:before="320" w:after="40"/>
      </w:pPr>
      <w:r>
        <w:rPr>
          <w:rFonts w:ascii="IBM Plex Sans" w:hAnsi="IBM Plex Sans" w:cs="IBM Plex Sans"/>
          <w:b/>
          <w:color w:val="1F3A5F"/>
          <w:sz w:val="18"/>
        </w:rPr>
        <w:t>§ 13</w:t>
      </w:r>
    </w:p>
    <w:p>
      <w:pPr>
        <w:spacing w:after="160" w:line="240" w:lineRule="auto"/>
      </w:pPr>
      <w:r>
        <w:rPr>
          <w:rFonts w:ascii="Newsreader" w:hAnsi="Newsreader" w:cs="Newsreader"/>
          <w:color w:val="161412"/>
          <w:sz w:val="38"/>
        </w:rPr>
        <w:t>El evento tiene huella</w:t>
      </w:r>
    </w:p>
    <w:p>
      <w:pPr>
        <w:spacing w:after="120" w:line="320" w:lineRule="auto"/>
        <w:jc w:val="both"/>
      </w:pPr>
      <w:r>
        <w:rPr>
          <w:rFonts w:ascii="Newsreader" w:hAnsi="Newsreader" w:cs="Newsreader"/>
          <w:b w:val="0"/>
          <w:i w:val="0"/>
          <w:color w:val="161412"/>
        </w:rPr>
        <w:t>Un evento no termina siempre cuando acaba su animación. A veces deja un estado. A veces deja una marca visual. A veces deja una obligación. A veces deja una pérdida. A veces deja una posibilidad nueva.</w:t>
      </w:r>
    </w:p>
    <w:p>
      <w:pPr>
        <w:spacing w:after="120" w:line="320" w:lineRule="auto"/>
        <w:jc w:val="both"/>
      </w:pPr>
      <w:r>
        <w:rPr>
          <w:rFonts w:ascii="Newsreader" w:hAnsi="Newsreader" w:cs="Newsreader"/>
          <w:b w:val="0"/>
          <w:i w:val="0"/>
          <w:color w:val="161412"/>
        </w:rPr>
        <w:t>Conviene distinguir entre duración expresiva (el tiempo durante el cual el evento se vuelve perceptible), estado resultante (la condición que queda después), resultado de la acción (lo que cambia en el campo de acción) y huella semántica (el modo en que el evento sigue importando después de ocurrir).</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La duración de un evento no equivale a su importancia. Lo decisivo es la consecuencia que deja en el contexto operativo.</w:t>
      </w:r>
    </w:p>
    <w:p>
      <w:pPr>
        <w:spacing w:before="320" w:after="40"/>
      </w:pPr>
      <w:r>
        <w:rPr>
          <w:rFonts w:ascii="IBM Plex Sans" w:hAnsi="IBM Plex Sans" w:cs="IBM Plex Sans"/>
          <w:b/>
          <w:color w:val="1F3A5F"/>
          <w:sz w:val="18"/>
        </w:rPr>
        <w:t>§ 14</w:t>
      </w:r>
    </w:p>
    <w:p>
      <w:pPr>
        <w:spacing w:after="160" w:line="240" w:lineRule="auto"/>
      </w:pPr>
      <w:r>
        <w:rPr>
          <w:rFonts w:ascii="Newsreader" w:hAnsi="Newsreader" w:cs="Newsreader"/>
          <w:color w:val="161412"/>
          <w:sz w:val="38"/>
        </w:rPr>
        <w:t>El evento puede fallar</w:t>
      </w:r>
    </w:p>
    <w:p>
      <w:pPr>
        <w:spacing w:after="120" w:line="320" w:lineRule="auto"/>
        <w:jc w:val="both"/>
      </w:pPr>
      <w:r>
        <w:rPr>
          <w:rFonts w:ascii="Newsreader" w:hAnsi="Newsreader" w:cs="Newsreader"/>
          <w:b w:val="0"/>
          <w:i w:val="0"/>
          <w:color w:val="161412"/>
        </w:rPr>
        <w:t>Un evento falla cuando la transformación que intenta comunicar no llega al usuario con la claridad adecuada. Puede fallar por latencia, por indiferenciación, por exceso, por ambigüedad, por canal único, por incongruencia multicanal o por falsa valencia.</w:t>
      </w:r>
    </w:p>
    <w:p>
      <w:pPr>
        <w:spacing w:after="120" w:line="320" w:lineRule="auto"/>
        <w:jc w:val="both"/>
      </w:pPr>
      <w:r>
        <w:rPr>
          <w:rFonts w:ascii="Newsreader" w:hAnsi="Newsreader" w:cs="Newsreader"/>
          <w:b w:val="0"/>
          <w:i w:val="0"/>
          <w:color w:val="161412"/>
        </w:rPr>
        <w:t>Estos fallos muestran que la semántica no es un lujo. Es una forma de evitar ambigüedad, exceso y pérdida de continuidad. Una interfaz puede funcionar técnicamente y fallar semánticamente: ejecutar la acción correcta y aun así dejar al usuario con la pregunta «¿qué acaba de pasar exactamente?»</w:t>
      </w:r>
    </w:p>
    <w:p>
      <w:pPr>
        <w:spacing w:before="320" w:after="40"/>
      </w:pPr>
      <w:r>
        <w:rPr>
          <w:rFonts w:ascii="IBM Plex Sans" w:hAnsi="IBM Plex Sans" w:cs="IBM Plex Sans"/>
          <w:b/>
          <w:color w:val="1F3A5F"/>
          <w:sz w:val="18"/>
        </w:rPr>
        <w:t>§ 15</w:t>
      </w:r>
    </w:p>
    <w:p>
      <w:pPr>
        <w:spacing w:after="160" w:line="240" w:lineRule="auto"/>
      </w:pPr>
      <w:r>
        <w:rPr>
          <w:rFonts w:ascii="Newsreader" w:hAnsi="Newsreader" w:cs="Newsreader"/>
          <w:color w:val="161412"/>
          <w:sz w:val="38"/>
        </w:rPr>
        <w:t>Del evento a la interacción semántica</w:t>
      </w:r>
    </w:p>
    <w:p>
      <w:pPr>
        <w:spacing w:after="120" w:line="320" w:lineRule="auto"/>
        <w:jc w:val="both"/>
      </w:pPr>
      <w:r>
        <w:rPr>
          <w:rFonts w:ascii="Newsreader" w:hAnsi="Newsreader" w:cs="Newsreader"/>
          <w:b w:val="0"/>
          <w:i w:val="0"/>
          <w:color w:val="161412"/>
        </w:rPr>
        <w:t>El evento es la transformación significativa. La interacción semántica es la forma recurrente de hacerla legible. El evento de que el sistema ha registrado una acción se hace legible mediante la familia de contacto. El evento de que una decisión ha quedado fijada se hace legible mediante la familia de consolidación. El evento de que el sistema reclama atención se hace legible mediante la familia de señal.</w:t>
      </w:r>
    </w:p>
    <w:p>
      <w:pPr>
        <w:spacing w:before="200" w:after="60"/>
        <w:jc w:val="center"/>
      </w:pPr>
      <w:r>
        <w:drawing>
          <wp:inline xmlns:a="http://schemas.openxmlformats.org/drawingml/2006/main" xmlns:pic="http://schemas.openxmlformats.org/drawingml/2006/picture">
            <wp:extent cx="5029200" cy="2376297"/>
            <wp:docPr id="23" name="Picture 23"/>
            <wp:cNvGraphicFramePr>
              <a:graphicFrameLocks noChangeAspect="1"/>
            </wp:cNvGraphicFramePr>
            <a:graphic>
              <a:graphicData uri="http://schemas.openxmlformats.org/drawingml/2006/picture">
                <pic:pic>
                  <pic:nvPicPr>
                    <pic:cNvPr id="0" name="figura-4-7.png"/>
                    <pic:cNvPicPr/>
                  </pic:nvPicPr>
                  <pic:blipFill>
                    <a:blip r:embed="rId31"/>
                    <a:stretch>
                      <a:fillRect/>
                    </a:stretch>
                  </pic:blipFill>
                  <pic:spPr>
                    <a:xfrm>
                      <a:off x="0" y="0"/>
                      <a:ext cx="5029200" cy="2376297"/>
                    </a:xfrm>
                    <a:prstGeom prst="rect"/>
                  </pic:spPr>
                </pic:pic>
              </a:graphicData>
            </a:graphic>
          </wp:inline>
        </w:drawing>
      </w:r>
    </w:p>
    <w:p>
      <w:pPr>
        <w:spacing w:before="320" w:after="40"/>
      </w:pPr>
      <w:r>
        <w:rPr>
          <w:rFonts w:ascii="IBM Plex Sans" w:hAnsi="IBM Plex Sans" w:cs="IBM Plex Sans"/>
          <w:b/>
          <w:color w:val="1F3A5F"/>
          <w:sz w:val="18"/>
        </w:rPr>
        <w:t>§ 16</w:t>
      </w:r>
    </w:p>
    <w:p>
      <w:pPr>
        <w:spacing w:after="160" w:line="240" w:lineRule="auto"/>
      </w:pPr>
      <w:r>
        <w:rPr>
          <w:rFonts w:ascii="Newsreader" w:hAnsi="Newsreader" w:cs="Newsreader"/>
          <w:color w:val="161412"/>
          <w:sz w:val="38"/>
        </w:rPr>
        <w:t>Resumen operativo</w:t>
      </w:r>
    </w:p>
    <w:p>
      <w:pPr>
        <w:spacing w:after="120" w:line="320" w:lineRule="auto"/>
        <w:jc w:val="both"/>
      </w:pPr>
      <w:r>
        <w:rPr>
          <w:rFonts w:ascii="Newsreader" w:hAnsi="Newsreader" w:cs="Newsreader"/>
          <w:b w:val="0"/>
          <w:i w:val="0"/>
          <w:color w:val="161412"/>
        </w:rPr>
        <w:t>No estamos diciendo que cada microcambio deba convertirse en categoría. No estamos diciendo que toda animación sea un evento. No estamos diciendo que la interfaz deba explicar explícitamente cada transformación. No estamos diciendo que el usuario deba aprender una taxonomía consciente.</w:t>
      </w:r>
    </w:p>
    <w:p>
      <w:pPr>
        <w:spacing w:after="120" w:line="320" w:lineRule="auto"/>
        <w:jc w:val="both"/>
      </w:pPr>
      <w:r>
        <w:rPr>
          <w:rFonts w:ascii="Newsreader" w:hAnsi="Newsreader" w:cs="Newsreader"/>
          <w:b w:val="0"/>
          <w:i w:val="0"/>
          <w:color w:val="161412"/>
        </w:rPr>
        <w:t>Cuando una transformación afecta a la acción, la atención o la interpretación del estado, la interfaz debería tener una forma consistente de hacerla perceptible. Eso es todo.</w:t>
      </w:r>
    </w:p>
    <w:p>
      <w:pPr>
        <w:spacing w:after="120" w:line="320" w:lineRule="auto"/>
        <w:jc w:val="both"/>
      </w:pPr>
      <w:r>
        <w:rPr>
          <w:rFonts w:ascii="Newsreader" w:hAnsi="Newsreader" w:cs="Newsreader"/>
          <w:b w:val="0"/>
          <w:i w:val="0"/>
          <w:color w:val="161412"/>
        </w:rPr>
        <w:t>Una gramática de eventos no obliga a expresarlo todo con más fuerza. Al contrario, ayuda a decidir qué merece expresión y qué debe permanecer silencioso.</w:t>
      </w:r>
    </w:p>
    <w:p>
      <w:pPr>
        <w:spacing w:before="320" w:after="40"/>
      </w:pPr>
      <w:r>
        <w:rPr>
          <w:rFonts w:ascii="IBM Plex Sans" w:hAnsi="IBM Plex Sans" w:cs="IBM Plex Sans"/>
          <w:b/>
          <w:color w:val="1F3A5F"/>
          <w:sz w:val="18"/>
        </w:rPr>
        <w:t>§ 17</w:t>
      </w:r>
    </w:p>
    <w:p>
      <w:pPr>
        <w:spacing w:after="160" w:line="240" w:lineRule="auto"/>
      </w:pPr>
      <w:r>
        <w:rPr>
          <w:rFonts w:ascii="Newsreader" w:hAnsi="Newsreader" w:cs="Newsreader"/>
          <w:color w:val="161412"/>
          <w:sz w:val="38"/>
        </w:rPr>
        <w:t>Síntesis</w:t>
      </w:r>
    </w:p>
    <w:p>
      <w:pPr>
        <w:spacing w:after="120" w:line="320" w:lineRule="auto"/>
        <w:jc w:val="both"/>
      </w:pPr>
      <w:r>
        <w:rPr>
          <w:rFonts w:ascii="Newsreader" w:hAnsi="Newsreader" w:cs="Newsreader"/>
          <w:b w:val="0"/>
          <w:i w:val="0"/>
          <w:color w:val="161412"/>
        </w:rPr>
        <w:t>El evento es la unidad básica de cambio significativo en una interfaz. No coincide con el componente, ni con el estado, ni con el evento técnico, ni con el efecto.</w:t>
      </w:r>
    </w:p>
    <w:p>
      <w:pPr>
        <w:spacing w:after="120" w:line="320" w:lineRule="auto"/>
        <w:jc w:val="both"/>
      </w:pPr>
      <w:r>
        <w:rPr>
          <w:rFonts w:ascii="Newsreader" w:hAnsi="Newsreader" w:cs="Newsreader"/>
          <w:b w:val="0"/>
          <w:i/>
          <w:color w:val="161412"/>
        </w:rPr>
        <w:t>Tabla de síntesis del capítulo</w:t>
      </w:r>
    </w:p>
    <w:p>
      <w:pPr>
        <w:spacing w:after="120" w:line="320" w:lineRule="auto"/>
        <w:jc w:val="both"/>
      </w:pPr>
      <w:r>
        <w:rPr>
          <w:rFonts w:ascii="Newsreader" w:hAnsi="Newsreader" w:cs="Newsreader"/>
          <w:b w:val="0"/>
          <w:i w:val="0"/>
          <w:color w:val="161412"/>
        </w:rPr>
        <w:t>El capítulo anterior redefinió la interfaz. Este capítulo ha definido el evento. El siguiente paso será explicar por qué esos eventos necesitan una gramática: un sistema estable de diferencias que permita reconocerlos, componerlos y expresarlos sin depender de decisiones locales aisladas.</w:t>
      </w:r>
    </w:p>
    <w:p>
      <w:pPr>
        <w:spacing w:after="120" w:line="320" w:lineRule="auto"/>
        <w:jc w:val="both"/>
      </w:pPr>
      <w:r>
        <w:rPr>
          <w:rFonts w:ascii="Newsreader" w:hAnsi="Newsreader" w:cs="Newsreader"/>
          <w:b w:val="0"/>
          <w:i w:val="0"/>
          <w:color w:val="161412"/>
        </w:rPr>
        <w:t>La pregunta ya no será solo: ¿qué evento ha ocurrido? Sino: ¿cómo puede una interfaz hacer que esa clase de evento sea reconocible cada vez que ocurre?</w:t>
      </w:r>
    </w:p>
    <w:p>
      <w:pPr>
        <w:spacing w:after="80"/>
      </w:pPr>
    </w:p>
    <w:p>
      <w:pPr>
        <w:spacing w:after="80"/>
      </w:pPr>
    </w:p>
    <w:p>
      <w:pPr>
        <w:spacing w:after="80"/>
      </w:pPr>
    </w:p>
    <w:p>
      <w:pPr>
        <w:spacing w:after="80"/>
      </w:pPr>
    </w:p>
    <w:p>
      <w:pPr>
        <w:spacing w:after="200" w:before="40"/>
      </w:pPr>
      <w:r>
        <w:rPr>
          <w:rFonts w:ascii="IBM Plex Sans" w:hAnsi="IBM Plex Sans" w:cs="IBM Plex Sans"/>
          <w:b/>
          <w:color w:val="1F3A5F"/>
          <w:sz w:val="17"/>
        </w:rPr>
        <w:t xml:space="preserve">TABLA 4.5   </w:t>
      </w:r>
      <w:r>
        <w:rPr>
          <w:rFonts w:ascii="IBM Plex Sans" w:hAnsi="IBM Plex Sans" w:cs="IBM Plex Sans"/>
          <w:color w:val="3A352F"/>
          <w:sz w:val="18"/>
        </w:rPr>
        <w:t xml:space="preserve">Síntesis del capítulo: qué convierte un cambio en evento</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IDEA</w:t>
            </w:r>
          </w:p>
        </w:tc>
        <w:tc>
          <w:tcPr>
            <w:tcW w:type="dxa" w:w="4158"/>
            <w:shd w:val="clear" w:color="auto" w:fill="EAE4D8"/>
          </w:tcPr>
          <w:p>
            <w:pPr>
              <w:spacing w:after="40"/>
            </w:pPr>
            <w:r>
              <w:rPr>
                <w:sz w:val="17"/>
              </w:rPr>
            </w:r>
            <w:r>
              <w:rPr>
                <w:rFonts w:ascii="IBM Plex Sans" w:hAnsi="IBM Plex Sans" w:cs="IBM Plex Sans"/>
                <w:b/>
                <w:i w:val="0"/>
                <w:color w:val="1F3A5F"/>
                <w:sz w:val="17"/>
              </w:rPr>
              <w:t>SÍNTESIS</w:t>
            </w:r>
          </w:p>
        </w:tc>
      </w:tr>
      <w:tr>
        <w:tc>
          <w:tcPr>
            <w:tcW w:type="dxa" w:w="4158"/>
          </w:tcPr>
          <w:p>
            <w:pPr>
              <w:spacing w:after="40"/>
            </w:pPr>
            <w:r>
              <w:rPr>
                <w:sz w:val="17"/>
              </w:rPr>
            </w:r>
            <w:r>
              <w:rPr>
                <w:rFonts w:ascii="IBM Plex Sans" w:hAnsi="IBM Plex Sans" w:cs="IBM Plex Sans"/>
                <w:b w:val="0"/>
                <w:i w:val="0"/>
                <w:color w:val="161412"/>
                <w:sz w:val="17"/>
              </w:rPr>
              <w:t>El cambio no basta</w:t>
            </w:r>
          </w:p>
        </w:tc>
        <w:tc>
          <w:tcPr>
            <w:tcW w:type="dxa" w:w="4158"/>
          </w:tcPr>
          <w:p>
            <w:pPr>
              <w:spacing w:after="40"/>
            </w:pPr>
            <w:r>
              <w:rPr>
                <w:sz w:val="17"/>
              </w:rPr>
            </w:r>
            <w:r>
              <w:rPr>
                <w:rFonts w:ascii="IBM Plex Sans" w:hAnsi="IBM Plex Sans" w:cs="IBM Plex Sans"/>
                <w:b w:val="0"/>
                <w:i w:val="0"/>
                <w:color w:val="161412"/>
                <w:sz w:val="17"/>
              </w:rPr>
              <w:t>Solo hay evento cuando el cambio importa operativamente</w:t>
            </w:r>
          </w:p>
        </w:tc>
      </w:tr>
      <w:tr>
        <w:tc>
          <w:tcPr>
            <w:tcW w:type="dxa" w:w="4158"/>
          </w:tcPr>
          <w:p>
            <w:pPr>
              <w:spacing w:after="40"/>
            </w:pPr>
            <w:r>
              <w:rPr>
                <w:sz w:val="17"/>
              </w:rPr>
            </w:r>
            <w:r>
              <w:rPr>
                <w:rFonts w:ascii="IBM Plex Sans" w:hAnsi="IBM Plex Sans" w:cs="IBM Plex Sans"/>
                <w:b w:val="0"/>
                <w:i w:val="0"/>
                <w:color w:val="161412"/>
                <w:sz w:val="17"/>
              </w:rPr>
              <w:t>El efecto no basta</w:t>
            </w:r>
          </w:p>
        </w:tc>
        <w:tc>
          <w:tcPr>
            <w:tcW w:type="dxa" w:w="4158"/>
          </w:tcPr>
          <w:p>
            <w:pPr>
              <w:spacing w:after="40"/>
            </w:pPr>
            <w:r>
              <w:rPr>
                <w:sz w:val="17"/>
              </w:rPr>
            </w:r>
            <w:r>
              <w:rPr>
                <w:rFonts w:ascii="IBM Plex Sans" w:hAnsi="IBM Plex Sans" w:cs="IBM Plex Sans"/>
                <w:b w:val="0"/>
                <w:i w:val="0"/>
                <w:color w:val="161412"/>
                <w:sz w:val="17"/>
              </w:rPr>
              <w:t>Una animación o sonido no son semánticos por sí mismos</w:t>
            </w:r>
          </w:p>
        </w:tc>
      </w:tr>
      <w:tr>
        <w:tc>
          <w:tcPr>
            <w:tcW w:type="dxa" w:w="4158"/>
          </w:tcPr>
          <w:p>
            <w:pPr>
              <w:spacing w:after="40"/>
            </w:pPr>
            <w:r>
              <w:rPr>
                <w:sz w:val="17"/>
              </w:rPr>
            </w:r>
            <w:r>
              <w:rPr>
                <w:rFonts w:ascii="IBM Plex Sans" w:hAnsi="IBM Plex Sans" w:cs="IBM Plex Sans"/>
                <w:b w:val="0"/>
                <w:i w:val="0"/>
                <w:color w:val="161412"/>
                <w:sz w:val="17"/>
              </w:rPr>
              <w:t>El código no basta</w:t>
            </w:r>
          </w:p>
        </w:tc>
        <w:tc>
          <w:tcPr>
            <w:tcW w:type="dxa" w:w="4158"/>
          </w:tcPr>
          <w:p>
            <w:pPr>
              <w:spacing w:after="40"/>
            </w:pPr>
            <w:r>
              <w:rPr>
                <w:sz w:val="17"/>
              </w:rPr>
            </w:r>
            <w:r>
              <w:rPr>
                <w:rFonts w:ascii="IBM Plex Sans" w:hAnsi="IBM Plex Sans" w:cs="IBM Plex Sans"/>
                <w:b w:val="0"/>
                <w:i w:val="0"/>
                <w:color w:val="161412"/>
                <w:sz w:val="17"/>
              </w:rPr>
              <w:t>Un evento técnico no define el significado experiencial</w:t>
            </w:r>
          </w:p>
        </w:tc>
      </w:tr>
      <w:tr>
        <w:tc>
          <w:tcPr>
            <w:tcW w:type="dxa" w:w="4158"/>
          </w:tcPr>
          <w:p>
            <w:pPr>
              <w:spacing w:after="40"/>
            </w:pPr>
            <w:r>
              <w:rPr>
                <w:sz w:val="17"/>
              </w:rPr>
            </w:r>
            <w:r>
              <w:rPr>
                <w:rFonts w:ascii="IBM Plex Sans" w:hAnsi="IBM Plex Sans" w:cs="IBM Plex Sans"/>
                <w:b w:val="0"/>
                <w:i w:val="0"/>
                <w:color w:val="161412"/>
                <w:sz w:val="17"/>
              </w:rPr>
              <w:t>El estado no basta</w:t>
            </w:r>
          </w:p>
        </w:tc>
        <w:tc>
          <w:tcPr>
            <w:tcW w:type="dxa" w:w="4158"/>
          </w:tcPr>
          <w:p>
            <w:pPr>
              <w:spacing w:after="40"/>
            </w:pPr>
            <w:r>
              <w:rPr>
                <w:sz w:val="17"/>
              </w:rPr>
            </w:r>
            <w:r>
              <w:rPr>
                <w:rFonts w:ascii="IBM Plex Sans" w:hAnsi="IBM Plex Sans" w:cs="IBM Plex Sans"/>
                <w:b w:val="0"/>
                <w:i w:val="0"/>
                <w:color w:val="161412"/>
                <w:sz w:val="17"/>
              </w:rPr>
              <w:t>El usuario necesita comprender la transformación</w:t>
            </w:r>
          </w:p>
        </w:tc>
      </w:tr>
      <w:tr>
        <w:tc>
          <w:tcPr>
            <w:tcW w:type="dxa" w:w="4158"/>
          </w:tcPr>
          <w:p>
            <w:pPr>
              <w:spacing w:after="40"/>
            </w:pPr>
            <w:r>
              <w:rPr>
                <w:sz w:val="17"/>
              </w:rPr>
            </w:r>
            <w:r>
              <w:rPr>
                <w:rFonts w:ascii="IBM Plex Sans" w:hAnsi="IBM Plex Sans" w:cs="IBM Plex Sans"/>
                <w:b w:val="0"/>
                <w:i w:val="0"/>
                <w:color w:val="161412"/>
                <w:sz w:val="17"/>
              </w:rPr>
              <w:t>La duración no basta</w:t>
            </w:r>
          </w:p>
        </w:tc>
        <w:tc>
          <w:tcPr>
            <w:tcW w:type="dxa" w:w="4158"/>
          </w:tcPr>
          <w:p>
            <w:pPr>
              <w:spacing w:after="40"/>
            </w:pPr>
            <w:r>
              <w:rPr>
                <w:sz w:val="17"/>
              </w:rPr>
            </w:r>
            <w:r>
              <w:rPr>
                <w:rFonts w:ascii="IBM Plex Sans" w:hAnsi="IBM Plex Sans" w:cs="IBM Plex Sans"/>
                <w:b w:val="0"/>
                <w:i w:val="0"/>
                <w:color w:val="161412"/>
                <w:sz w:val="17"/>
              </w:rPr>
              <w:t>La importancia depende de la consecuencia</w:t>
            </w:r>
          </w:p>
        </w:tc>
      </w:tr>
      <w:tr>
        <w:tc>
          <w:tcPr>
            <w:tcW w:type="dxa" w:w="4158"/>
          </w:tcPr>
          <w:p>
            <w:pPr>
              <w:spacing w:after="40"/>
            </w:pPr>
            <w:r>
              <w:rPr>
                <w:sz w:val="17"/>
              </w:rPr>
            </w:r>
            <w:r>
              <w:rPr>
                <w:rFonts w:ascii="IBM Plex Sans" w:hAnsi="IBM Plex Sans" w:cs="IBM Plex Sans"/>
                <w:b w:val="0"/>
                <w:i w:val="0"/>
                <w:color w:val="161412"/>
                <w:sz w:val="17"/>
              </w:rPr>
              <w:t>La semántica organiza</w:t>
            </w:r>
          </w:p>
        </w:tc>
        <w:tc>
          <w:tcPr>
            <w:tcW w:type="dxa" w:w="4158"/>
          </w:tcPr>
          <w:p>
            <w:pPr>
              <w:spacing w:after="40"/>
            </w:pPr>
            <w:r>
              <w:rPr>
                <w:sz w:val="17"/>
              </w:rPr>
            </w:r>
            <w:r>
              <w:rPr>
                <w:rFonts w:ascii="IBM Plex Sans" w:hAnsi="IBM Plex Sans" w:cs="IBM Plex Sans"/>
                <w:b w:val="0"/>
                <w:i w:val="0"/>
                <w:color w:val="161412"/>
                <w:sz w:val="17"/>
              </w:rPr>
              <w:t>Una interacción semántica hace legible una clase de evento</w:t>
            </w:r>
          </w:p>
        </w:tc>
      </w:tr>
    </w:tbl>
    <w:p>
      <w:pPr>
        <w:spacing w:after="80"/>
      </w:pPr>
    </w:p>
    <w:p>
      <w:r>
        <w:br w:type="page"/>
      </w:r>
    </w:p>
    <w:p>
      <w:pPr>
        <w:spacing w:after="40"/>
      </w:pPr>
      <w:r>
        <w:rPr>
          <w:rFonts w:ascii="IBM Plex Sans" w:hAnsi="IBM Plex Sans" w:cs="IBM Plex Sans"/>
          <w:b/>
          <w:color w:val="1F3A5F"/>
          <w:sz w:val="18"/>
        </w:rPr>
        <w:t>CAPÍTULO 5</w:t>
      </w:r>
    </w:p>
    <w:p>
      <w:pPr>
        <w:spacing w:after="80" w:line="240" w:lineRule="auto"/>
      </w:pPr>
      <w:r>
        <w:rPr>
          <w:rFonts w:ascii="IBM Plex Sans" w:hAnsi="IBM Plex Sans" w:cs="IBM Plex Sans"/>
          <w:color w:val="161412"/>
          <w:sz w:val="220"/>
        </w:rPr>
        <w:t>05</w:t>
      </w:r>
    </w:p>
    <w:p>
      <w:pPr>
        <w:spacing w:after="60" w:line="240" w:lineRule="auto"/>
      </w:pPr>
      <w:r>
        <w:rPr>
          <w:rFonts w:ascii="Newsreader" w:hAnsi="Newsreader" w:cs="Newsreader"/>
          <w:color w:val="161412"/>
          <w:sz w:val="60"/>
        </w:rPr>
        <w:t>Por qué una gramática de eventos</w:t>
      </w:r>
    </w:p>
    <w:p>
      <w:pPr>
        <w:spacing w:after="280"/>
      </w:pPr>
      <w:r>
        <w:rPr>
          <w:rFonts w:ascii="IBM Plex Sans" w:hAnsi="IBM Plex Sans" w:cs="IBM Plex Sans"/>
          <w:color w:val="6A635A"/>
          <w:sz w:val="26"/>
        </w:rPr>
        <w:t>De la intuición a la estructura</w:t>
      </w:r>
    </w:p>
    <w:p>
      <w:pPr>
        <w:pBdr>
          <w:bottom w:val="single" w:sz="4" w:space="4" w:color="1F3A5F"/>
        </w:pBdr>
      </w:pP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¿Por qué los eventos de una interfaz necesitan una gramática y no solo una colección de patrones?</w:t>
      </w:r>
    </w:p>
    <w:p>
      <w:pPr>
        <w:spacing w:after="120" w:line="320" w:lineRule="auto"/>
        <w:jc w:val="both"/>
      </w:pPr>
      <w:r>
        <w:rPr>
          <w:rFonts w:ascii="Newsreader" w:hAnsi="Newsreader" w:cs="Newsreader"/>
          <w:b w:val="0"/>
          <w:i w:val="0"/>
          <w:color w:val="161412"/>
        </w:rPr>
        <w:t>En una misma aplicación, guardar parpadea en verde en una pantalla, muestra un texto discreto en otra y no dice nada en una tercera. Cada solución funciona por separado; juntas, obligan al usuario a reaprender en cada rincón. Lo que falta no es más diseño: es un acuerdo sobre qué significa cada cosa.</w:t>
      </w:r>
    </w:p>
    <w:p>
      <w:pPr>
        <w:spacing w:after="120" w:line="320" w:lineRule="auto"/>
        <w:jc w:val="both"/>
      </w:pPr>
      <w:r>
        <w:rPr>
          <w:rFonts w:ascii="Newsreader" w:hAnsi="Newsreader" w:cs="Newsreader"/>
          <w:b w:val="0"/>
          <w:i w:val="0"/>
          <w:color w:val="161412"/>
        </w:rPr>
        <w:t>El capítulo anterior nos dejó en un punto delicado. Ya no estamos hablando solo de componentes. Tampoco solo de estados. Hemos empezado a llamar evento a esa clase de cambio que el usuario percibe y que importa para lo que hace, para lo que atiende o para cómo interpreta el estado.</w:t>
      </w:r>
    </w:p>
    <w:p>
      <w:pPr>
        <w:spacing w:after="120" w:line="320" w:lineRule="auto"/>
        <w:jc w:val="both"/>
      </w:pPr>
      <w:r>
        <w:rPr>
          <w:rFonts w:ascii="Newsreader" w:hAnsi="Newsreader" w:cs="Newsreader"/>
          <w:b w:val="0"/>
          <w:i w:val="0"/>
          <w:color w:val="161412"/>
        </w:rPr>
        <w:t>Esa definición cambia el problema. Si la interfaz no solo muestra cosas, sino que hace perceptibles transformaciones, entonces no basta con preguntarse qué elementos hay en pantalla. Hay que preguntarse qué tipos de cambio ocurren, cómo se distinguen, cómo se repiten y cómo el usuario aprende a reconocerlos.</w:t>
      </w:r>
    </w:p>
    <w:p>
      <w:pPr>
        <w:spacing w:after="120" w:line="320" w:lineRule="auto"/>
        <w:jc w:val="both"/>
      </w:pPr>
      <w:r>
        <w:rPr>
          <w:rFonts w:ascii="Newsreader" w:hAnsi="Newsreader" w:cs="Newsreader"/>
          <w:b w:val="0"/>
          <w:i w:val="0"/>
          <w:color w:val="161412"/>
        </w:rPr>
        <w:t>Si cada una de esas transformaciones se resuelve de forma local, la interfaz puede seguir funcionando, pero su lenguaje queda fragmentado. Cada componente decide cómo responder. Cada pantalla decide cómo animar. Cada equipo decide cuándo usar color, sonido, vibración o silencio. El usuario, entonces, no aprende una estructura común: interpreta caso por caso.</w:t>
      </w:r>
    </w:p>
    <w:p>
      <w:pPr>
        <w:spacing w:after="120" w:line="320" w:lineRule="auto"/>
        <w:jc w:val="both"/>
      </w:pPr>
      <w:r>
        <w:rPr>
          <w:rFonts w:ascii="Newsreader" w:hAnsi="Newsreader" w:cs="Newsreader"/>
          <w:b w:val="0"/>
          <w:i w:val="0"/>
          <w:color w:val="161412"/>
        </w:rPr>
        <w:t>¿Puede una interfaz tener una gramática de sus eventos?</w:t>
      </w:r>
    </w:p>
    <w:p>
      <w:pPr>
        <w:spacing w:before="320" w:after="40"/>
      </w:pPr>
      <w:r>
        <w:rPr>
          <w:rFonts w:ascii="IBM Plex Sans" w:hAnsi="IBM Plex Sans" w:cs="IBM Plex Sans"/>
          <w:b/>
          <w:color w:val="1F3A5F"/>
          <w:sz w:val="18"/>
        </w:rPr>
        <w:t>§ 1</w:t>
      </w:r>
    </w:p>
    <w:p>
      <w:pPr>
        <w:spacing w:after="160" w:line="240" w:lineRule="auto"/>
      </w:pPr>
      <w:r>
        <w:rPr>
          <w:rFonts w:ascii="Newsreader" w:hAnsi="Newsreader" w:cs="Newsreader"/>
          <w:color w:val="161412"/>
          <w:sz w:val="38"/>
        </w:rPr>
        <w:t>Por qué la palabra gramática</w:t>
      </w:r>
    </w:p>
    <w:p>
      <w:pPr>
        <w:spacing w:after="120" w:line="320" w:lineRule="auto"/>
        <w:jc w:val="both"/>
      </w:pPr>
      <w:r>
        <w:rPr>
          <w:rFonts w:ascii="Newsreader" w:hAnsi="Newsreader" w:cs="Newsreader"/>
          <w:b w:val="0"/>
          <w:i w:val="0"/>
          <w:color w:val="161412"/>
        </w:rPr>
        <w:t>La palabra «gramática» no se usa aquí por adorno. Tampoco pretende trasladar de forma literal la gramática de una lengua natural al diseño de interfaces. Se usa porque necesitamos nombrar algo que las palabras «estilo», «patrón», «efecto», «animación» o «taxonomía» no terminan de cubrir.</w:t>
      </w:r>
    </w:p>
    <w:p>
      <w:pPr>
        <w:spacing w:after="120" w:line="320" w:lineRule="auto"/>
        <w:jc w:val="both"/>
      </w:pPr>
      <w:r>
        <w:rPr>
          <w:rFonts w:ascii="Newsreader" w:hAnsi="Newsreader" w:cs="Newsreader"/>
          <w:b w:val="0"/>
          <w:i w:val="0"/>
          <w:color w:val="161412"/>
        </w:rPr>
        <w:t>Una taxonomía clasifica. Una guía de estilo normaliza la forma. Un patrón resuelve un problema recurrente. Un efecto materializa una respuesta perceptiva concreta. Una gramática, en cambio, define un sistema de diferencias y relaciones que permite producir significado reconocible. No se limita a decir qué unidades existen. También define cómo se distinguen, cómo se combinan, cuándo una forma cambia de sentido, qué variaciones son aceptables y qué combinaciones producen ruido o ambigüedad.</w:t>
      </w:r>
    </w:p>
    <w:p>
      <w:pPr>
        <w:spacing w:after="200" w:before="40"/>
      </w:pPr>
      <w:r>
        <w:rPr>
          <w:rFonts w:ascii="IBM Plex Sans" w:hAnsi="IBM Plex Sans" w:cs="IBM Plex Sans"/>
          <w:b/>
          <w:color w:val="1F3A5F"/>
          <w:sz w:val="17"/>
        </w:rPr>
        <w:t xml:space="preserve">TABLA 5.1   </w:t>
      </w:r>
      <w:r>
        <w:rPr>
          <w:rFonts w:ascii="IBM Plex Sans" w:hAnsi="IBM Plex Sans" w:cs="IBM Plex Sans"/>
          <w:color w:val="3A352F"/>
          <w:sz w:val="18"/>
        </w:rPr>
        <w:t xml:space="preserve">Por qué gramática y no otro concepto</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CONCEPTO</w:t>
            </w:r>
          </w:p>
        </w:tc>
        <w:tc>
          <w:tcPr>
            <w:tcW w:type="dxa" w:w="2772"/>
            <w:shd w:val="clear" w:color="auto" w:fill="EAE4D8"/>
          </w:tcPr>
          <w:p>
            <w:pPr>
              <w:spacing w:after="40"/>
            </w:pPr>
            <w:r>
              <w:rPr>
                <w:sz w:val="17"/>
              </w:rPr>
            </w:r>
            <w:r>
              <w:rPr>
                <w:rFonts w:ascii="IBM Plex Sans" w:hAnsi="IBM Plex Sans" w:cs="IBM Plex Sans"/>
                <w:b/>
                <w:i w:val="0"/>
                <w:color w:val="1F3A5F"/>
                <w:sz w:val="17"/>
              </w:rPr>
              <w:t>QUÉ HACE</w:t>
            </w:r>
          </w:p>
        </w:tc>
        <w:tc>
          <w:tcPr>
            <w:tcW w:type="dxa" w:w="2772"/>
            <w:shd w:val="clear" w:color="auto" w:fill="EAE4D8"/>
          </w:tcPr>
          <w:p>
            <w:pPr>
              <w:spacing w:after="40"/>
            </w:pPr>
            <w:r>
              <w:rPr>
                <w:sz w:val="17"/>
              </w:rPr>
            </w:r>
            <w:r>
              <w:rPr>
                <w:rFonts w:ascii="IBM Plex Sans" w:hAnsi="IBM Plex Sans" w:cs="IBM Plex Sans"/>
                <w:b/>
                <w:i w:val="0"/>
                <w:color w:val="1F3A5F"/>
                <w:sz w:val="17"/>
              </w:rPr>
              <w:t>POR QUÉ NO BASTA</w:t>
            </w:r>
          </w:p>
        </w:tc>
      </w:tr>
      <w:tr>
        <w:tc>
          <w:tcPr>
            <w:tcW w:type="dxa" w:w="2772"/>
          </w:tcPr>
          <w:p>
            <w:pPr>
              <w:spacing w:after="40"/>
            </w:pPr>
            <w:r>
              <w:rPr>
                <w:sz w:val="17"/>
              </w:rPr>
            </w:r>
            <w:r>
              <w:rPr>
                <w:rFonts w:ascii="IBM Plex Sans" w:hAnsi="IBM Plex Sans" w:cs="IBM Plex Sans"/>
                <w:b w:val="0"/>
                <w:i w:val="0"/>
                <w:color w:val="161412"/>
                <w:sz w:val="17"/>
              </w:rPr>
              <w:t>Efecto</w:t>
            </w:r>
          </w:p>
        </w:tc>
        <w:tc>
          <w:tcPr>
            <w:tcW w:type="dxa" w:w="2772"/>
          </w:tcPr>
          <w:p>
            <w:pPr>
              <w:spacing w:after="40"/>
            </w:pPr>
            <w:r>
              <w:rPr>
                <w:sz w:val="17"/>
              </w:rPr>
            </w:r>
            <w:r>
              <w:rPr>
                <w:rFonts w:ascii="IBM Plex Sans" w:hAnsi="IBM Plex Sans" w:cs="IBM Plex Sans"/>
                <w:b w:val="0"/>
                <w:i w:val="0"/>
                <w:color w:val="161412"/>
                <w:sz w:val="17"/>
              </w:rPr>
              <w:t>Materializa una respuesta perceptiva</w:t>
            </w:r>
          </w:p>
        </w:tc>
        <w:tc>
          <w:tcPr>
            <w:tcW w:type="dxa" w:w="2772"/>
          </w:tcPr>
          <w:p>
            <w:pPr>
              <w:spacing w:after="40"/>
            </w:pPr>
            <w:r>
              <w:rPr>
                <w:sz w:val="17"/>
              </w:rPr>
            </w:r>
            <w:r>
              <w:rPr>
                <w:rFonts w:ascii="IBM Plex Sans" w:hAnsi="IBM Plex Sans" w:cs="IBM Plex Sans"/>
                <w:b w:val="0"/>
                <w:i w:val="0"/>
                <w:color w:val="161412"/>
                <w:sz w:val="17"/>
              </w:rPr>
              <w:t>Puede existir sin significado estable</w:t>
            </w:r>
          </w:p>
        </w:tc>
      </w:tr>
      <w:tr>
        <w:tc>
          <w:tcPr>
            <w:tcW w:type="dxa" w:w="2772"/>
          </w:tcPr>
          <w:p>
            <w:pPr>
              <w:spacing w:after="40"/>
            </w:pPr>
            <w:r>
              <w:rPr>
                <w:sz w:val="17"/>
              </w:rPr>
            </w:r>
            <w:r>
              <w:rPr>
                <w:rFonts w:ascii="IBM Plex Sans" w:hAnsi="IBM Plex Sans" w:cs="IBM Plex Sans"/>
                <w:b w:val="0"/>
                <w:i w:val="0"/>
                <w:color w:val="161412"/>
                <w:sz w:val="17"/>
              </w:rPr>
              <w:t>Patrón</w:t>
            </w:r>
          </w:p>
        </w:tc>
        <w:tc>
          <w:tcPr>
            <w:tcW w:type="dxa" w:w="2772"/>
          </w:tcPr>
          <w:p>
            <w:pPr>
              <w:spacing w:after="40"/>
            </w:pPr>
            <w:r>
              <w:rPr>
                <w:sz w:val="17"/>
              </w:rPr>
            </w:r>
            <w:r>
              <w:rPr>
                <w:rFonts w:ascii="IBM Plex Sans" w:hAnsi="IBM Plex Sans" w:cs="IBM Plex Sans"/>
                <w:b w:val="0"/>
                <w:i w:val="0"/>
                <w:color w:val="161412"/>
                <w:sz w:val="17"/>
              </w:rPr>
              <w:t>Resuelve un problema recurrente de interacción</w:t>
            </w:r>
          </w:p>
        </w:tc>
        <w:tc>
          <w:tcPr>
            <w:tcW w:type="dxa" w:w="2772"/>
          </w:tcPr>
          <w:p>
            <w:pPr>
              <w:spacing w:after="40"/>
            </w:pPr>
            <w:r>
              <w:rPr>
                <w:sz w:val="17"/>
              </w:rPr>
            </w:r>
            <w:r>
              <w:rPr>
                <w:rFonts w:ascii="IBM Plex Sans" w:hAnsi="IBM Plex Sans" w:cs="IBM Plex Sans"/>
                <w:b w:val="0"/>
                <w:i w:val="0"/>
                <w:color w:val="161412"/>
                <w:sz w:val="17"/>
              </w:rPr>
              <w:t>Suele estar ligado a casos concretos</w:t>
            </w:r>
          </w:p>
        </w:tc>
      </w:tr>
      <w:tr>
        <w:tc>
          <w:tcPr>
            <w:tcW w:type="dxa" w:w="2772"/>
          </w:tcPr>
          <w:p>
            <w:pPr>
              <w:spacing w:after="40"/>
            </w:pPr>
            <w:r>
              <w:rPr>
                <w:sz w:val="17"/>
              </w:rPr>
            </w:r>
            <w:r>
              <w:rPr>
                <w:rFonts w:ascii="IBM Plex Sans" w:hAnsi="IBM Plex Sans" w:cs="IBM Plex Sans"/>
                <w:b w:val="0"/>
                <w:i w:val="0"/>
                <w:color w:val="161412"/>
                <w:sz w:val="17"/>
              </w:rPr>
              <w:t>Guía de estilo</w:t>
            </w:r>
          </w:p>
        </w:tc>
        <w:tc>
          <w:tcPr>
            <w:tcW w:type="dxa" w:w="2772"/>
          </w:tcPr>
          <w:p>
            <w:pPr>
              <w:spacing w:after="40"/>
            </w:pPr>
            <w:r>
              <w:rPr>
                <w:sz w:val="17"/>
              </w:rPr>
            </w:r>
            <w:r>
              <w:rPr>
                <w:rFonts w:ascii="IBM Plex Sans" w:hAnsi="IBM Plex Sans" w:cs="IBM Plex Sans"/>
                <w:b w:val="0"/>
                <w:i w:val="0"/>
                <w:color w:val="161412"/>
                <w:sz w:val="17"/>
              </w:rPr>
              <w:t>Normaliza la forma visual</w:t>
            </w:r>
          </w:p>
        </w:tc>
        <w:tc>
          <w:tcPr>
            <w:tcW w:type="dxa" w:w="2772"/>
          </w:tcPr>
          <w:p>
            <w:pPr>
              <w:spacing w:after="40"/>
            </w:pPr>
            <w:r>
              <w:rPr>
                <w:sz w:val="17"/>
              </w:rPr>
            </w:r>
            <w:r>
              <w:rPr>
                <w:rFonts w:ascii="IBM Plex Sans" w:hAnsi="IBM Plex Sans" w:cs="IBM Plex Sans"/>
                <w:b w:val="0"/>
                <w:i w:val="0"/>
                <w:color w:val="161412"/>
                <w:sz w:val="17"/>
              </w:rPr>
              <w:t>No siempre explica el significado del cambio</w:t>
            </w:r>
          </w:p>
        </w:tc>
      </w:tr>
      <w:tr>
        <w:tc>
          <w:tcPr>
            <w:tcW w:type="dxa" w:w="2772"/>
          </w:tcPr>
          <w:p>
            <w:pPr>
              <w:spacing w:after="40"/>
            </w:pPr>
            <w:r>
              <w:rPr>
                <w:sz w:val="17"/>
              </w:rPr>
            </w:r>
            <w:r>
              <w:rPr>
                <w:rFonts w:ascii="IBM Plex Sans" w:hAnsi="IBM Plex Sans" w:cs="IBM Plex Sans"/>
                <w:b w:val="0"/>
                <w:i w:val="0"/>
                <w:color w:val="161412"/>
                <w:sz w:val="17"/>
              </w:rPr>
              <w:t>Taxonomía</w:t>
            </w:r>
          </w:p>
        </w:tc>
        <w:tc>
          <w:tcPr>
            <w:tcW w:type="dxa" w:w="2772"/>
          </w:tcPr>
          <w:p>
            <w:pPr>
              <w:spacing w:after="40"/>
            </w:pPr>
            <w:r>
              <w:rPr>
                <w:sz w:val="17"/>
              </w:rPr>
            </w:r>
            <w:r>
              <w:rPr>
                <w:rFonts w:ascii="IBM Plex Sans" w:hAnsi="IBM Plex Sans" w:cs="IBM Plex Sans"/>
                <w:b w:val="0"/>
                <w:i w:val="0"/>
                <w:color w:val="161412"/>
                <w:sz w:val="17"/>
              </w:rPr>
              <w:t>Clasifica tipos de evento</w:t>
            </w:r>
          </w:p>
        </w:tc>
        <w:tc>
          <w:tcPr>
            <w:tcW w:type="dxa" w:w="2772"/>
          </w:tcPr>
          <w:p>
            <w:pPr>
              <w:spacing w:after="40"/>
            </w:pPr>
            <w:r>
              <w:rPr>
                <w:sz w:val="17"/>
              </w:rPr>
            </w:r>
            <w:r>
              <w:rPr>
                <w:rFonts w:ascii="IBM Plex Sans" w:hAnsi="IBM Plex Sans" w:cs="IBM Plex Sans"/>
                <w:b w:val="0"/>
                <w:i w:val="0"/>
                <w:color w:val="161412"/>
                <w:sz w:val="17"/>
              </w:rPr>
              <w:t>No define composición, modulación ni canal</w:t>
            </w:r>
          </w:p>
        </w:tc>
      </w:tr>
      <w:tr>
        <w:tc>
          <w:tcPr>
            <w:tcW w:type="dxa" w:w="2772"/>
          </w:tcPr>
          <w:p>
            <w:pPr>
              <w:spacing w:after="40"/>
            </w:pPr>
            <w:r>
              <w:rPr>
                <w:sz w:val="17"/>
              </w:rPr>
            </w:r>
            <w:r>
              <w:rPr>
                <w:rFonts w:ascii="IBM Plex Sans" w:hAnsi="IBM Plex Sans" w:cs="IBM Plex Sans"/>
                <w:b w:val="0"/>
                <w:i w:val="0"/>
                <w:color w:val="161412"/>
                <w:sz w:val="17"/>
              </w:rPr>
              <w:t>Gramática</w:t>
            </w:r>
          </w:p>
        </w:tc>
        <w:tc>
          <w:tcPr>
            <w:tcW w:type="dxa" w:w="2772"/>
          </w:tcPr>
          <w:p>
            <w:pPr>
              <w:spacing w:after="40"/>
            </w:pPr>
            <w:r>
              <w:rPr>
                <w:sz w:val="17"/>
              </w:rPr>
            </w:r>
            <w:r>
              <w:rPr>
                <w:rFonts w:ascii="IBM Plex Sans" w:hAnsi="IBM Plex Sans" w:cs="IBM Plex Sans"/>
                <w:b w:val="0"/>
                <w:i w:val="0"/>
                <w:color w:val="161412"/>
                <w:sz w:val="17"/>
              </w:rPr>
              <w:t>Define diferencias, relaciones y reglas de combinación</w:t>
            </w:r>
          </w:p>
        </w:tc>
        <w:tc>
          <w:tcPr>
            <w:tcW w:type="dxa" w:w="2772"/>
          </w:tcPr>
          <w:p>
            <w:pPr>
              <w:spacing w:after="40"/>
            </w:pPr>
            <w:r>
              <w:rPr>
                <w:sz w:val="17"/>
              </w:rPr>
            </w:r>
            <w:r>
              <w:rPr>
                <w:rFonts w:ascii="IBM Plex Sans" w:hAnsi="IBM Plex Sans" w:cs="IBM Plex Sans"/>
                <w:b w:val="0"/>
                <w:i w:val="0"/>
                <w:color w:val="161412"/>
                <w:sz w:val="17"/>
              </w:rPr>
              <w:t>Es el nivel necesario para articular eventos como lenguaje</w:t>
            </w:r>
          </w:p>
        </w:tc>
      </w:tr>
    </w:tbl>
    <w:p>
      <w:pPr>
        <w:spacing w:before="320" w:after="40"/>
      </w:pPr>
      <w:r>
        <w:rPr>
          <w:rFonts w:ascii="IBM Plex Sans" w:hAnsi="IBM Plex Sans" w:cs="IBM Plex Sans"/>
          <w:b/>
          <w:color w:val="1F3A5F"/>
          <w:sz w:val="18"/>
        </w:rPr>
        <w:t>§ 2</w:t>
      </w:r>
    </w:p>
    <w:p>
      <w:pPr>
        <w:spacing w:after="160" w:line="240" w:lineRule="auto"/>
      </w:pPr>
      <w:r>
        <w:rPr>
          <w:rFonts w:ascii="Newsreader" w:hAnsi="Newsreader" w:cs="Newsreader"/>
          <w:color w:val="161412"/>
          <w:sz w:val="38"/>
        </w:rPr>
        <w:t>Qué define una gramática de eventos</w:t>
      </w:r>
    </w:p>
    <w:p>
      <w:pPr>
        <w:spacing w:after="120" w:line="320" w:lineRule="auto"/>
        <w:jc w:val="both"/>
      </w:pPr>
      <w:r>
        <w:rPr>
          <w:rFonts w:ascii="Newsreader" w:hAnsi="Newsreader" w:cs="Newsreader"/>
          <w:b w:val="0"/>
          <w:i w:val="0"/>
          <w:color w:val="161412"/>
        </w:rPr>
        <w:t>La interfaz ya tiene gramáticas parciales. Tiene una gramática visual: jerarquía, contraste, alineación, proximidad. Tiene una gramática de componentes: botones, campos, menús. Tiene una gramática de estados: hover, focus, active, disabled. Pero todavía no suele tener una gramática explícita del evento: una forma sistemática de distinguir entre tocar, fijar, advertir, emerger, cambiar de marco, manipular, sostener, completar o perder.</w:t>
      </w:r>
    </w:p>
    <w:p>
      <w:pPr>
        <w:spacing w:after="120" w:line="320" w:lineRule="auto"/>
        <w:jc w:val="both"/>
      </w:pPr>
      <w:r>
        <w:rPr>
          <w:rFonts w:ascii="Newsreader" w:hAnsi="Newsreader" w:cs="Newsreader"/>
          <w:b/>
          <w:i w:val="0"/>
          <w:color w:val="161412"/>
        </w:rPr>
        <w:t>Definición</w:t>
      </w:r>
    </w:p>
    <w:p>
      <w:pPr>
        <w:spacing w:after="120" w:line="320" w:lineRule="auto"/>
        <w:jc w:val="both"/>
      </w:pPr>
      <w:r>
        <w:rPr>
          <w:rFonts w:ascii="Newsreader" w:hAnsi="Newsreader" w:cs="Newsreader"/>
          <w:b w:val="0"/>
          <w:i w:val="0"/>
          <w:color w:val="161412"/>
        </w:rPr>
        <w:t>Una gramática de eventos es el sistema de diferencias, relaciones y reglas de composición mediante el cual una interfaz hace reconocibles las clases significativas de cambio que ocurren dentro de un contexto operativo.</w:t>
      </w:r>
    </w:p>
    <w:p>
      <w:pPr>
        <w:spacing w:after="120" w:line="320" w:lineRule="auto"/>
        <w:jc w:val="both"/>
      </w:pPr>
      <w:r>
        <w:rPr>
          <w:rFonts w:ascii="Newsreader" w:hAnsi="Newsreader" w:cs="Newsreader"/>
          <w:b w:val="0"/>
          <w:i w:val="0"/>
          <w:color w:val="161412"/>
        </w:rPr>
        <w:t>Esta definición contiene piezas: diferencias (no todo cambio significa lo mismo), relaciones (los eventos se encadenan y componen), reglas de composición (contacto → sostenimiento → consolidación es una secuencia, no una acumulación de efectos), y reconocimiento (la gramática existe para el usuario, no para el sistema).</w:t>
      </w:r>
    </w:p>
    <w:p>
      <w:pPr>
        <w:spacing w:after="120" w:line="320" w:lineRule="auto"/>
        <w:jc w:val="both"/>
      </w:pPr>
      <w:r>
        <w:rPr>
          <w:rFonts w:ascii="Newsreader" w:hAnsi="Newsreader" w:cs="Newsreader"/>
          <w:b w:val="0"/>
          <w:i w:val="0"/>
          <w:color w:val="161412"/>
        </w:rPr>
        <w:t>No llamamos gramática a esta capa porque queramos hacer una metáfora elegante. La llamamos gramática porque necesitamos algo más que una lista de eventos: necesitamos un sistema que defina diferencias, relaciones, combinaciones, modulaciones y límites de expresión. La palabra gramática aparece, entonces, porque el problema ya no es solo identificar eventos, sino articularlos. Una interfaz necesita distinguirlos, repetirlos con estabilidad, combinarlos en secuencias, modularlos cuando son evaluables, distribuirlos entre canales de expresión y reducirlos cuando la accesibilidad o el contexto lo exigen. Esa red de distinciones y reglas es lo que este libro llama gramática de eventos.</w:t>
      </w:r>
    </w:p>
    <w:p>
      <w:pPr>
        <w:spacing w:before="200" w:after="60"/>
        <w:jc w:val="center"/>
      </w:pPr>
      <w:r>
        <w:drawing>
          <wp:inline xmlns:a="http://schemas.openxmlformats.org/drawingml/2006/main" xmlns:pic="http://schemas.openxmlformats.org/drawingml/2006/picture">
            <wp:extent cx="5029200" cy="2794349"/>
            <wp:docPr id="24" name="Picture 24"/>
            <wp:cNvGraphicFramePr>
              <a:graphicFrameLocks noChangeAspect="1"/>
            </wp:cNvGraphicFramePr>
            <a:graphic>
              <a:graphicData uri="http://schemas.openxmlformats.org/drawingml/2006/picture">
                <pic:pic>
                  <pic:nvPicPr>
                    <pic:cNvPr id="0" name="figura-5-1.png"/>
                    <pic:cNvPicPr/>
                  </pic:nvPicPr>
                  <pic:blipFill>
                    <a:blip r:embed="rId32"/>
                    <a:stretch>
                      <a:fillRect/>
                    </a:stretch>
                  </pic:blipFill>
                  <pic:spPr>
                    <a:xfrm>
                      <a:off x="0" y="0"/>
                      <a:ext cx="5029200" cy="2794349"/>
                    </a:xfrm>
                    <a:prstGeom prst="rect"/>
                  </pic:spPr>
                </pic:pic>
              </a:graphicData>
            </a:graphic>
          </wp:inline>
        </w:drawing>
      </w:r>
    </w:p>
    <w:p>
      <w:pPr>
        <w:spacing w:before="320" w:after="40"/>
      </w:pPr>
      <w:r>
        <w:rPr>
          <w:rFonts w:ascii="IBM Plex Sans" w:hAnsi="IBM Plex Sans" w:cs="IBM Plex Sans"/>
          <w:b/>
          <w:color w:val="1F3A5F"/>
          <w:sz w:val="18"/>
        </w:rPr>
        <w:t>§ 3</w:t>
      </w:r>
    </w:p>
    <w:p>
      <w:pPr>
        <w:spacing w:after="160" w:line="240" w:lineRule="auto"/>
      </w:pPr>
      <w:r>
        <w:rPr>
          <w:rFonts w:ascii="Newsreader" w:hAnsi="Newsreader" w:cs="Newsreader"/>
          <w:color w:val="161412"/>
          <w:sz w:val="38"/>
        </w:rPr>
        <w:t>Responder no es suficiente</w:t>
      </w:r>
    </w:p>
    <w:p>
      <w:pPr>
        <w:spacing w:after="120" w:line="320" w:lineRule="auto"/>
        <w:jc w:val="both"/>
      </w:pPr>
      <w:r>
        <w:rPr>
          <w:rFonts w:ascii="Newsreader" w:hAnsi="Newsreader" w:cs="Newsreader"/>
          <w:b w:val="0"/>
          <w:i w:val="0"/>
          <w:color w:val="161412"/>
        </w:rPr>
        <w:t>El usuario pulsa: algo cambia. Envía: aparece un spinner. Falla: el campo se marca en rojo. Desde el punto de vista técnico, hay respuesta. Pero desde el punto de vista perceptivo: ¿qué clase de respuesta es esa?</w:t>
      </w:r>
    </w:p>
    <w:p>
      <w:pPr>
        <w:spacing w:after="120" w:line="320" w:lineRule="auto"/>
        <w:jc w:val="both"/>
      </w:pPr>
      <w:r>
        <w:rPr>
          <w:rFonts w:ascii="Newsreader" w:hAnsi="Newsreader" w:cs="Newsreader"/>
          <w:b w:val="0"/>
          <w:i w:val="0"/>
          <w:color w:val="161412"/>
        </w:rPr>
        <w:t>Si todo se resuelve con respuestas locales, la interfaz puede funcionar pero no construir lenguaje. El usuario aprende por contexto, pero ese aprendizaje procede de su esfuerzo por reconstruir lo que el sistema no diferencia.</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Una interfaz no necesita responder más. Necesita responder con diferencias que tengan significado.</w:t>
      </w:r>
    </w:p>
    <w:p>
      <w:pPr>
        <w:spacing w:before="200" w:after="60"/>
        <w:jc w:val="center"/>
      </w:pPr>
      <w:r>
        <w:drawing>
          <wp:inline xmlns:a="http://schemas.openxmlformats.org/drawingml/2006/main" xmlns:pic="http://schemas.openxmlformats.org/drawingml/2006/picture">
            <wp:extent cx="5029200" cy="2652903"/>
            <wp:docPr id="25" name="Picture 25"/>
            <wp:cNvGraphicFramePr>
              <a:graphicFrameLocks noChangeAspect="1"/>
            </wp:cNvGraphicFramePr>
            <a:graphic>
              <a:graphicData uri="http://schemas.openxmlformats.org/drawingml/2006/picture">
                <pic:pic>
                  <pic:nvPicPr>
                    <pic:cNvPr id="0" name="figura-5-2.png"/>
                    <pic:cNvPicPr/>
                  </pic:nvPicPr>
                  <pic:blipFill>
                    <a:blip r:embed="rId33"/>
                    <a:stretch>
                      <a:fillRect/>
                    </a:stretch>
                  </pic:blipFill>
                  <pic:spPr>
                    <a:xfrm>
                      <a:off x="0" y="0"/>
                      <a:ext cx="5029200" cy="2652903"/>
                    </a:xfrm>
                    <a:prstGeom prst="rect"/>
                  </pic:spPr>
                </pic:pic>
              </a:graphicData>
            </a:graphic>
          </wp:inline>
        </w:drawing>
      </w:r>
    </w:p>
    <w:p>
      <w:pPr>
        <w:spacing w:before="320" w:after="40"/>
      </w:pPr>
      <w:r>
        <w:rPr>
          <w:rFonts w:ascii="IBM Plex Sans" w:hAnsi="IBM Plex Sans" w:cs="IBM Plex Sans"/>
          <w:b/>
          <w:color w:val="1F3A5F"/>
          <w:sz w:val="18"/>
        </w:rPr>
        <w:t>§ 4</w:t>
      </w:r>
    </w:p>
    <w:p>
      <w:pPr>
        <w:spacing w:after="160" w:line="240" w:lineRule="auto"/>
      </w:pPr>
      <w:r>
        <w:rPr>
          <w:rFonts w:ascii="Newsreader" w:hAnsi="Newsreader" w:cs="Newsreader"/>
          <w:color w:val="161412"/>
          <w:sz w:val="38"/>
        </w:rPr>
        <w:t>El problema de los efectos aislados</w:t>
      </w:r>
    </w:p>
    <w:p>
      <w:pPr>
        <w:spacing w:after="120" w:line="320" w:lineRule="auto"/>
        <w:jc w:val="both"/>
      </w:pPr>
      <w:r>
        <w:rPr>
          <w:rFonts w:ascii="Newsreader" w:hAnsi="Newsreader" w:cs="Newsreader"/>
          <w:b w:val="0"/>
          <w:i w:val="0"/>
          <w:color w:val="161412"/>
        </w:rPr>
        <w:t>Un efecto aislado responde a una pregunta local: ¿cómo hacemos que esto se note? Una gramática responde a otra: ¿qué clase de transformación necesita hacerse perceptible aquí? Si empezamos por el efecto, la interfaz se llena de soluciones agradables pero no coherentes. Si empezamos por el evento, el efecto se convierte en realización de una diferencia previa.</w:t>
      </w:r>
    </w:p>
    <w:p>
      <w:pPr>
        <w:spacing w:after="120" w:line="320" w:lineRule="auto"/>
        <w:jc w:val="both"/>
      </w:pPr>
      <w:r>
        <w:rPr>
          <w:rFonts w:ascii="Newsreader" w:hAnsi="Newsreader" w:cs="Newsreader"/>
          <w:b/>
          <w:i w:val="0"/>
          <w:color w:val="161412"/>
        </w:rPr>
        <w:t>Distinción clave</w:t>
      </w:r>
    </w:p>
    <w:p>
      <w:pPr>
        <w:spacing w:after="120" w:line="320" w:lineRule="auto"/>
        <w:jc w:val="both"/>
      </w:pPr>
      <w:r>
        <w:rPr>
          <w:rFonts w:ascii="Newsreader" w:hAnsi="Newsreader" w:cs="Newsreader"/>
          <w:b w:val="0"/>
          <w:i w:val="0"/>
          <w:color w:val="161412"/>
        </w:rPr>
        <w:t>Un efecto pregunta: ¿cómo se ve o se siente esto? Una gramática pregunta: ¿qué diferencia debe reconocer el usuario?</w:t>
      </w:r>
    </w:p>
    <w:p>
      <w:pPr>
        <w:spacing w:before="320" w:after="40"/>
      </w:pPr>
      <w:r>
        <w:rPr>
          <w:rFonts w:ascii="IBM Plex Sans" w:hAnsi="IBM Plex Sans" w:cs="IBM Plex Sans"/>
          <w:b/>
          <w:color w:val="1F3A5F"/>
          <w:sz w:val="18"/>
        </w:rPr>
        <w:t>§ 5</w:t>
      </w:r>
    </w:p>
    <w:p>
      <w:pPr>
        <w:spacing w:after="160" w:line="240" w:lineRule="auto"/>
      </w:pPr>
      <w:r>
        <w:rPr>
          <w:rFonts w:ascii="Newsreader" w:hAnsi="Newsreader" w:cs="Newsreader"/>
          <w:color w:val="161412"/>
          <w:sz w:val="38"/>
        </w:rPr>
        <w:t>Tres fallos de una interfaz sin gramática</w:t>
      </w:r>
    </w:p>
    <w:p>
      <w:pPr>
        <w:spacing w:after="120" w:line="320" w:lineRule="auto"/>
        <w:jc w:val="both"/>
      </w:pPr>
      <w:r>
        <w:rPr>
          <w:rFonts w:ascii="Newsreader" w:hAnsi="Newsreader" w:cs="Newsreader"/>
          <w:b w:val="0"/>
          <w:i w:val="0"/>
          <w:color w:val="161412"/>
        </w:rPr>
        <w:t>Indiferenciación: eventos distintos se sienten iguales. Todo resultado positivo es success, todo problema es danger, toda espera es spinner. La interfaz tiene vocabulario, pero es demasiado pequeño para las diferencias que necesita expresar.</w:t>
      </w:r>
    </w:p>
    <w:p>
      <w:pPr>
        <w:spacing w:after="120" w:line="320" w:lineRule="auto"/>
        <w:jc w:val="both"/>
      </w:pPr>
      <w:r>
        <w:rPr>
          <w:rFonts w:ascii="Newsreader" w:hAnsi="Newsreader" w:cs="Newsreader"/>
          <w:b w:val="0"/>
          <w:i w:val="0"/>
          <w:color w:val="161412"/>
        </w:rPr>
        <w:t>Arbitrariedad: el mismo tipo de evento se expresa de formas distintas según el lugar. Una selección rebota en una pantalla, cambia solo de color en otra. La gramática permite variación sin perder identidad.</w:t>
      </w:r>
    </w:p>
    <w:p>
      <w:pPr>
        <w:spacing w:after="120" w:line="320" w:lineRule="auto"/>
        <w:jc w:val="both"/>
      </w:pPr>
      <w:r>
        <w:rPr>
          <w:rFonts w:ascii="Newsreader" w:hAnsi="Newsreader" w:cs="Newsreader"/>
          <w:b w:val="0"/>
          <w:i w:val="0"/>
          <w:color w:val="161412"/>
        </w:rPr>
        <w:t>Capricho: estímulos sin necesidad semántica. Una animación porque «da vida», un sonido porque «queda premium». Cada estímulo que no aporta significado añade ruido. Una gramática no solo dice cómo expresar; también ayuda a decidir cuándo callar.</w:t>
      </w:r>
    </w:p>
    <w:p>
      <w:pPr>
        <w:spacing w:before="200" w:after="60"/>
        <w:jc w:val="center"/>
      </w:pPr>
      <w:r>
        <w:drawing>
          <wp:inline xmlns:a="http://schemas.openxmlformats.org/drawingml/2006/main" xmlns:pic="http://schemas.openxmlformats.org/drawingml/2006/picture">
            <wp:extent cx="5029200" cy="2304002"/>
            <wp:docPr id="26" name="Picture 26"/>
            <wp:cNvGraphicFramePr>
              <a:graphicFrameLocks noChangeAspect="1"/>
            </wp:cNvGraphicFramePr>
            <a:graphic>
              <a:graphicData uri="http://schemas.openxmlformats.org/drawingml/2006/picture">
                <pic:pic>
                  <pic:nvPicPr>
                    <pic:cNvPr id="0" name="figura-5-3.png"/>
                    <pic:cNvPicPr/>
                  </pic:nvPicPr>
                  <pic:blipFill>
                    <a:blip r:embed="rId34"/>
                    <a:stretch>
                      <a:fillRect/>
                    </a:stretch>
                  </pic:blipFill>
                  <pic:spPr>
                    <a:xfrm>
                      <a:off x="0" y="0"/>
                      <a:ext cx="5029200" cy="2304002"/>
                    </a:xfrm>
                    <a:prstGeom prst="rect"/>
                  </pic:spPr>
                </pic:pic>
              </a:graphicData>
            </a:graphic>
          </wp:inline>
        </w:drawing>
      </w:r>
    </w:p>
    <w:p>
      <w:pPr>
        <w:spacing w:before="320" w:after="40"/>
      </w:pPr>
      <w:r>
        <w:rPr>
          <w:rFonts w:ascii="IBM Plex Sans" w:hAnsi="IBM Plex Sans" w:cs="IBM Plex Sans"/>
          <w:b/>
          <w:color w:val="1F3A5F"/>
          <w:sz w:val="18"/>
        </w:rPr>
        <w:t>§ 6</w:t>
      </w:r>
    </w:p>
    <w:p>
      <w:pPr>
        <w:spacing w:after="160" w:line="240" w:lineRule="auto"/>
      </w:pPr>
      <w:r>
        <w:rPr>
          <w:rFonts w:ascii="Newsreader" w:hAnsi="Newsreader" w:cs="Newsreader"/>
          <w:color w:val="161412"/>
          <w:sz w:val="38"/>
        </w:rPr>
        <w:t>Gramática y economía cognitiva</w:t>
      </w:r>
    </w:p>
    <w:p>
      <w:pPr>
        <w:spacing w:after="120" w:line="320" w:lineRule="auto"/>
        <w:jc w:val="both"/>
      </w:pPr>
      <w:r>
        <w:rPr>
          <w:rFonts w:ascii="Newsreader" w:hAnsi="Newsreader" w:cs="Newsreader"/>
          <w:b w:val="0"/>
          <w:i w:val="0"/>
          <w:color w:val="161412"/>
        </w:rPr>
        <w:t>Cada vez que la interfaz cambia, el usuario responde a preguntas: ¿qué cambió? ¿lo causé yo? ¿sigue ocurriendo? ¿terminó? ¿es bueno o malo? ¿debo actuar? La gramática no elimina trabajo cognitivo. Lo distribuye mejor.</w:t>
      </w:r>
    </w:p>
    <w:p>
      <w:pPr>
        <w:spacing w:after="200" w:before="40"/>
      </w:pPr>
      <w:r>
        <w:rPr>
          <w:rFonts w:ascii="IBM Plex Sans" w:hAnsi="IBM Plex Sans" w:cs="IBM Plex Sans"/>
          <w:b/>
          <w:color w:val="1F3A5F"/>
          <w:sz w:val="17"/>
        </w:rPr>
        <w:t xml:space="preserve">TABLA 5.2   </w:t>
      </w:r>
      <w:r>
        <w:rPr>
          <w:rFonts w:ascii="IBM Plex Sans" w:hAnsi="IBM Plex Sans" w:cs="IBM Plex Sans"/>
          <w:color w:val="3A352F"/>
          <w:sz w:val="18"/>
        </w:rPr>
        <w:t xml:space="preserve">Qué reduce una gramática de eventos</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SIN GRAMÁTICA</w:t>
            </w:r>
          </w:p>
        </w:tc>
        <w:tc>
          <w:tcPr>
            <w:tcW w:type="dxa" w:w="4158"/>
            <w:shd w:val="clear" w:color="auto" w:fill="EAE4D8"/>
          </w:tcPr>
          <w:p>
            <w:pPr>
              <w:spacing w:after="40"/>
            </w:pPr>
            <w:r>
              <w:rPr>
                <w:sz w:val="17"/>
              </w:rPr>
            </w:r>
            <w:r>
              <w:rPr>
                <w:rFonts w:ascii="IBM Plex Sans" w:hAnsi="IBM Plex Sans" w:cs="IBM Plex Sans"/>
                <w:b/>
                <w:i w:val="0"/>
                <w:color w:val="1F3A5F"/>
                <w:sz w:val="17"/>
              </w:rPr>
              <w:t>CON GRAMÁTICA</w:t>
            </w:r>
          </w:p>
        </w:tc>
      </w:tr>
      <w:tr>
        <w:tc>
          <w:tcPr>
            <w:tcW w:type="dxa" w:w="4158"/>
          </w:tcPr>
          <w:p>
            <w:pPr>
              <w:spacing w:after="40"/>
            </w:pPr>
            <w:r>
              <w:rPr>
                <w:sz w:val="17"/>
              </w:rPr>
            </w:r>
            <w:r>
              <w:rPr>
                <w:rFonts w:ascii="IBM Plex Sans" w:hAnsi="IBM Plex Sans" w:cs="IBM Plex Sans"/>
                <w:b w:val="0"/>
                <w:i w:val="0"/>
                <w:color w:val="161412"/>
                <w:sz w:val="17"/>
              </w:rPr>
              <w:t>El usuario interpreta cada cambio por contexto</w:t>
            </w:r>
          </w:p>
        </w:tc>
        <w:tc>
          <w:tcPr>
            <w:tcW w:type="dxa" w:w="4158"/>
          </w:tcPr>
          <w:p>
            <w:pPr>
              <w:spacing w:after="40"/>
            </w:pPr>
            <w:r>
              <w:rPr>
                <w:sz w:val="17"/>
              </w:rPr>
            </w:r>
            <w:r>
              <w:rPr>
                <w:rFonts w:ascii="IBM Plex Sans" w:hAnsi="IBM Plex Sans" w:cs="IBM Plex Sans"/>
                <w:b w:val="0"/>
                <w:i w:val="0"/>
                <w:color w:val="161412"/>
                <w:sz w:val="17"/>
              </w:rPr>
              <w:t>El usuario reconoce familias de cambio</w:t>
            </w:r>
          </w:p>
        </w:tc>
      </w:tr>
      <w:tr>
        <w:tc>
          <w:tcPr>
            <w:tcW w:type="dxa" w:w="4158"/>
          </w:tcPr>
          <w:p>
            <w:pPr>
              <w:spacing w:after="40"/>
            </w:pPr>
            <w:r>
              <w:rPr>
                <w:sz w:val="17"/>
              </w:rPr>
            </w:r>
            <w:r>
              <w:rPr>
                <w:rFonts w:ascii="IBM Plex Sans" w:hAnsi="IBM Plex Sans" w:cs="IBM Plex Sans"/>
                <w:b w:val="0"/>
                <w:i w:val="0"/>
                <w:color w:val="161412"/>
                <w:sz w:val="17"/>
              </w:rPr>
              <w:t>Los efectos son soluciones locales</w:t>
            </w:r>
          </w:p>
        </w:tc>
        <w:tc>
          <w:tcPr>
            <w:tcW w:type="dxa" w:w="4158"/>
          </w:tcPr>
          <w:p>
            <w:pPr>
              <w:spacing w:after="40"/>
            </w:pPr>
            <w:r>
              <w:rPr>
                <w:sz w:val="17"/>
              </w:rPr>
            </w:r>
            <w:r>
              <w:rPr>
                <w:rFonts w:ascii="IBM Plex Sans" w:hAnsi="IBM Plex Sans" w:cs="IBM Plex Sans"/>
                <w:b w:val="0"/>
                <w:i w:val="0"/>
                <w:color w:val="161412"/>
                <w:sz w:val="17"/>
              </w:rPr>
              <w:t>Los efectos expresan eventos identificables</w:t>
            </w:r>
          </w:p>
        </w:tc>
      </w:tr>
      <w:tr>
        <w:tc>
          <w:tcPr>
            <w:tcW w:type="dxa" w:w="4158"/>
          </w:tcPr>
          <w:p>
            <w:pPr>
              <w:spacing w:after="40"/>
            </w:pPr>
            <w:r>
              <w:rPr>
                <w:sz w:val="17"/>
              </w:rPr>
            </w:r>
            <w:r>
              <w:rPr>
                <w:rFonts w:ascii="IBM Plex Sans" w:hAnsi="IBM Plex Sans" w:cs="IBM Plex Sans"/>
                <w:b w:val="0"/>
                <w:i w:val="0"/>
                <w:color w:val="161412"/>
                <w:sz w:val="17"/>
              </w:rPr>
              <w:t>El color carga con demasiada semántica</w:t>
            </w:r>
          </w:p>
        </w:tc>
        <w:tc>
          <w:tcPr>
            <w:tcW w:type="dxa" w:w="4158"/>
          </w:tcPr>
          <w:p>
            <w:pPr>
              <w:spacing w:after="40"/>
            </w:pPr>
            <w:r>
              <w:rPr>
                <w:sz w:val="17"/>
              </w:rPr>
            </w:r>
            <w:r>
              <w:rPr>
                <w:rFonts w:ascii="IBM Plex Sans" w:hAnsi="IBM Plex Sans" w:cs="IBM Plex Sans"/>
                <w:b w:val="0"/>
                <w:i w:val="0"/>
                <w:color w:val="161412"/>
                <w:sz w:val="17"/>
              </w:rPr>
              <w:t>La semántica se distribuye entre canales</w:t>
            </w:r>
          </w:p>
        </w:tc>
      </w:tr>
      <w:tr>
        <w:tc>
          <w:tcPr>
            <w:tcW w:type="dxa" w:w="4158"/>
          </w:tcPr>
          <w:p>
            <w:pPr>
              <w:spacing w:after="40"/>
            </w:pPr>
            <w:r>
              <w:rPr>
                <w:sz w:val="17"/>
              </w:rPr>
            </w:r>
            <w:r>
              <w:rPr>
                <w:rFonts w:ascii="IBM Plex Sans" w:hAnsi="IBM Plex Sans" w:cs="IBM Plex Sans"/>
                <w:b w:val="0"/>
                <w:i w:val="0"/>
                <w:color w:val="161412"/>
                <w:sz w:val="17"/>
              </w:rPr>
              <w:t>La accesibilidad elimina señales sin reemplazo</w:t>
            </w:r>
          </w:p>
        </w:tc>
        <w:tc>
          <w:tcPr>
            <w:tcW w:type="dxa" w:w="4158"/>
          </w:tcPr>
          <w:p>
            <w:pPr>
              <w:spacing w:after="40"/>
            </w:pPr>
            <w:r>
              <w:rPr>
                <w:sz w:val="17"/>
              </w:rPr>
            </w:r>
            <w:r>
              <w:rPr>
                <w:rFonts w:ascii="IBM Plex Sans" w:hAnsi="IBM Plex Sans" w:cs="IBM Plex Sans"/>
                <w:b w:val="0"/>
                <w:i w:val="0"/>
                <w:color w:val="161412"/>
                <w:sz w:val="17"/>
              </w:rPr>
              <w:t>La carga semántica puede migrar entre canales</w:t>
            </w:r>
          </w:p>
        </w:tc>
      </w:tr>
    </w:tbl>
    <w:p>
      <w:pPr>
        <w:spacing w:before="320" w:after="40"/>
      </w:pPr>
      <w:r>
        <w:rPr>
          <w:rFonts w:ascii="IBM Plex Sans" w:hAnsi="IBM Plex Sans" w:cs="IBM Plex Sans"/>
          <w:b/>
          <w:color w:val="1F3A5F"/>
          <w:sz w:val="18"/>
        </w:rPr>
        <w:t>§ 7</w:t>
      </w:r>
    </w:p>
    <w:p>
      <w:pPr>
        <w:spacing w:after="160" w:line="240" w:lineRule="auto"/>
      </w:pPr>
      <w:r>
        <w:rPr>
          <w:rFonts w:ascii="Newsreader" w:hAnsi="Newsreader" w:cs="Newsreader"/>
          <w:color w:val="161412"/>
          <w:sz w:val="38"/>
        </w:rPr>
        <w:t>De la consistencia visual a la consistencia semántica</w:t>
      </w:r>
    </w:p>
    <w:p>
      <w:pPr>
        <w:spacing w:after="120" w:line="320" w:lineRule="auto"/>
        <w:jc w:val="both"/>
      </w:pPr>
      <w:r>
        <w:rPr>
          <w:rFonts w:ascii="Newsreader" w:hAnsi="Newsreader" w:cs="Newsreader"/>
          <w:b w:val="0"/>
          <w:i w:val="0"/>
          <w:color w:val="161412"/>
        </w:rPr>
        <w:t>La consistencia visual responde a: ¿esto pertenece al mismo sistema formal? La consistencia semántica responde a otra: ¿esto pertenece a la misma clase de evento? Un sistema puede ser visualmente consistente y semánticamente pobre: paleta impecable, componentes bien construidos, pero eventos indiferenciados.</w:t>
      </w:r>
    </w:p>
    <w:p>
      <w:pPr>
        <w:spacing w:before="200" w:after="60"/>
        <w:jc w:val="center"/>
      </w:pPr>
      <w:r>
        <w:drawing>
          <wp:inline xmlns:a="http://schemas.openxmlformats.org/drawingml/2006/main" xmlns:pic="http://schemas.openxmlformats.org/drawingml/2006/picture">
            <wp:extent cx="5029200" cy="2445448"/>
            <wp:docPr id="27" name="Picture 27"/>
            <wp:cNvGraphicFramePr>
              <a:graphicFrameLocks noChangeAspect="1"/>
            </wp:cNvGraphicFramePr>
            <a:graphic>
              <a:graphicData uri="http://schemas.openxmlformats.org/drawingml/2006/picture">
                <pic:pic>
                  <pic:nvPicPr>
                    <pic:cNvPr id="0" name="figura-5-4.png"/>
                    <pic:cNvPicPr/>
                  </pic:nvPicPr>
                  <pic:blipFill>
                    <a:blip r:embed="rId35"/>
                    <a:stretch>
                      <a:fillRect/>
                    </a:stretch>
                  </pic:blipFill>
                  <pic:spPr>
                    <a:xfrm>
                      <a:off x="0" y="0"/>
                      <a:ext cx="5029200" cy="2445448"/>
                    </a:xfrm>
                    <a:prstGeom prst="rect"/>
                  </pic:spPr>
                </pic:pic>
              </a:graphicData>
            </a:graphic>
          </wp:inline>
        </w:drawing>
      </w:r>
    </w:p>
    <w:p>
      <w:pPr>
        <w:spacing w:before="320" w:after="40"/>
      </w:pPr>
      <w:r>
        <w:rPr>
          <w:rFonts w:ascii="IBM Plex Sans" w:hAnsi="IBM Plex Sans" w:cs="IBM Plex Sans"/>
          <w:b/>
          <w:color w:val="1F3A5F"/>
          <w:sz w:val="18"/>
        </w:rPr>
        <w:t>§ 8</w:t>
      </w:r>
    </w:p>
    <w:p>
      <w:pPr>
        <w:spacing w:after="160" w:line="240" w:lineRule="auto"/>
      </w:pPr>
      <w:r>
        <w:rPr>
          <w:rFonts w:ascii="Newsreader" w:hAnsi="Newsreader" w:cs="Newsreader"/>
          <w:color w:val="161412"/>
          <w:sz w:val="38"/>
        </w:rPr>
        <w:t>Los niveles de la gramática</w:t>
      </w:r>
    </w:p>
    <w:p>
      <w:pPr>
        <w:spacing w:after="120" w:line="320" w:lineRule="auto"/>
        <w:jc w:val="both"/>
      </w:pPr>
      <w:r>
        <w:rPr>
          <w:rFonts w:ascii="Newsreader" w:hAnsi="Newsreader" w:cs="Newsreader"/>
          <w:b w:val="0"/>
          <w:i w:val="0"/>
          <w:color w:val="161412"/>
        </w:rPr>
        <w:t>Cinco niveles que no deben mezclarse: la familia (qué clase de evento), el verbo (qué ocurre concretamente), la fase (en qué momento temporal), el intent (cómo se evalúa si es evaluable) y la realización (cómo se expresa por canales concretos).</w:t>
      </w:r>
    </w:p>
    <w:p>
      <w:pPr>
        <w:spacing w:after="120" w:line="320" w:lineRule="auto"/>
        <w:jc w:val="both"/>
      </w:pPr>
      <w:r>
        <w:rPr>
          <w:rFonts w:ascii="Newsreader" w:hAnsi="Newsreader" w:cs="Newsreader"/>
          <w:b w:val="0"/>
          <w:i w:val="0"/>
          <w:color w:val="161412"/>
        </w:rPr>
        <w:t>Si mezclamos familia y efecto, acabamos diciendo «este evento es un bounce». Si mezclamos intent y color, «esto es rojo». Si mezclamos evento técnico y semántica, «esto es un click». Separar niveles permite pensar mejor.</w:t>
      </w:r>
    </w:p>
    <w:p>
      <w:pPr>
        <w:spacing w:before="200" w:after="60"/>
        <w:jc w:val="center"/>
      </w:pPr>
      <w:r>
        <w:drawing>
          <wp:inline xmlns:a="http://schemas.openxmlformats.org/drawingml/2006/main" xmlns:pic="http://schemas.openxmlformats.org/drawingml/2006/picture">
            <wp:extent cx="5029200" cy="2932652"/>
            <wp:docPr id="28" name="Picture 28"/>
            <wp:cNvGraphicFramePr>
              <a:graphicFrameLocks noChangeAspect="1"/>
            </wp:cNvGraphicFramePr>
            <a:graphic>
              <a:graphicData uri="http://schemas.openxmlformats.org/drawingml/2006/picture">
                <pic:pic>
                  <pic:nvPicPr>
                    <pic:cNvPr id="0" name="figura-5-5.png"/>
                    <pic:cNvPicPr/>
                  </pic:nvPicPr>
                  <pic:blipFill>
                    <a:blip r:embed="rId36"/>
                    <a:stretch>
                      <a:fillRect/>
                    </a:stretch>
                  </pic:blipFill>
                  <pic:spPr>
                    <a:xfrm>
                      <a:off x="0" y="0"/>
                      <a:ext cx="5029200" cy="2932652"/>
                    </a:xfrm>
                    <a:prstGeom prst="rect"/>
                  </pic:spPr>
                </pic:pic>
              </a:graphicData>
            </a:graphic>
          </wp:inline>
        </w:drawing>
      </w:r>
    </w:p>
    <w:p>
      <w:pPr>
        <w:spacing w:before="320" w:after="40"/>
      </w:pPr>
      <w:r>
        <w:rPr>
          <w:rFonts w:ascii="IBM Plex Sans" w:hAnsi="IBM Plex Sans" w:cs="IBM Plex Sans"/>
          <w:b/>
          <w:color w:val="1F3A5F"/>
          <w:sz w:val="18"/>
        </w:rPr>
        <w:t>§ 9</w:t>
      </w:r>
    </w:p>
    <w:p>
      <w:pPr>
        <w:spacing w:after="160" w:line="240" w:lineRule="auto"/>
      </w:pPr>
      <w:r>
        <w:rPr>
          <w:rFonts w:ascii="Newsreader" w:hAnsi="Newsreader" w:cs="Newsreader"/>
          <w:color w:val="161412"/>
          <w:sz w:val="38"/>
        </w:rPr>
        <w:t>Composición y proporción</w:t>
      </w:r>
    </w:p>
    <w:p>
      <w:pPr>
        <w:spacing w:after="120" w:line="320" w:lineRule="auto"/>
        <w:jc w:val="both"/>
      </w:pPr>
      <w:r>
        <w:rPr>
          <w:rFonts w:ascii="Newsreader" w:hAnsi="Newsreader" w:cs="Newsreader"/>
          <w:b w:val="0"/>
          <w:i w:val="0"/>
          <w:color w:val="161412"/>
        </w:rPr>
        <w:t>Los eventos reales rara vez aparecen aislados. Un guardado largo contiene contacto, sostenimiento y consolidación. Una eliminación contiene contacto, señal de amenaza, cambio de contexto y pérdida. Sin gramática, son acumulación de efectos. Con gramática, cada parte tiene función.</w:t>
      </w:r>
    </w:p>
    <w:p>
      <w:pPr>
        <w:spacing w:after="120" w:line="320" w:lineRule="auto"/>
        <w:jc w:val="both"/>
      </w:pPr>
      <w:r>
        <w:rPr>
          <w:rFonts w:ascii="Newsreader" w:hAnsi="Newsreader" w:cs="Newsreader"/>
          <w:b w:val="0"/>
          <w:i w:val="0"/>
          <w:color w:val="161412"/>
        </w:rPr>
        <w:t>Además, no todas las diferencias merecen la misma intensidad. Si cada guardado automático se celebra como culminación, la recompensa se desgasta. Si cada validación fallida se trata como amenaza, la interfaz fatiga.</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La intensidad de una señal debe ser proporcional a la consecuencia perceptiva del evento.</w:t>
      </w:r>
    </w:p>
    <w:p>
      <w:pPr>
        <w:spacing w:after="200" w:before="40"/>
      </w:pPr>
      <w:r>
        <w:rPr>
          <w:rFonts w:ascii="IBM Plex Sans" w:hAnsi="IBM Plex Sans" w:cs="IBM Plex Sans"/>
          <w:b/>
          <w:color w:val="1F3A5F"/>
          <w:sz w:val="17"/>
        </w:rPr>
        <w:t xml:space="preserve">TABLA 5.3   </w:t>
      </w:r>
      <w:r>
        <w:rPr>
          <w:rFonts w:ascii="IBM Plex Sans" w:hAnsi="IBM Plex Sans" w:cs="IBM Plex Sans"/>
          <w:color w:val="3A352F"/>
          <w:sz w:val="18"/>
        </w:rPr>
        <w:t xml:space="preserve">Proporción semántica</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EVENTO</w:t>
            </w:r>
          </w:p>
        </w:tc>
        <w:tc>
          <w:tcPr>
            <w:tcW w:type="dxa" w:w="2772"/>
            <w:shd w:val="clear" w:color="auto" w:fill="EAE4D8"/>
          </w:tcPr>
          <w:p>
            <w:pPr>
              <w:spacing w:after="40"/>
            </w:pPr>
            <w:r>
              <w:rPr>
                <w:sz w:val="17"/>
              </w:rPr>
            </w:r>
            <w:r>
              <w:rPr>
                <w:rFonts w:ascii="IBM Plex Sans" w:hAnsi="IBM Plex Sans" w:cs="IBM Plex Sans"/>
                <w:b/>
                <w:i w:val="0"/>
                <w:color w:val="1F3A5F"/>
                <w:sz w:val="17"/>
              </w:rPr>
              <w:t>CONSECUENCIA</w:t>
            </w:r>
          </w:p>
        </w:tc>
        <w:tc>
          <w:tcPr>
            <w:tcW w:type="dxa" w:w="2772"/>
            <w:shd w:val="clear" w:color="auto" w:fill="EAE4D8"/>
          </w:tcPr>
          <w:p>
            <w:pPr>
              <w:spacing w:after="40"/>
            </w:pPr>
            <w:r>
              <w:rPr>
                <w:sz w:val="17"/>
              </w:rPr>
            </w:r>
            <w:r>
              <w:rPr>
                <w:rFonts w:ascii="IBM Plex Sans" w:hAnsi="IBM Plex Sans" w:cs="IBM Plex Sans"/>
                <w:b/>
                <w:i w:val="0"/>
                <w:color w:val="1F3A5F"/>
                <w:sz w:val="17"/>
              </w:rPr>
              <w:t>INTENSIDAD RECOMENDABLE</w:t>
            </w:r>
          </w:p>
        </w:tc>
      </w:tr>
      <w:tr>
        <w:tc>
          <w:tcPr>
            <w:tcW w:type="dxa" w:w="2772"/>
          </w:tcPr>
          <w:p>
            <w:pPr>
              <w:spacing w:after="40"/>
            </w:pPr>
            <w:r>
              <w:rPr>
                <w:sz w:val="17"/>
              </w:rPr>
            </w:r>
            <w:r>
              <w:rPr>
                <w:rFonts w:ascii="IBM Plex Sans" w:hAnsi="IBM Plex Sans" w:cs="IBM Plex Sans"/>
                <w:b w:val="0"/>
                <w:i w:val="0"/>
                <w:color w:val="161412"/>
                <w:sz w:val="17"/>
              </w:rPr>
              <w:t>Contacto común</w:t>
            </w:r>
          </w:p>
        </w:tc>
        <w:tc>
          <w:tcPr>
            <w:tcW w:type="dxa" w:w="2772"/>
          </w:tcPr>
          <w:p>
            <w:pPr>
              <w:spacing w:after="40"/>
            </w:pPr>
            <w:r>
              <w:rPr>
                <w:sz w:val="17"/>
              </w:rPr>
            </w:r>
            <w:r>
              <w:rPr>
                <w:rFonts w:ascii="IBM Plex Sans" w:hAnsi="IBM Plex Sans" w:cs="IBM Plex Sans"/>
                <w:b w:val="0"/>
                <w:i w:val="0"/>
                <w:color w:val="161412"/>
                <w:sz w:val="17"/>
              </w:rPr>
              <w:t>Baja, inmediata</w:t>
            </w:r>
          </w:p>
        </w:tc>
        <w:tc>
          <w:tcPr>
            <w:tcW w:type="dxa" w:w="2772"/>
          </w:tcPr>
          <w:p>
            <w:pPr>
              <w:spacing w:after="40"/>
            </w:pPr>
            <w:r>
              <w:rPr>
                <w:sz w:val="17"/>
              </w:rPr>
            </w:r>
            <w:r>
              <w:rPr>
                <w:rFonts w:ascii="IBM Plex Sans" w:hAnsi="IBM Plex Sans" w:cs="IBM Plex Sans"/>
                <w:b w:val="0"/>
                <w:i w:val="0"/>
                <w:color w:val="161412"/>
                <w:sz w:val="17"/>
              </w:rPr>
              <w:t>Mínima y breve</w:t>
            </w:r>
          </w:p>
        </w:tc>
      </w:tr>
      <w:tr>
        <w:tc>
          <w:tcPr>
            <w:tcW w:type="dxa" w:w="2772"/>
          </w:tcPr>
          <w:p>
            <w:pPr>
              <w:spacing w:after="40"/>
            </w:pPr>
            <w:r>
              <w:rPr>
                <w:sz w:val="17"/>
              </w:rPr>
            </w:r>
            <w:r>
              <w:rPr>
                <w:rFonts w:ascii="IBM Plex Sans" w:hAnsi="IBM Plex Sans" w:cs="IBM Plex Sans"/>
                <w:b w:val="0"/>
                <w:i w:val="0"/>
                <w:color w:val="161412"/>
                <w:sz w:val="17"/>
              </w:rPr>
              <w:t>Autoguardado</w:t>
            </w:r>
          </w:p>
        </w:tc>
        <w:tc>
          <w:tcPr>
            <w:tcW w:type="dxa" w:w="2772"/>
          </w:tcPr>
          <w:p>
            <w:pPr>
              <w:spacing w:after="40"/>
            </w:pPr>
            <w:r>
              <w:rPr>
                <w:sz w:val="17"/>
              </w:rPr>
            </w:r>
            <w:r>
              <w:rPr>
                <w:rFonts w:ascii="IBM Plex Sans" w:hAnsi="IBM Plex Sans" w:cs="IBM Plex Sans"/>
                <w:b w:val="0"/>
                <w:i w:val="0"/>
                <w:color w:val="161412"/>
                <w:sz w:val="17"/>
              </w:rPr>
              <w:t>Positiva leve</w:t>
            </w:r>
          </w:p>
        </w:tc>
        <w:tc>
          <w:tcPr>
            <w:tcW w:type="dxa" w:w="2772"/>
          </w:tcPr>
          <w:p>
            <w:pPr>
              <w:spacing w:after="40"/>
            </w:pPr>
            <w:r>
              <w:rPr>
                <w:sz w:val="17"/>
              </w:rPr>
            </w:r>
            <w:r>
              <w:rPr>
                <w:rFonts w:ascii="IBM Plex Sans" w:hAnsi="IBM Plex Sans" w:cs="IBM Plex Sans"/>
                <w:b w:val="0"/>
                <w:i w:val="0"/>
                <w:color w:val="161412"/>
                <w:sz w:val="17"/>
              </w:rPr>
              <w:t>Confirmación suave</w:t>
            </w:r>
          </w:p>
        </w:tc>
      </w:tr>
      <w:tr>
        <w:tc>
          <w:tcPr>
            <w:tcW w:type="dxa" w:w="2772"/>
          </w:tcPr>
          <w:p>
            <w:pPr>
              <w:spacing w:after="40"/>
            </w:pPr>
            <w:r>
              <w:rPr>
                <w:sz w:val="17"/>
              </w:rPr>
            </w:r>
            <w:r>
              <w:rPr>
                <w:rFonts w:ascii="IBM Plex Sans" w:hAnsi="IBM Plex Sans" w:cs="IBM Plex Sans"/>
                <w:b w:val="0"/>
                <w:i w:val="0"/>
                <w:color w:val="161412"/>
                <w:sz w:val="17"/>
              </w:rPr>
              <w:t>Operación larga completada</w:t>
            </w:r>
          </w:p>
        </w:tc>
        <w:tc>
          <w:tcPr>
            <w:tcW w:type="dxa" w:w="2772"/>
          </w:tcPr>
          <w:p>
            <w:pPr>
              <w:spacing w:after="40"/>
            </w:pPr>
            <w:r>
              <w:rPr>
                <w:sz w:val="17"/>
              </w:rPr>
            </w:r>
            <w:r>
              <w:rPr>
                <w:rFonts w:ascii="IBM Plex Sans" w:hAnsi="IBM Plex Sans" w:cs="IBM Plex Sans"/>
                <w:b w:val="0"/>
                <w:i w:val="0"/>
                <w:color w:val="161412"/>
                <w:sz w:val="17"/>
              </w:rPr>
              <w:t>Positiva con tensión previa</w:t>
            </w:r>
          </w:p>
        </w:tc>
        <w:tc>
          <w:tcPr>
            <w:tcW w:type="dxa" w:w="2772"/>
          </w:tcPr>
          <w:p>
            <w:pPr>
              <w:spacing w:after="40"/>
            </w:pPr>
            <w:r>
              <w:rPr>
                <w:sz w:val="17"/>
              </w:rPr>
            </w:r>
            <w:r>
              <w:rPr>
                <w:rFonts w:ascii="IBM Plex Sans" w:hAnsi="IBM Plex Sans" w:cs="IBM Plex Sans"/>
                <w:b w:val="0"/>
                <w:i w:val="0"/>
                <w:color w:val="161412"/>
                <w:sz w:val="17"/>
              </w:rPr>
              <w:t>Resolución más expresiva</w:t>
            </w:r>
          </w:p>
        </w:tc>
      </w:tr>
      <w:tr>
        <w:tc>
          <w:tcPr>
            <w:tcW w:type="dxa" w:w="2772"/>
          </w:tcPr>
          <w:p>
            <w:pPr>
              <w:spacing w:after="40"/>
            </w:pPr>
            <w:r>
              <w:rPr>
                <w:sz w:val="17"/>
              </w:rPr>
            </w:r>
            <w:r>
              <w:rPr>
                <w:rFonts w:ascii="IBM Plex Sans" w:hAnsi="IBM Plex Sans" w:cs="IBM Plex Sans"/>
                <w:b w:val="0"/>
                <w:i w:val="0"/>
                <w:color w:val="161412"/>
                <w:sz w:val="17"/>
              </w:rPr>
              <w:t>Eliminación irreversible</w:t>
            </w:r>
          </w:p>
        </w:tc>
        <w:tc>
          <w:tcPr>
            <w:tcW w:type="dxa" w:w="2772"/>
          </w:tcPr>
          <w:p>
            <w:pPr>
              <w:spacing w:after="40"/>
            </w:pPr>
            <w:r>
              <w:rPr>
                <w:sz w:val="17"/>
              </w:rPr>
            </w:r>
            <w:r>
              <w:rPr>
                <w:rFonts w:ascii="IBM Plex Sans" w:hAnsi="IBM Plex Sans" w:cs="IBM Plex Sans"/>
                <w:b w:val="0"/>
                <w:i w:val="0"/>
                <w:color w:val="161412"/>
                <w:sz w:val="17"/>
              </w:rPr>
              <w:t>Alta consecuencia</w:t>
            </w:r>
          </w:p>
        </w:tc>
        <w:tc>
          <w:tcPr>
            <w:tcW w:type="dxa" w:w="2772"/>
          </w:tcPr>
          <w:p>
            <w:pPr>
              <w:spacing w:after="40"/>
            </w:pPr>
            <w:r>
              <w:rPr>
                <w:sz w:val="17"/>
              </w:rPr>
            </w:r>
            <w:r>
              <w:rPr>
                <w:rFonts w:ascii="IBM Plex Sans" w:hAnsi="IBM Plex Sans" w:cs="IBM Plex Sans"/>
                <w:b w:val="0"/>
                <w:i w:val="0"/>
                <w:color w:val="161412"/>
                <w:sz w:val="17"/>
              </w:rPr>
              <w:t>Señal grave, no necesariamente ruidosa</w:t>
            </w:r>
          </w:p>
        </w:tc>
      </w:tr>
      <w:tr>
        <w:tc>
          <w:tcPr>
            <w:tcW w:type="dxa" w:w="2772"/>
          </w:tcPr>
          <w:p>
            <w:pPr>
              <w:spacing w:after="40"/>
            </w:pPr>
            <w:r>
              <w:rPr>
                <w:sz w:val="17"/>
              </w:rPr>
            </w:r>
            <w:r>
              <w:rPr>
                <w:rFonts w:ascii="IBM Plex Sans" w:hAnsi="IBM Plex Sans" w:cs="IBM Plex Sans"/>
                <w:b w:val="0"/>
                <w:i w:val="0"/>
                <w:color w:val="161412"/>
                <w:sz w:val="17"/>
              </w:rPr>
              <w:t>Amenaza activa</w:t>
            </w:r>
          </w:p>
        </w:tc>
        <w:tc>
          <w:tcPr>
            <w:tcW w:type="dxa" w:w="2772"/>
          </w:tcPr>
          <w:p>
            <w:pPr>
              <w:spacing w:after="40"/>
            </w:pPr>
            <w:r>
              <w:rPr>
                <w:sz w:val="17"/>
              </w:rPr>
            </w:r>
            <w:r>
              <w:rPr>
                <w:rFonts w:ascii="IBM Plex Sans" w:hAnsi="IBM Plex Sans" w:cs="IBM Plex Sans"/>
                <w:b w:val="0"/>
                <w:i w:val="0"/>
                <w:color w:val="161412"/>
                <w:sz w:val="17"/>
              </w:rPr>
              <w:t>Urgencia alta</w:t>
            </w:r>
          </w:p>
        </w:tc>
        <w:tc>
          <w:tcPr>
            <w:tcW w:type="dxa" w:w="2772"/>
          </w:tcPr>
          <w:p>
            <w:pPr>
              <w:spacing w:after="40"/>
            </w:pPr>
            <w:r>
              <w:rPr>
                <w:sz w:val="17"/>
              </w:rPr>
            </w:r>
            <w:r>
              <w:rPr>
                <w:rFonts w:ascii="IBM Plex Sans" w:hAnsi="IBM Plex Sans" w:cs="IBM Plex Sans"/>
                <w:b w:val="0"/>
                <w:i w:val="0"/>
                <w:color w:val="161412"/>
                <w:sz w:val="17"/>
              </w:rPr>
              <w:t>Máxima claridad</w:t>
            </w:r>
          </w:p>
        </w:tc>
      </w:tr>
    </w:tbl>
    <w:p>
      <w:pPr>
        <w:spacing w:before="320" w:after="40"/>
      </w:pPr>
      <w:r>
        <w:rPr>
          <w:rFonts w:ascii="IBM Plex Sans" w:hAnsi="IBM Plex Sans" w:cs="IBM Plex Sans"/>
          <w:b/>
          <w:color w:val="1F3A5F"/>
          <w:sz w:val="18"/>
        </w:rPr>
        <w:t>§ 10</w:t>
      </w:r>
    </w:p>
    <w:p>
      <w:pPr>
        <w:spacing w:after="160" w:line="240" w:lineRule="auto"/>
      </w:pPr>
      <w:r>
        <w:rPr>
          <w:rFonts w:ascii="Newsreader" w:hAnsi="Newsreader" w:cs="Newsreader"/>
          <w:color w:val="161412"/>
          <w:sz w:val="38"/>
        </w:rPr>
        <w:t>La gramática debe ser multicanal</w:t>
      </w:r>
    </w:p>
    <w:p>
      <w:pPr>
        <w:spacing w:after="120" w:line="320" w:lineRule="auto"/>
        <w:jc w:val="both"/>
      </w:pPr>
      <w:r>
        <w:rPr>
          <w:rFonts w:ascii="Newsreader" w:hAnsi="Newsreader" w:cs="Newsreader"/>
          <w:b w:val="0"/>
          <w:i w:val="0"/>
          <w:color w:val="161412"/>
        </w:rPr>
        <w:t>Si todo depende del color, falla ante daltonismo. Si todo depende del motion, falla ante reducción de movimiento. La gramática debe distribuir significado de forma que el evento tenga identidad que sobreviva a la reducción de un canal.</w:t>
      </w:r>
    </w:p>
    <w:p>
      <w:pPr>
        <w:spacing w:after="120" w:line="320" w:lineRule="auto"/>
        <w:jc w:val="both"/>
      </w:pPr>
      <w:r>
        <w:rPr>
          <w:rFonts w:ascii="Newsreader" w:hAnsi="Newsreader" w:cs="Newsreader"/>
          <w:b w:val="0"/>
          <w:i w:val="0"/>
          <w:color w:val="161412"/>
        </w:rPr>
        <w:t>La accesibilidad no solo elimina canales; obliga a redistribuir significado.</w:t>
      </w:r>
    </w:p>
    <w:p>
      <w:pPr>
        <w:spacing w:before="200" w:after="60"/>
        <w:jc w:val="center"/>
      </w:pPr>
      <w:r>
        <w:drawing>
          <wp:inline xmlns:a="http://schemas.openxmlformats.org/drawingml/2006/main" xmlns:pic="http://schemas.openxmlformats.org/drawingml/2006/picture">
            <wp:extent cx="5029200" cy="2652903"/>
            <wp:docPr id="29" name="Picture 29"/>
            <wp:cNvGraphicFramePr>
              <a:graphicFrameLocks noChangeAspect="1"/>
            </wp:cNvGraphicFramePr>
            <a:graphic>
              <a:graphicData uri="http://schemas.openxmlformats.org/drawingml/2006/picture">
                <pic:pic>
                  <pic:nvPicPr>
                    <pic:cNvPr id="0" name="figura-5-6.png"/>
                    <pic:cNvPicPr/>
                  </pic:nvPicPr>
                  <pic:blipFill>
                    <a:blip r:embed="rId37"/>
                    <a:stretch>
                      <a:fillRect/>
                    </a:stretch>
                  </pic:blipFill>
                  <pic:spPr>
                    <a:xfrm>
                      <a:off x="0" y="0"/>
                      <a:ext cx="5029200" cy="2652903"/>
                    </a:xfrm>
                    <a:prstGeom prst="rect"/>
                  </pic:spPr>
                </pic:pic>
              </a:graphicData>
            </a:graphic>
          </wp:inline>
        </w:drawing>
      </w:r>
    </w:p>
    <w:p>
      <w:pPr>
        <w:spacing w:before="320" w:after="40"/>
      </w:pPr>
      <w:r>
        <w:rPr>
          <w:rFonts w:ascii="IBM Plex Sans" w:hAnsi="IBM Plex Sans" w:cs="IBM Plex Sans"/>
          <w:b/>
          <w:color w:val="1F3A5F"/>
          <w:sz w:val="18"/>
        </w:rPr>
        <w:t>§ 11</w:t>
      </w:r>
    </w:p>
    <w:p>
      <w:pPr>
        <w:spacing w:after="160" w:line="240" w:lineRule="auto"/>
      </w:pPr>
      <w:r>
        <w:rPr>
          <w:rFonts w:ascii="Newsreader" w:hAnsi="Newsreader" w:cs="Newsreader"/>
          <w:color w:val="161412"/>
          <w:sz w:val="38"/>
        </w:rPr>
        <w:t>La gramática debe admitir silencio</w:t>
      </w:r>
    </w:p>
    <w:p>
      <w:pPr>
        <w:spacing w:after="120" w:line="320" w:lineRule="auto"/>
        <w:jc w:val="both"/>
      </w:pPr>
      <w:r>
        <w:rPr>
          <w:rFonts w:ascii="Newsreader" w:hAnsi="Newsreader" w:cs="Newsreader"/>
          <w:b w:val="0"/>
          <w:i w:val="0"/>
          <w:color w:val="161412"/>
        </w:rPr>
        <w:t>No todo contacto necesita sonido. No toda selección necesita celebración. No toda espera necesita animación constante. Un efecto agradable una vez puede volverse insoportable al repetirse cien veces al día.</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Una gramática perceptiva no consiste en expresar siempre más, sino en saber cuándo una señal debe permanecer mínima o incluso silenciosa.</w:t>
      </w:r>
    </w:p>
    <w:p>
      <w:pPr>
        <w:spacing w:before="320" w:after="40"/>
      </w:pPr>
      <w:r>
        <w:rPr>
          <w:rFonts w:ascii="IBM Plex Sans" w:hAnsi="IBM Plex Sans" w:cs="IBM Plex Sans"/>
          <w:b/>
          <w:color w:val="1F3A5F"/>
          <w:sz w:val="18"/>
        </w:rPr>
        <w:t>§ 12</w:t>
      </w:r>
    </w:p>
    <w:p>
      <w:pPr>
        <w:spacing w:after="160" w:line="240" w:lineRule="auto"/>
      </w:pPr>
      <w:r>
        <w:rPr>
          <w:rFonts w:ascii="Newsreader" w:hAnsi="Newsreader" w:cs="Newsreader"/>
          <w:color w:val="161412"/>
          <w:sz w:val="38"/>
        </w:rPr>
        <w:t>Gramática no significa rigidez</w:t>
      </w:r>
    </w:p>
    <w:p>
      <w:pPr>
        <w:spacing w:after="120" w:line="320" w:lineRule="auto"/>
        <w:jc w:val="both"/>
      </w:pPr>
      <w:r>
        <w:rPr>
          <w:rFonts w:ascii="Newsreader" w:hAnsi="Newsreader" w:cs="Newsreader"/>
          <w:b w:val="0"/>
          <w:i w:val="0"/>
          <w:color w:val="161412"/>
        </w:rPr>
        <w:t>Una gramática no elimina estilo. Lo hace más responsable. Un sistema financiero, una herramienta creativa y un editor de código no deberían sonar igual. Pero si pertenecen a la misma familia de evento, deberían conservar relación reconocible con esa familia. La gramática no fija una única forma. Fija una relación entre significado y expresión.</w:t>
      </w:r>
    </w:p>
    <w:p>
      <w:pPr>
        <w:spacing w:before="320" w:after="40"/>
      </w:pPr>
      <w:r>
        <w:rPr>
          <w:rFonts w:ascii="IBM Plex Sans" w:hAnsi="IBM Plex Sans" w:cs="IBM Plex Sans"/>
          <w:b/>
          <w:color w:val="1F3A5F"/>
          <w:sz w:val="18"/>
        </w:rPr>
        <w:t>§ 13</w:t>
      </w:r>
    </w:p>
    <w:p>
      <w:pPr>
        <w:spacing w:after="160" w:line="240" w:lineRule="auto"/>
      </w:pPr>
      <w:r>
        <w:rPr>
          <w:rFonts w:ascii="Newsreader" w:hAnsi="Newsreader" w:cs="Newsreader"/>
          <w:color w:val="161412"/>
          <w:sz w:val="38"/>
        </w:rPr>
        <w:t>Gramática y aprendizaje implícito</w:t>
      </w:r>
    </w:p>
    <w:p>
      <w:pPr>
        <w:spacing w:after="120" w:line="320" w:lineRule="auto"/>
        <w:jc w:val="both"/>
      </w:pPr>
      <w:r>
        <w:rPr>
          <w:rFonts w:ascii="Newsreader" w:hAnsi="Newsreader" w:cs="Newsreader"/>
          <w:b w:val="0"/>
          <w:i w:val="0"/>
          <w:color w:val="161412"/>
        </w:rPr>
        <w:t>El usuario no debe aprender la gramática explícitamente. Funciona por familiaridad, por recurrencia, por diferencia sensible. El aprendizaje implícito requiere suficiente regularidad para reconocer y suficiente elasticidad para adaptarse.</w:t>
      </w:r>
    </w:p>
    <w:p>
      <w:pPr>
        <w:spacing w:after="200" w:before="40"/>
      </w:pPr>
      <w:r>
        <w:rPr>
          <w:rFonts w:ascii="IBM Plex Sans" w:hAnsi="IBM Plex Sans" w:cs="IBM Plex Sans"/>
          <w:b/>
          <w:color w:val="1F3A5F"/>
          <w:sz w:val="17"/>
        </w:rPr>
        <w:t xml:space="preserve">TABLA 5.4   </w:t>
      </w:r>
      <w:r>
        <w:rPr>
          <w:rFonts w:ascii="IBM Plex Sans" w:hAnsi="IBM Plex Sans" w:cs="IBM Plex Sans"/>
          <w:color w:val="3A352F"/>
          <w:sz w:val="18"/>
        </w:rPr>
        <w:t xml:space="preserve">Condiciones del aprendizaje implícito</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CONDICIÓN</w:t>
            </w:r>
          </w:p>
        </w:tc>
        <w:tc>
          <w:tcPr>
            <w:tcW w:type="dxa" w:w="4158"/>
            <w:shd w:val="clear" w:color="auto" w:fill="EAE4D8"/>
          </w:tcPr>
          <w:p>
            <w:pPr>
              <w:spacing w:after="40"/>
            </w:pPr>
            <w:r>
              <w:rPr>
                <w:sz w:val="17"/>
              </w:rPr>
            </w:r>
            <w:r>
              <w:rPr>
                <w:rFonts w:ascii="IBM Plex Sans" w:hAnsi="IBM Plex Sans" w:cs="IBM Plex Sans"/>
                <w:b/>
                <w:i w:val="0"/>
                <w:color w:val="1F3A5F"/>
                <w:sz w:val="17"/>
              </w:rPr>
              <w:t>QUÉ APORTA</w:t>
            </w:r>
          </w:p>
        </w:tc>
      </w:tr>
      <w:tr>
        <w:tc>
          <w:tcPr>
            <w:tcW w:type="dxa" w:w="4158"/>
          </w:tcPr>
          <w:p>
            <w:pPr>
              <w:spacing w:after="40"/>
            </w:pPr>
            <w:r>
              <w:rPr>
                <w:sz w:val="17"/>
              </w:rPr>
            </w:r>
            <w:r>
              <w:rPr>
                <w:rFonts w:ascii="IBM Plex Sans" w:hAnsi="IBM Plex Sans" w:cs="IBM Plex Sans"/>
                <w:b w:val="0"/>
                <w:i w:val="0"/>
                <w:color w:val="161412"/>
                <w:sz w:val="17"/>
              </w:rPr>
              <w:t>Recurrencia</w:t>
            </w:r>
          </w:p>
        </w:tc>
        <w:tc>
          <w:tcPr>
            <w:tcW w:type="dxa" w:w="4158"/>
          </w:tcPr>
          <w:p>
            <w:pPr>
              <w:spacing w:after="40"/>
            </w:pPr>
            <w:r>
              <w:rPr>
                <w:sz w:val="17"/>
              </w:rPr>
            </w:r>
            <w:r>
              <w:rPr>
                <w:rFonts w:ascii="IBM Plex Sans" w:hAnsi="IBM Plex Sans" w:cs="IBM Plex Sans"/>
                <w:b w:val="0"/>
                <w:i w:val="0"/>
                <w:color w:val="161412"/>
                <w:sz w:val="17"/>
              </w:rPr>
              <w:t>El patrón aparece suficientes veces</w:t>
            </w:r>
          </w:p>
        </w:tc>
      </w:tr>
      <w:tr>
        <w:tc>
          <w:tcPr>
            <w:tcW w:type="dxa" w:w="4158"/>
          </w:tcPr>
          <w:p>
            <w:pPr>
              <w:spacing w:after="40"/>
            </w:pPr>
            <w:r>
              <w:rPr>
                <w:sz w:val="17"/>
              </w:rPr>
            </w:r>
            <w:r>
              <w:rPr>
                <w:rFonts w:ascii="IBM Plex Sans" w:hAnsi="IBM Plex Sans" w:cs="IBM Plex Sans"/>
                <w:b w:val="0"/>
                <w:i w:val="0"/>
                <w:color w:val="161412"/>
                <w:sz w:val="17"/>
              </w:rPr>
              <w:t>Diferenciación</w:t>
            </w:r>
          </w:p>
        </w:tc>
        <w:tc>
          <w:tcPr>
            <w:tcW w:type="dxa" w:w="4158"/>
          </w:tcPr>
          <w:p>
            <w:pPr>
              <w:spacing w:after="40"/>
            </w:pPr>
            <w:r>
              <w:rPr>
                <w:sz w:val="17"/>
              </w:rPr>
            </w:r>
            <w:r>
              <w:rPr>
                <w:rFonts w:ascii="IBM Plex Sans" w:hAnsi="IBM Plex Sans" w:cs="IBM Plex Sans"/>
                <w:b w:val="0"/>
                <w:i w:val="0"/>
                <w:color w:val="161412"/>
                <w:sz w:val="17"/>
              </w:rPr>
              <w:t>No se confunde con otros eventos</w:t>
            </w:r>
          </w:p>
        </w:tc>
      </w:tr>
      <w:tr>
        <w:tc>
          <w:tcPr>
            <w:tcW w:type="dxa" w:w="4158"/>
          </w:tcPr>
          <w:p>
            <w:pPr>
              <w:spacing w:after="40"/>
            </w:pPr>
            <w:r>
              <w:rPr>
                <w:sz w:val="17"/>
              </w:rPr>
            </w:r>
            <w:r>
              <w:rPr>
                <w:rFonts w:ascii="IBM Plex Sans" w:hAnsi="IBM Plex Sans" w:cs="IBM Plex Sans"/>
                <w:b w:val="0"/>
                <w:i w:val="0"/>
                <w:color w:val="161412"/>
                <w:sz w:val="17"/>
              </w:rPr>
              <w:t>Estabilidad</w:t>
            </w:r>
          </w:p>
        </w:tc>
        <w:tc>
          <w:tcPr>
            <w:tcW w:type="dxa" w:w="4158"/>
          </w:tcPr>
          <w:p>
            <w:pPr>
              <w:spacing w:after="40"/>
            </w:pPr>
            <w:r>
              <w:rPr>
                <w:sz w:val="17"/>
              </w:rPr>
            </w:r>
            <w:r>
              <w:rPr>
                <w:rFonts w:ascii="IBM Plex Sans" w:hAnsi="IBM Plex Sans" w:cs="IBM Plex Sans"/>
                <w:b w:val="0"/>
                <w:i w:val="0"/>
                <w:color w:val="161412"/>
                <w:sz w:val="17"/>
              </w:rPr>
              <w:t>Conserva núcleo semántico</w:t>
            </w:r>
          </w:p>
        </w:tc>
      </w:tr>
      <w:tr>
        <w:tc>
          <w:tcPr>
            <w:tcW w:type="dxa" w:w="4158"/>
          </w:tcPr>
          <w:p>
            <w:pPr>
              <w:spacing w:after="40"/>
            </w:pPr>
            <w:r>
              <w:rPr>
                <w:sz w:val="17"/>
              </w:rPr>
            </w:r>
            <w:r>
              <w:rPr>
                <w:rFonts w:ascii="IBM Plex Sans" w:hAnsi="IBM Plex Sans" w:cs="IBM Plex Sans"/>
                <w:b w:val="0"/>
                <w:i w:val="0"/>
                <w:color w:val="161412"/>
                <w:sz w:val="17"/>
              </w:rPr>
              <w:t>Proporción</w:t>
            </w:r>
          </w:p>
        </w:tc>
        <w:tc>
          <w:tcPr>
            <w:tcW w:type="dxa" w:w="4158"/>
          </w:tcPr>
          <w:p>
            <w:pPr>
              <w:spacing w:after="40"/>
            </w:pPr>
            <w:r>
              <w:rPr>
                <w:sz w:val="17"/>
              </w:rPr>
            </w:r>
            <w:r>
              <w:rPr>
                <w:rFonts w:ascii="IBM Plex Sans" w:hAnsi="IBM Plex Sans" w:cs="IBM Plex Sans"/>
                <w:b w:val="0"/>
                <w:i w:val="0"/>
                <w:color w:val="161412"/>
                <w:sz w:val="17"/>
              </w:rPr>
              <w:t>La intensidad coincide con la importancia</w:t>
            </w:r>
          </w:p>
        </w:tc>
      </w:tr>
      <w:tr>
        <w:tc>
          <w:tcPr>
            <w:tcW w:type="dxa" w:w="4158"/>
          </w:tcPr>
          <w:p>
            <w:pPr>
              <w:spacing w:after="40"/>
            </w:pPr>
            <w:r>
              <w:rPr>
                <w:sz w:val="17"/>
              </w:rPr>
            </w:r>
            <w:r>
              <w:rPr>
                <w:rFonts w:ascii="IBM Plex Sans" w:hAnsi="IBM Plex Sans" w:cs="IBM Plex Sans"/>
                <w:b w:val="0"/>
                <w:i w:val="0"/>
                <w:color w:val="161412"/>
                <w:sz w:val="17"/>
              </w:rPr>
              <w:t>Multicanalidad</w:t>
            </w:r>
          </w:p>
        </w:tc>
        <w:tc>
          <w:tcPr>
            <w:tcW w:type="dxa" w:w="4158"/>
          </w:tcPr>
          <w:p>
            <w:pPr>
              <w:spacing w:after="40"/>
            </w:pPr>
            <w:r>
              <w:rPr>
                <w:sz w:val="17"/>
              </w:rPr>
            </w:r>
            <w:r>
              <w:rPr>
                <w:rFonts w:ascii="IBM Plex Sans" w:hAnsi="IBM Plex Sans" w:cs="IBM Plex Sans"/>
                <w:b w:val="0"/>
                <w:i w:val="0"/>
                <w:color w:val="161412"/>
                <w:sz w:val="17"/>
              </w:rPr>
              <w:t>Puede sobrevivir a cambios de canal</w:t>
            </w:r>
          </w:p>
        </w:tc>
      </w:tr>
      <w:tr>
        <w:tc>
          <w:tcPr>
            <w:tcW w:type="dxa" w:w="4158"/>
          </w:tcPr>
          <w:p>
            <w:pPr>
              <w:spacing w:after="40"/>
            </w:pPr>
            <w:r>
              <w:rPr>
                <w:sz w:val="17"/>
              </w:rPr>
            </w:r>
            <w:r>
              <w:rPr>
                <w:rFonts w:ascii="IBM Plex Sans" w:hAnsi="IBM Plex Sans" w:cs="IBM Plex Sans"/>
                <w:b w:val="0"/>
                <w:i w:val="0"/>
                <w:color w:val="161412"/>
                <w:sz w:val="17"/>
              </w:rPr>
              <w:t>Sobriedad</w:t>
            </w:r>
          </w:p>
        </w:tc>
        <w:tc>
          <w:tcPr>
            <w:tcW w:type="dxa" w:w="4158"/>
          </w:tcPr>
          <w:p>
            <w:pPr>
              <w:spacing w:after="40"/>
            </w:pPr>
            <w:r>
              <w:rPr>
                <w:sz w:val="17"/>
              </w:rPr>
            </w:r>
            <w:r>
              <w:rPr>
                <w:rFonts w:ascii="IBM Plex Sans" w:hAnsi="IBM Plex Sans" w:cs="IBM Plex Sans"/>
                <w:b w:val="0"/>
                <w:i w:val="0"/>
                <w:color w:val="161412"/>
                <w:sz w:val="17"/>
              </w:rPr>
              <w:t>No fatiga por repetición</w:t>
            </w:r>
          </w:p>
        </w:tc>
      </w:tr>
    </w:tbl>
    <w:p>
      <w:pPr>
        <w:spacing w:before="320" w:after="40"/>
      </w:pPr>
      <w:r>
        <w:rPr>
          <w:rFonts w:ascii="IBM Plex Sans" w:hAnsi="IBM Plex Sans" w:cs="IBM Plex Sans"/>
          <w:b/>
          <w:color w:val="1F3A5F"/>
          <w:sz w:val="18"/>
        </w:rPr>
        <w:t>§ 14</w:t>
      </w:r>
    </w:p>
    <w:p>
      <w:pPr>
        <w:spacing w:after="160" w:line="240" w:lineRule="auto"/>
      </w:pPr>
      <w:r>
        <w:rPr>
          <w:rFonts w:ascii="Newsreader" w:hAnsi="Newsreader" w:cs="Newsreader"/>
          <w:color w:val="161412"/>
          <w:sz w:val="38"/>
        </w:rPr>
        <w:t>La gramática como herramienta para programadores</w:t>
      </w:r>
    </w:p>
    <w:p>
      <w:pPr>
        <w:spacing w:after="120" w:line="320" w:lineRule="auto"/>
        <w:jc w:val="both"/>
      </w:pPr>
      <w:r>
        <w:rPr>
          <w:rFonts w:ascii="Newsreader" w:hAnsi="Newsreader" w:cs="Newsreader"/>
          <w:b w:val="0"/>
          <w:i w:val="0"/>
          <w:color w:val="161412"/>
        </w:rPr>
        <w:t>Programar interfaces implica tomar decisiones sin nombre claro. ¿Este click confirma contacto o fija estado? ¿Este open revela contenido o cambia de marco? ¿Este drag manipula, reordena o elimina? Sin gramática, se resuelve con lógica local. Con gramática, se separan los niveles.</w:t>
      </w:r>
    </w:p>
    <w:p>
      <w:pPr>
        <w:spacing w:before="200" w:after="60"/>
        <w:jc w:val="center"/>
      </w:pPr>
      <w:r>
        <w:drawing>
          <wp:inline xmlns:a="http://schemas.openxmlformats.org/drawingml/2006/main" xmlns:pic="http://schemas.openxmlformats.org/drawingml/2006/picture">
            <wp:extent cx="5029200" cy="2514600"/>
            <wp:docPr id="30" name="Picture 30"/>
            <wp:cNvGraphicFramePr>
              <a:graphicFrameLocks noChangeAspect="1"/>
            </wp:cNvGraphicFramePr>
            <a:graphic>
              <a:graphicData uri="http://schemas.openxmlformats.org/drawingml/2006/picture">
                <pic:pic>
                  <pic:nvPicPr>
                    <pic:cNvPr id="0" name="figura-5-7.png"/>
                    <pic:cNvPicPr/>
                  </pic:nvPicPr>
                  <pic:blipFill>
                    <a:blip r:embed="rId38"/>
                    <a:stretch>
                      <a:fillRect/>
                    </a:stretch>
                  </pic:blipFill>
                  <pic:spPr>
                    <a:xfrm>
                      <a:off x="0" y="0"/>
                      <a:ext cx="5029200" cy="2514600"/>
                    </a:xfrm>
                    <a:prstGeom prst="rect"/>
                  </pic:spPr>
                </pic:pic>
              </a:graphicData>
            </a:graphic>
          </wp:inline>
        </w:drawing>
      </w:r>
    </w:p>
    <w:p>
      <w:pPr>
        <w:spacing w:before="320" w:after="40"/>
      </w:pPr>
      <w:r>
        <w:rPr>
          <w:rFonts w:ascii="IBM Plex Sans" w:hAnsi="IBM Plex Sans" w:cs="IBM Plex Sans"/>
          <w:b/>
          <w:color w:val="1F3A5F"/>
          <w:sz w:val="18"/>
        </w:rPr>
        <w:t>§ 15</w:t>
      </w:r>
    </w:p>
    <w:p>
      <w:pPr>
        <w:spacing w:after="160" w:line="240" w:lineRule="auto"/>
      </w:pPr>
      <w:r>
        <w:rPr>
          <w:rFonts w:ascii="Newsreader" w:hAnsi="Newsreader" w:cs="Newsreader"/>
          <w:color w:val="161412"/>
          <w:sz w:val="38"/>
        </w:rPr>
        <w:t>Lo que una gramática debe responder</w:t>
      </w:r>
    </w:p>
    <w:p>
      <w:pPr>
        <w:spacing w:after="200" w:before="40"/>
      </w:pPr>
      <w:r>
        <w:rPr>
          <w:rFonts w:ascii="IBM Plex Sans" w:hAnsi="IBM Plex Sans" w:cs="IBM Plex Sans"/>
          <w:b/>
          <w:color w:val="1F3A5F"/>
          <w:sz w:val="17"/>
        </w:rPr>
        <w:t xml:space="preserve">TABLA 5.5   </w:t>
      </w:r>
      <w:r>
        <w:rPr>
          <w:rFonts w:ascii="IBM Plex Sans" w:hAnsi="IBM Plex Sans" w:cs="IBM Plex Sans"/>
          <w:color w:val="3A352F"/>
          <w:sz w:val="18"/>
        </w:rPr>
        <w:t xml:space="preserve">Preguntas mínimas de una gramática de eventos</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PREGUNTA</w:t>
            </w:r>
          </w:p>
        </w:tc>
        <w:tc>
          <w:tcPr>
            <w:tcW w:type="dxa" w:w="4158"/>
            <w:shd w:val="clear" w:color="auto" w:fill="EAE4D8"/>
          </w:tcPr>
          <w:p>
            <w:pPr>
              <w:spacing w:after="40"/>
            </w:pPr>
            <w:r>
              <w:rPr>
                <w:sz w:val="17"/>
              </w:rPr>
            </w:r>
            <w:r>
              <w:rPr>
                <w:rFonts w:ascii="IBM Plex Sans" w:hAnsi="IBM Plex Sans" w:cs="IBM Plex Sans"/>
                <w:b/>
                <w:i w:val="0"/>
                <w:color w:val="1F3A5F"/>
                <w:sz w:val="17"/>
              </w:rPr>
              <w:t>RESPUESTA QUE BUSCA</w:t>
            </w:r>
          </w:p>
        </w:tc>
      </w:tr>
      <w:tr>
        <w:tc>
          <w:tcPr>
            <w:tcW w:type="dxa" w:w="4158"/>
          </w:tcPr>
          <w:p>
            <w:pPr>
              <w:spacing w:after="40"/>
            </w:pPr>
            <w:r>
              <w:rPr>
                <w:sz w:val="17"/>
              </w:rPr>
            </w:r>
            <w:r>
              <w:rPr>
                <w:rFonts w:ascii="IBM Plex Sans" w:hAnsi="IBM Plex Sans" w:cs="IBM Plex Sans"/>
                <w:b w:val="0"/>
                <w:i w:val="0"/>
                <w:color w:val="161412"/>
                <w:sz w:val="17"/>
              </w:rPr>
              <w:t>¿Qué clase de evento es?</w:t>
            </w:r>
          </w:p>
        </w:tc>
        <w:tc>
          <w:tcPr>
            <w:tcW w:type="dxa" w:w="4158"/>
          </w:tcPr>
          <w:p>
            <w:pPr>
              <w:spacing w:after="40"/>
            </w:pPr>
            <w:r>
              <w:rPr>
                <w:sz w:val="17"/>
              </w:rPr>
            </w:r>
            <w:r>
              <w:rPr>
                <w:rFonts w:ascii="IBM Plex Sans" w:hAnsi="IBM Plex Sans" w:cs="IBM Plex Sans"/>
                <w:b w:val="0"/>
                <w:i w:val="0"/>
                <w:color w:val="161412"/>
                <w:sz w:val="17"/>
              </w:rPr>
              <w:t>Familia semántica</w:t>
            </w:r>
          </w:p>
        </w:tc>
      </w:tr>
      <w:tr>
        <w:tc>
          <w:tcPr>
            <w:tcW w:type="dxa" w:w="4158"/>
          </w:tcPr>
          <w:p>
            <w:pPr>
              <w:spacing w:after="40"/>
            </w:pPr>
            <w:r>
              <w:rPr>
                <w:sz w:val="17"/>
              </w:rPr>
            </w:r>
            <w:r>
              <w:rPr>
                <w:rFonts w:ascii="IBM Plex Sans" w:hAnsi="IBM Plex Sans" w:cs="IBM Plex Sans"/>
                <w:b w:val="0"/>
                <w:i w:val="0"/>
                <w:color w:val="161412"/>
                <w:sz w:val="17"/>
              </w:rPr>
              <w:t>¿Qué ocurrió concretamente?</w:t>
            </w:r>
          </w:p>
        </w:tc>
        <w:tc>
          <w:tcPr>
            <w:tcW w:type="dxa" w:w="4158"/>
          </w:tcPr>
          <w:p>
            <w:pPr>
              <w:spacing w:after="40"/>
            </w:pPr>
            <w:r>
              <w:rPr>
                <w:sz w:val="17"/>
              </w:rPr>
            </w:r>
            <w:r>
              <w:rPr>
                <w:rFonts w:ascii="IBM Plex Sans" w:hAnsi="IBM Plex Sans" w:cs="IBM Plex Sans"/>
                <w:b w:val="0"/>
                <w:i w:val="0"/>
                <w:color w:val="161412"/>
                <w:sz w:val="17"/>
              </w:rPr>
              <w:t>Verbo o variante</w:t>
            </w:r>
          </w:p>
        </w:tc>
      </w:tr>
      <w:tr>
        <w:tc>
          <w:tcPr>
            <w:tcW w:type="dxa" w:w="4158"/>
          </w:tcPr>
          <w:p>
            <w:pPr>
              <w:spacing w:after="40"/>
            </w:pPr>
            <w:r>
              <w:rPr>
                <w:sz w:val="17"/>
              </w:rPr>
            </w:r>
            <w:r>
              <w:rPr>
                <w:rFonts w:ascii="IBM Plex Sans" w:hAnsi="IBM Plex Sans" w:cs="IBM Plex Sans"/>
                <w:b w:val="0"/>
                <w:i w:val="0"/>
                <w:color w:val="161412"/>
                <w:sz w:val="17"/>
              </w:rPr>
              <w:t>¿En qué momento está?</w:t>
            </w:r>
          </w:p>
        </w:tc>
        <w:tc>
          <w:tcPr>
            <w:tcW w:type="dxa" w:w="4158"/>
          </w:tcPr>
          <w:p>
            <w:pPr>
              <w:spacing w:after="40"/>
            </w:pPr>
            <w:r>
              <w:rPr>
                <w:sz w:val="17"/>
              </w:rPr>
            </w:r>
            <w:r>
              <w:rPr>
                <w:rFonts w:ascii="IBM Plex Sans" w:hAnsi="IBM Plex Sans" w:cs="IBM Plex Sans"/>
                <w:b w:val="0"/>
                <w:i w:val="0"/>
                <w:color w:val="161412"/>
                <w:sz w:val="17"/>
              </w:rPr>
              <w:t>Fase temporal</w:t>
            </w:r>
          </w:p>
        </w:tc>
      </w:tr>
      <w:tr>
        <w:tc>
          <w:tcPr>
            <w:tcW w:type="dxa" w:w="4158"/>
          </w:tcPr>
          <w:p>
            <w:pPr>
              <w:spacing w:after="40"/>
            </w:pPr>
            <w:r>
              <w:rPr>
                <w:sz w:val="17"/>
              </w:rPr>
            </w:r>
            <w:r>
              <w:rPr>
                <w:rFonts w:ascii="IBM Plex Sans" w:hAnsi="IBM Plex Sans" w:cs="IBM Plex Sans"/>
                <w:b w:val="0"/>
                <w:i w:val="0"/>
                <w:color w:val="161412"/>
                <w:sz w:val="17"/>
              </w:rPr>
              <w:t>¿Es evaluable?</w:t>
            </w:r>
          </w:p>
        </w:tc>
        <w:tc>
          <w:tcPr>
            <w:tcW w:type="dxa" w:w="4158"/>
          </w:tcPr>
          <w:p>
            <w:pPr>
              <w:spacing w:after="40"/>
            </w:pPr>
            <w:r>
              <w:rPr>
                <w:sz w:val="17"/>
              </w:rPr>
            </w:r>
            <w:r>
              <w:rPr>
                <w:rFonts w:ascii="IBM Plex Sans" w:hAnsi="IBM Plex Sans" w:cs="IBM Plex Sans"/>
                <w:b w:val="0"/>
                <w:i w:val="0"/>
                <w:color w:val="161412"/>
                <w:sz w:val="17"/>
              </w:rPr>
              <w:t>Posibilidad de intent</w:t>
            </w:r>
          </w:p>
        </w:tc>
      </w:tr>
      <w:tr>
        <w:tc>
          <w:tcPr>
            <w:tcW w:type="dxa" w:w="4158"/>
          </w:tcPr>
          <w:p>
            <w:pPr>
              <w:spacing w:after="40"/>
            </w:pPr>
            <w:r>
              <w:rPr>
                <w:sz w:val="17"/>
              </w:rPr>
            </w:r>
            <w:r>
              <w:rPr>
                <w:rFonts w:ascii="IBM Plex Sans" w:hAnsi="IBM Plex Sans" w:cs="IBM Plex Sans"/>
                <w:b w:val="0"/>
                <w:i w:val="0"/>
                <w:color w:val="161412"/>
                <w:sz w:val="17"/>
              </w:rPr>
              <w:t>¿Qué canales participan?</w:t>
            </w:r>
          </w:p>
        </w:tc>
        <w:tc>
          <w:tcPr>
            <w:tcW w:type="dxa" w:w="4158"/>
          </w:tcPr>
          <w:p>
            <w:pPr>
              <w:spacing w:after="40"/>
            </w:pPr>
            <w:r>
              <w:rPr>
                <w:sz w:val="17"/>
              </w:rPr>
            </w:r>
            <w:r>
              <w:rPr>
                <w:rFonts w:ascii="IBM Plex Sans" w:hAnsi="IBM Plex Sans" w:cs="IBM Plex Sans"/>
                <w:b w:val="0"/>
                <w:i w:val="0"/>
                <w:color w:val="161412"/>
                <w:sz w:val="17"/>
              </w:rPr>
              <w:t>Realización multicanal</w:t>
            </w:r>
          </w:p>
        </w:tc>
      </w:tr>
      <w:tr>
        <w:tc>
          <w:tcPr>
            <w:tcW w:type="dxa" w:w="4158"/>
          </w:tcPr>
          <w:p>
            <w:pPr>
              <w:spacing w:after="40"/>
            </w:pPr>
            <w:r>
              <w:rPr>
                <w:sz w:val="17"/>
              </w:rPr>
            </w:r>
            <w:r>
              <w:rPr>
                <w:rFonts w:ascii="IBM Plex Sans" w:hAnsi="IBM Plex Sans" w:cs="IBM Plex Sans"/>
                <w:b w:val="0"/>
                <w:i w:val="0"/>
                <w:color w:val="161412"/>
                <w:sz w:val="17"/>
              </w:rPr>
              <w:t>¿Qué intensidad merece?</w:t>
            </w:r>
          </w:p>
        </w:tc>
        <w:tc>
          <w:tcPr>
            <w:tcW w:type="dxa" w:w="4158"/>
          </w:tcPr>
          <w:p>
            <w:pPr>
              <w:spacing w:after="40"/>
            </w:pPr>
            <w:r>
              <w:rPr>
                <w:sz w:val="17"/>
              </w:rPr>
            </w:r>
            <w:r>
              <w:rPr>
                <w:rFonts w:ascii="IBM Plex Sans" w:hAnsi="IBM Plex Sans" w:cs="IBM Plex Sans"/>
                <w:b w:val="0"/>
                <w:i w:val="0"/>
                <w:color w:val="161412"/>
                <w:sz w:val="17"/>
              </w:rPr>
              <w:t>Proporción</w:t>
            </w:r>
          </w:p>
        </w:tc>
      </w:tr>
      <w:tr>
        <w:tc>
          <w:tcPr>
            <w:tcW w:type="dxa" w:w="4158"/>
          </w:tcPr>
          <w:p>
            <w:pPr>
              <w:spacing w:after="40"/>
            </w:pPr>
            <w:r>
              <w:rPr>
                <w:sz w:val="17"/>
              </w:rPr>
            </w:r>
            <w:r>
              <w:rPr>
                <w:rFonts w:ascii="IBM Plex Sans" w:hAnsi="IBM Plex Sans" w:cs="IBM Plex Sans"/>
                <w:b w:val="0"/>
                <w:i w:val="0"/>
                <w:color w:val="161412"/>
                <w:sz w:val="17"/>
              </w:rPr>
              <w:t>¿Qué pasa si un canal falta?</w:t>
            </w:r>
          </w:p>
        </w:tc>
        <w:tc>
          <w:tcPr>
            <w:tcW w:type="dxa" w:w="4158"/>
          </w:tcPr>
          <w:p>
            <w:pPr>
              <w:spacing w:after="40"/>
            </w:pPr>
            <w:r>
              <w:rPr>
                <w:sz w:val="17"/>
              </w:rPr>
            </w:r>
            <w:r>
              <w:rPr>
                <w:rFonts w:ascii="IBM Plex Sans" w:hAnsi="IBM Plex Sans" w:cs="IBM Plex Sans"/>
                <w:b w:val="0"/>
                <w:i w:val="0"/>
                <w:color w:val="161412"/>
                <w:sz w:val="17"/>
              </w:rPr>
              <w:t>Migración semántica</w:t>
            </w:r>
          </w:p>
        </w:tc>
      </w:tr>
      <w:tr>
        <w:tc>
          <w:tcPr>
            <w:tcW w:type="dxa" w:w="4158"/>
          </w:tcPr>
          <w:p>
            <w:pPr>
              <w:spacing w:after="40"/>
            </w:pPr>
            <w:r>
              <w:rPr>
                <w:sz w:val="17"/>
              </w:rPr>
            </w:r>
            <w:r>
              <w:rPr>
                <w:rFonts w:ascii="IBM Plex Sans" w:hAnsi="IBM Plex Sans" w:cs="IBM Plex Sans"/>
                <w:b w:val="0"/>
                <w:i w:val="0"/>
                <w:color w:val="161412"/>
                <w:sz w:val="17"/>
              </w:rPr>
              <w:t>¿Con qué otros eventos se compone?</w:t>
            </w:r>
          </w:p>
        </w:tc>
        <w:tc>
          <w:tcPr>
            <w:tcW w:type="dxa" w:w="4158"/>
          </w:tcPr>
          <w:p>
            <w:pPr>
              <w:spacing w:after="40"/>
            </w:pPr>
            <w:r>
              <w:rPr>
                <w:sz w:val="17"/>
              </w:rPr>
            </w:r>
            <w:r>
              <w:rPr>
                <w:rFonts w:ascii="IBM Plex Sans" w:hAnsi="IBM Plex Sans" w:cs="IBM Plex Sans"/>
                <w:b w:val="0"/>
                <w:i w:val="0"/>
                <w:color w:val="161412"/>
                <w:sz w:val="17"/>
              </w:rPr>
              <w:t>Secuencia o composición</w:t>
            </w:r>
          </w:p>
        </w:tc>
      </w:tr>
    </w:tbl>
    <w:p>
      <w:pPr>
        <w:spacing w:before="320" w:after="40"/>
      </w:pPr>
      <w:r>
        <w:rPr>
          <w:rFonts w:ascii="IBM Plex Sans" w:hAnsi="IBM Plex Sans" w:cs="IBM Plex Sans"/>
          <w:b/>
          <w:color w:val="1F3A5F"/>
          <w:sz w:val="18"/>
        </w:rPr>
        <w:t>§ 16</w:t>
      </w:r>
    </w:p>
    <w:p>
      <w:pPr>
        <w:spacing w:after="160" w:line="240" w:lineRule="auto"/>
      </w:pPr>
      <w:r>
        <w:rPr>
          <w:rFonts w:ascii="Newsreader" w:hAnsi="Newsreader" w:cs="Newsreader"/>
          <w:color w:val="161412"/>
          <w:sz w:val="38"/>
        </w:rPr>
        <w:t>Resumen operativo</w:t>
      </w:r>
    </w:p>
    <w:p>
      <w:pPr>
        <w:spacing w:after="120" w:line="320" w:lineRule="auto"/>
        <w:jc w:val="both"/>
      </w:pPr>
      <w:r>
        <w:rPr>
          <w:rFonts w:ascii="Newsreader" w:hAnsi="Newsreader" w:cs="Newsreader"/>
          <w:b w:val="0"/>
          <w:i w:val="0"/>
          <w:color w:val="161412"/>
        </w:rPr>
        <w:t>No estamos diciendo que todas las interfaces necesiten una gramática explícita con nombres técnicos. No estamos diciendo que cada evento deba disparar motion, sonido o háptica. No estamos diciendo que la gramática deba ser idéntica en todos los productos.</w:t>
      </w:r>
    </w:p>
    <w:p>
      <w:pPr>
        <w:spacing w:after="120" w:line="320" w:lineRule="auto"/>
        <w:jc w:val="both"/>
      </w:pPr>
      <w:r>
        <w:rPr>
          <w:rFonts w:ascii="Newsreader" w:hAnsi="Newsreader" w:cs="Newsreader"/>
          <w:b w:val="0"/>
          <w:i w:val="0"/>
          <w:color w:val="161412"/>
        </w:rPr>
        <w:t>Si una interfaz produce transformaciones significativas de forma recurrente, necesita una manera consistente de hacerlas perceptibles.</w:t>
      </w:r>
    </w:p>
    <w:p>
      <w:pPr>
        <w:spacing w:before="320" w:after="40"/>
      </w:pPr>
      <w:r>
        <w:rPr>
          <w:rFonts w:ascii="IBM Plex Sans" w:hAnsi="IBM Plex Sans" w:cs="IBM Plex Sans"/>
          <w:b/>
          <w:color w:val="1F3A5F"/>
          <w:sz w:val="18"/>
        </w:rPr>
        <w:t>§ 17</w:t>
      </w:r>
    </w:p>
    <w:p>
      <w:pPr>
        <w:spacing w:after="160" w:line="240" w:lineRule="auto"/>
      </w:pPr>
      <w:r>
        <w:rPr>
          <w:rFonts w:ascii="Newsreader" w:hAnsi="Newsreader" w:cs="Newsreader"/>
          <w:color w:val="161412"/>
          <w:sz w:val="38"/>
        </w:rPr>
        <w:t>Síntesis</w:t>
      </w:r>
    </w:p>
    <w:p>
      <w:pPr>
        <w:spacing w:after="120" w:line="320" w:lineRule="auto"/>
        <w:jc w:val="both"/>
      </w:pPr>
      <w:r>
        <w:rPr>
          <w:rFonts w:ascii="Newsreader" w:hAnsi="Newsreader" w:cs="Newsreader"/>
          <w:b w:val="0"/>
          <w:i w:val="0"/>
          <w:color w:val="161412"/>
        </w:rPr>
        <w:t>Una interfaz madura no solo necesita componentes consistentes. Necesita eventos consistentes.</w:t>
      </w:r>
    </w:p>
    <w:p>
      <w:pPr>
        <w:spacing w:after="120" w:line="320" w:lineRule="auto"/>
        <w:jc w:val="both"/>
      </w:pPr>
      <w:r>
        <w:rPr>
          <w:rFonts w:ascii="Newsreader" w:hAnsi="Newsreader" w:cs="Newsreader"/>
          <w:b w:val="0"/>
          <w:i/>
          <w:color w:val="161412"/>
        </w:rPr>
        <w:t>Tabla de síntesis del capítulo</w:t>
      </w:r>
    </w:p>
    <w:p>
      <w:pPr>
        <w:spacing w:after="120" w:line="320" w:lineRule="auto"/>
        <w:jc w:val="both"/>
      </w:pPr>
      <w:r>
        <w:rPr>
          <w:rFonts w:ascii="Newsreader" w:hAnsi="Newsreader" w:cs="Newsreader"/>
          <w:b w:val="0"/>
          <w:i w:val="0"/>
          <w:color w:val="161412"/>
        </w:rPr>
        <w:t>El siguiente paso será definir con más precisión la unidad que articula esa consistencia: la interacción semántica como configuración perceptiva recurrente que hace legible una clase de evento dentro de un contexto operativo.</w:t>
      </w:r>
    </w:p>
    <w:p>
      <w:pPr>
        <w:spacing w:after="80"/>
      </w:pPr>
    </w:p>
    <w:p>
      <w:pPr>
        <w:spacing w:after="80"/>
      </w:pPr>
    </w:p>
    <w:p>
      <w:pPr>
        <w:spacing w:after="80"/>
      </w:pPr>
    </w:p>
    <w:p>
      <w:pPr>
        <w:spacing w:after="80"/>
      </w:pPr>
    </w:p>
    <w:p>
      <w:pPr>
        <w:spacing w:after="80"/>
      </w:pPr>
    </w:p>
    <w:p>
      <w:pPr>
        <w:spacing w:after="200" w:before="40"/>
      </w:pPr>
      <w:r>
        <w:rPr>
          <w:rFonts w:ascii="IBM Plex Sans" w:hAnsi="IBM Plex Sans" w:cs="IBM Plex Sans"/>
          <w:b/>
          <w:color w:val="1F3A5F"/>
          <w:sz w:val="17"/>
        </w:rPr>
        <w:t xml:space="preserve">TABLA 5.6   </w:t>
      </w:r>
      <w:r>
        <w:rPr>
          <w:rFonts w:ascii="IBM Plex Sans" w:hAnsi="IBM Plex Sans" w:cs="IBM Plex Sans"/>
          <w:color w:val="3A352F"/>
          <w:sz w:val="18"/>
        </w:rPr>
        <w:t xml:space="preserve">Distinciones que fija este capítulo</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DISTINCIÓN</w:t>
            </w:r>
          </w:p>
        </w:tc>
        <w:tc>
          <w:tcPr>
            <w:tcW w:type="dxa" w:w="4158"/>
            <w:shd w:val="clear" w:color="auto" w:fill="EAE4D8"/>
          </w:tcPr>
          <w:p>
            <w:pPr>
              <w:spacing w:after="40"/>
            </w:pPr>
            <w:r>
              <w:rPr>
                <w:sz w:val="17"/>
              </w:rPr>
            </w:r>
            <w:r>
              <w:rPr>
                <w:rFonts w:ascii="IBM Plex Sans" w:hAnsi="IBM Plex Sans" w:cs="IBM Plex Sans"/>
                <w:b/>
                <w:i w:val="0"/>
                <w:color w:val="1F3A5F"/>
                <w:sz w:val="17"/>
              </w:rPr>
              <w:t>POR QUÉ IMPORTA</w:t>
            </w:r>
          </w:p>
        </w:tc>
      </w:tr>
      <w:tr>
        <w:tc>
          <w:tcPr>
            <w:tcW w:type="dxa" w:w="4158"/>
          </w:tcPr>
          <w:p>
            <w:pPr>
              <w:spacing w:after="40"/>
            </w:pPr>
            <w:r>
              <w:rPr>
                <w:sz w:val="17"/>
              </w:rPr>
            </w:r>
            <w:r>
              <w:rPr>
                <w:rFonts w:ascii="IBM Plex Sans" w:hAnsi="IBM Plex Sans" w:cs="IBM Plex Sans"/>
                <w:b w:val="0"/>
                <w:i w:val="0"/>
                <w:color w:val="161412"/>
                <w:sz w:val="17"/>
              </w:rPr>
              <w:t>Efecto y evento</w:t>
            </w:r>
          </w:p>
        </w:tc>
        <w:tc>
          <w:tcPr>
            <w:tcW w:type="dxa" w:w="4158"/>
          </w:tcPr>
          <w:p>
            <w:pPr>
              <w:spacing w:after="40"/>
            </w:pPr>
            <w:r>
              <w:rPr>
                <w:sz w:val="17"/>
              </w:rPr>
            </w:r>
            <w:r>
              <w:rPr>
                <w:rFonts w:ascii="IBM Plex Sans" w:hAnsi="IBM Plex Sans" w:cs="IBM Plex Sans"/>
                <w:b w:val="0"/>
                <w:i w:val="0"/>
                <w:color w:val="161412"/>
                <w:sz w:val="17"/>
              </w:rPr>
              <w:t>El efecto es medio; el evento es significado</w:t>
            </w:r>
          </w:p>
        </w:tc>
      </w:tr>
      <w:tr>
        <w:tc>
          <w:tcPr>
            <w:tcW w:type="dxa" w:w="4158"/>
          </w:tcPr>
          <w:p>
            <w:pPr>
              <w:spacing w:after="40"/>
            </w:pPr>
            <w:r>
              <w:rPr>
                <w:sz w:val="17"/>
              </w:rPr>
            </w:r>
            <w:r>
              <w:rPr>
                <w:rFonts w:ascii="IBM Plex Sans" w:hAnsi="IBM Plex Sans" w:cs="IBM Plex Sans"/>
                <w:b w:val="0"/>
                <w:i w:val="0"/>
                <w:color w:val="161412"/>
                <w:sz w:val="17"/>
              </w:rPr>
              <w:t>Estado y transformación</w:t>
            </w:r>
          </w:p>
        </w:tc>
        <w:tc>
          <w:tcPr>
            <w:tcW w:type="dxa" w:w="4158"/>
          </w:tcPr>
          <w:p>
            <w:pPr>
              <w:spacing w:after="40"/>
            </w:pPr>
            <w:r>
              <w:rPr>
                <w:sz w:val="17"/>
              </w:rPr>
            </w:r>
            <w:r>
              <w:rPr>
                <w:rFonts w:ascii="IBM Plex Sans" w:hAnsi="IBM Plex Sans" w:cs="IBM Plex Sans"/>
                <w:b w:val="0"/>
                <w:i w:val="0"/>
                <w:color w:val="161412"/>
                <w:sz w:val="17"/>
              </w:rPr>
              <w:t>El usuario necesita saber qué cambió</w:t>
            </w:r>
          </w:p>
        </w:tc>
      </w:tr>
      <w:tr>
        <w:tc>
          <w:tcPr>
            <w:tcW w:type="dxa" w:w="4158"/>
          </w:tcPr>
          <w:p>
            <w:pPr>
              <w:spacing w:after="40"/>
            </w:pPr>
            <w:r>
              <w:rPr>
                <w:sz w:val="17"/>
              </w:rPr>
            </w:r>
            <w:r>
              <w:rPr>
                <w:rFonts w:ascii="IBM Plex Sans" w:hAnsi="IBM Plex Sans" w:cs="IBM Plex Sans"/>
                <w:b w:val="0"/>
                <w:i w:val="0"/>
                <w:color w:val="161412"/>
                <w:sz w:val="17"/>
              </w:rPr>
              <w:t>Marco y mensaje</w:t>
            </w:r>
          </w:p>
        </w:tc>
        <w:tc>
          <w:tcPr>
            <w:tcW w:type="dxa" w:w="4158"/>
          </w:tcPr>
          <w:p>
            <w:pPr>
              <w:spacing w:after="40"/>
            </w:pPr>
            <w:r>
              <w:rPr>
                <w:sz w:val="17"/>
              </w:rPr>
            </w:r>
            <w:r>
              <w:rPr>
                <w:rFonts w:ascii="IBM Plex Sans" w:hAnsi="IBM Plex Sans" w:cs="IBM Plex Sans"/>
                <w:b w:val="0"/>
                <w:i w:val="0"/>
                <w:color w:val="161412"/>
                <w:sz w:val="17"/>
              </w:rPr>
              <w:t>No todo evento acepta intent</w:t>
            </w:r>
          </w:p>
        </w:tc>
      </w:tr>
      <w:tr>
        <w:tc>
          <w:tcPr>
            <w:tcW w:type="dxa" w:w="4158"/>
          </w:tcPr>
          <w:p>
            <w:pPr>
              <w:spacing w:after="40"/>
            </w:pPr>
            <w:r>
              <w:rPr>
                <w:sz w:val="17"/>
              </w:rPr>
            </w:r>
            <w:r>
              <w:rPr>
                <w:rFonts w:ascii="IBM Plex Sans" w:hAnsi="IBM Plex Sans" w:cs="IBM Plex Sans"/>
                <w:b w:val="0"/>
                <w:i w:val="0"/>
                <w:color w:val="161412"/>
                <w:sz w:val="17"/>
              </w:rPr>
              <w:t>Canal y significado</w:t>
            </w:r>
          </w:p>
        </w:tc>
        <w:tc>
          <w:tcPr>
            <w:tcW w:type="dxa" w:w="4158"/>
          </w:tcPr>
          <w:p>
            <w:pPr>
              <w:spacing w:after="40"/>
            </w:pPr>
            <w:r>
              <w:rPr>
                <w:sz w:val="17"/>
              </w:rPr>
            </w:r>
            <w:r>
              <w:rPr>
                <w:rFonts w:ascii="IBM Plex Sans" w:hAnsi="IBM Plex Sans" w:cs="IBM Plex Sans"/>
                <w:b w:val="0"/>
                <w:i w:val="0"/>
                <w:color w:val="161412"/>
                <w:sz w:val="17"/>
              </w:rPr>
              <w:t>Ningún canal agota la semántica</w:t>
            </w:r>
          </w:p>
        </w:tc>
      </w:tr>
      <w:tr>
        <w:tc>
          <w:tcPr>
            <w:tcW w:type="dxa" w:w="4158"/>
          </w:tcPr>
          <w:p>
            <w:pPr>
              <w:spacing w:after="40"/>
            </w:pPr>
            <w:r>
              <w:rPr>
                <w:sz w:val="17"/>
              </w:rPr>
            </w:r>
            <w:r>
              <w:rPr>
                <w:rFonts w:ascii="IBM Plex Sans" w:hAnsi="IBM Plex Sans" w:cs="IBM Plex Sans"/>
                <w:b w:val="0"/>
                <w:i w:val="0"/>
                <w:color w:val="161412"/>
                <w:sz w:val="17"/>
              </w:rPr>
              <w:t>Intensidad y consecuencia</w:t>
            </w:r>
          </w:p>
        </w:tc>
        <w:tc>
          <w:tcPr>
            <w:tcW w:type="dxa" w:w="4158"/>
          </w:tcPr>
          <w:p>
            <w:pPr>
              <w:spacing w:after="40"/>
            </w:pPr>
            <w:r>
              <w:rPr>
                <w:sz w:val="17"/>
              </w:rPr>
            </w:r>
            <w:r>
              <w:rPr>
                <w:rFonts w:ascii="IBM Plex Sans" w:hAnsi="IBM Plex Sans" w:cs="IBM Plex Sans"/>
                <w:b w:val="0"/>
                <w:i w:val="0"/>
                <w:color w:val="161412"/>
                <w:sz w:val="17"/>
              </w:rPr>
              <w:t>No todo merece la misma energía</w:t>
            </w:r>
          </w:p>
        </w:tc>
      </w:tr>
      <w:tr>
        <w:tc>
          <w:tcPr>
            <w:tcW w:type="dxa" w:w="4158"/>
          </w:tcPr>
          <w:p>
            <w:pPr>
              <w:spacing w:after="40"/>
            </w:pPr>
            <w:r>
              <w:rPr>
                <w:sz w:val="17"/>
              </w:rPr>
            </w:r>
            <w:r>
              <w:rPr>
                <w:rFonts w:ascii="IBM Plex Sans" w:hAnsi="IBM Plex Sans" w:cs="IBM Plex Sans"/>
                <w:b w:val="0"/>
                <w:i w:val="0"/>
                <w:color w:val="161412"/>
                <w:sz w:val="17"/>
              </w:rPr>
              <w:t>Silencio y ausencia</w:t>
            </w:r>
          </w:p>
        </w:tc>
        <w:tc>
          <w:tcPr>
            <w:tcW w:type="dxa" w:w="4158"/>
          </w:tcPr>
          <w:p>
            <w:pPr>
              <w:spacing w:after="40"/>
            </w:pPr>
            <w:r>
              <w:rPr>
                <w:sz w:val="17"/>
              </w:rPr>
            </w:r>
            <w:r>
              <w:rPr>
                <w:rFonts w:ascii="IBM Plex Sans" w:hAnsi="IBM Plex Sans" w:cs="IBM Plex Sans"/>
                <w:b w:val="0"/>
                <w:i w:val="0"/>
                <w:color w:val="161412"/>
                <w:sz w:val="17"/>
              </w:rPr>
              <w:t>No expresar también puede ser decisión semántica</w:t>
            </w:r>
          </w:p>
        </w:tc>
      </w:tr>
    </w:tbl>
    <w:p>
      <w:pPr>
        <w:spacing w:after="80"/>
      </w:pPr>
    </w:p>
    <w:p>
      <w:r>
        <w:br w:type="page"/>
      </w:r>
    </w:p>
    <w:p>
      <w:pPr>
        <w:spacing w:after="40"/>
      </w:pPr>
      <w:r>
        <w:rPr>
          <w:rFonts w:ascii="IBM Plex Sans" w:hAnsi="IBM Plex Sans" w:cs="IBM Plex Sans"/>
          <w:b/>
          <w:color w:val="1F3A5F"/>
          <w:sz w:val="18"/>
        </w:rPr>
        <w:t>CAPÍTULO 6</w:t>
      </w:r>
    </w:p>
    <w:p>
      <w:pPr>
        <w:spacing w:after="80" w:line="240" w:lineRule="auto"/>
      </w:pPr>
      <w:r>
        <w:rPr>
          <w:rFonts w:ascii="IBM Plex Sans" w:hAnsi="IBM Plex Sans" w:cs="IBM Plex Sans"/>
          <w:color w:val="161412"/>
          <w:sz w:val="220"/>
        </w:rPr>
        <w:t>06</w:t>
      </w:r>
    </w:p>
    <w:p>
      <w:pPr>
        <w:spacing w:after="60" w:line="240" w:lineRule="auto"/>
      </w:pPr>
      <w:r>
        <w:rPr>
          <w:rFonts w:ascii="Newsreader" w:hAnsi="Newsreader" w:cs="Newsreader"/>
          <w:color w:val="161412"/>
          <w:sz w:val="60"/>
        </w:rPr>
        <w:t>Qué es una interacción semántica</w:t>
      </w:r>
    </w:p>
    <w:p>
      <w:pPr>
        <w:spacing w:after="280"/>
      </w:pPr>
      <w:r>
        <w:rPr>
          <w:rFonts w:ascii="IBM Plex Sans" w:hAnsi="IBM Plex Sans" w:cs="IBM Plex Sans"/>
          <w:color w:val="6A635A"/>
          <w:sz w:val="26"/>
        </w:rPr>
        <w:t>La forma perceptiva recurrente de un evento</w:t>
      </w:r>
    </w:p>
    <w:p>
      <w:pPr>
        <w:pBdr>
          <w:bottom w:val="single" w:sz="4" w:space="4" w:color="1F3A5F"/>
        </w:pBdr>
      </w:pP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¿Qué convierte una respuesta concreta de la interfaz en una unidad de lenguaje reutilizable?</w:t>
      </w:r>
    </w:p>
    <w:p>
      <w:pPr>
        <w:spacing w:after="120" w:line="320" w:lineRule="auto"/>
        <w:jc w:val="both"/>
      </w:pPr>
      <w:r>
        <w:rPr>
          <w:rFonts w:ascii="Newsreader" w:hAnsi="Newsreader" w:cs="Newsreader"/>
          <w:b w:val="0"/>
          <w:i w:val="0"/>
          <w:color w:val="161412"/>
        </w:rPr>
        <w:t>Los capítulos anteriores han preparado el terreno. Primero redefinimos la interfaz como dimensión perceptible de un contexto operativo. Después introdujimos el evento como unidad básica de cambio significativo. Explicamos por qué las convenciones heredadas no han formulado antes estas preguntas. Y desarrollamos por qué esos eventos necesitan una gramática.</w:t>
      </w:r>
    </w:p>
    <w:p>
      <w:pPr>
        <w:spacing w:after="120" w:line="320" w:lineRule="auto"/>
        <w:jc w:val="both"/>
      </w:pPr>
      <w:r>
        <w:rPr>
          <w:rFonts w:ascii="Newsreader" w:hAnsi="Newsreader" w:cs="Newsreader"/>
          <w:b w:val="0"/>
          <w:i w:val="0"/>
          <w:color w:val="161412"/>
        </w:rPr>
        <w:t>Ahora aparece la pregunta central de este capítulo:</w:t>
      </w:r>
    </w:p>
    <w:p>
      <w:pPr>
        <w:spacing w:after="120" w:line="320" w:lineRule="auto"/>
        <w:jc w:val="both"/>
      </w:pPr>
      <w:r>
        <w:rPr>
          <w:rFonts w:ascii="Newsreader" w:hAnsi="Newsreader" w:cs="Newsreader"/>
          <w:b w:val="0"/>
          <w:i w:val="0"/>
          <w:color w:val="161412"/>
        </w:rPr>
        <w:t>Una interacción semántica es una configuración perceptiva recurrente mediante la cual una interfaz hace legible una clase de evento dentro de un contexto operativo.</w:t>
      </w:r>
    </w:p>
    <w:p>
      <w:pPr>
        <w:spacing w:before="320" w:after="40"/>
      </w:pPr>
      <w:r>
        <w:rPr>
          <w:rFonts w:ascii="IBM Plex Sans" w:hAnsi="IBM Plex Sans" w:cs="IBM Plex Sans"/>
          <w:b/>
          <w:color w:val="1F3A5F"/>
          <w:sz w:val="18"/>
        </w:rPr>
        <w:t>§ 1</w:t>
      </w:r>
    </w:p>
    <w:p>
      <w:pPr>
        <w:spacing w:after="160" w:line="240" w:lineRule="auto"/>
      </w:pPr>
      <w:r>
        <w:rPr>
          <w:rFonts w:ascii="Newsreader" w:hAnsi="Newsreader" w:cs="Newsreader"/>
          <w:color w:val="161412"/>
          <w:sz w:val="38"/>
        </w:rPr>
        <w:t>Por qué necesitamos otro término</w:t>
      </w:r>
    </w:p>
    <w:p>
      <w:pPr>
        <w:spacing w:after="120" w:line="320" w:lineRule="auto"/>
        <w:jc w:val="both"/>
      </w:pPr>
      <w:r>
        <w:rPr>
          <w:rFonts w:ascii="Newsreader" w:hAnsi="Newsreader" w:cs="Newsreader"/>
          <w:b w:val="0"/>
          <w:i w:val="0"/>
          <w:color w:val="161412"/>
        </w:rPr>
        <w:t>Un componente nombra una unidad estructural. Un estado nombra una condición estable. Un evento técnico nombra una ocurrencia del sistema. Un efecto nombra una realización perceptiva. Un patrón nombra una solución recurrente. Un intent nombra el tono evaluativo. Pero entre todo eso falta una capa: la unidad que puede decir esto es una clase de evento que la interfaz necesita hacer reconocible.</w:t>
      </w:r>
    </w:p>
    <w:p>
      <w:pPr>
        <w:spacing w:after="120" w:line="320" w:lineRule="auto"/>
        <w:jc w:val="both"/>
      </w:pPr>
      <w:r>
        <w:rPr>
          <w:rFonts w:ascii="Newsreader" w:hAnsi="Newsreader" w:cs="Newsreader"/>
          <w:b w:val="0"/>
          <w:i w:val="0"/>
          <w:color w:val="161412"/>
        </w:rPr>
        <w:t>La interacción semántica nombra la capa donde componentes, estados, efectos y colores se organizan alrededor de un significado operativo.</w:t>
      </w:r>
    </w:p>
    <w:p>
      <w:pPr>
        <w:spacing w:after="200" w:before="40"/>
      </w:pPr>
      <w:r>
        <w:rPr>
          <w:rFonts w:ascii="IBM Plex Sans" w:hAnsi="IBM Plex Sans" w:cs="IBM Plex Sans"/>
          <w:b/>
          <w:color w:val="1F3A5F"/>
          <w:sz w:val="17"/>
        </w:rPr>
        <w:t xml:space="preserve">TABLA 6.1   </w:t>
      </w:r>
      <w:r>
        <w:rPr>
          <w:rFonts w:ascii="IBM Plex Sans" w:hAnsi="IBM Plex Sans" w:cs="IBM Plex Sans"/>
          <w:color w:val="3A352F"/>
          <w:sz w:val="18"/>
        </w:rPr>
        <w:t xml:space="preserve">Por qué no basta con los términos existentes</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TÉRMINO</w:t>
            </w:r>
          </w:p>
        </w:tc>
        <w:tc>
          <w:tcPr>
            <w:tcW w:type="dxa" w:w="2772"/>
            <w:shd w:val="clear" w:color="auto" w:fill="EAE4D8"/>
          </w:tcPr>
          <w:p>
            <w:pPr>
              <w:spacing w:after="40"/>
            </w:pPr>
            <w:r>
              <w:rPr>
                <w:sz w:val="17"/>
              </w:rPr>
            </w:r>
            <w:r>
              <w:rPr>
                <w:rFonts w:ascii="IBM Plex Sans" w:hAnsi="IBM Plex Sans" w:cs="IBM Plex Sans"/>
                <w:b/>
                <w:i w:val="0"/>
                <w:color w:val="1F3A5F"/>
                <w:sz w:val="17"/>
              </w:rPr>
              <w:t>QUÉ NOMBRA</w:t>
            </w:r>
          </w:p>
        </w:tc>
        <w:tc>
          <w:tcPr>
            <w:tcW w:type="dxa" w:w="2772"/>
            <w:shd w:val="clear" w:color="auto" w:fill="EAE4D8"/>
          </w:tcPr>
          <w:p>
            <w:pPr>
              <w:spacing w:after="40"/>
            </w:pPr>
            <w:r>
              <w:rPr>
                <w:sz w:val="17"/>
              </w:rPr>
            </w:r>
            <w:r>
              <w:rPr>
                <w:rFonts w:ascii="IBM Plex Sans" w:hAnsi="IBM Plex Sans" w:cs="IBM Plex Sans"/>
                <w:b/>
                <w:i w:val="0"/>
                <w:color w:val="1F3A5F"/>
                <w:sz w:val="17"/>
              </w:rPr>
              <w:t>POR QUÉ NO BASTA</w:t>
            </w:r>
          </w:p>
        </w:tc>
      </w:tr>
      <w:tr>
        <w:tc>
          <w:tcPr>
            <w:tcW w:type="dxa" w:w="2772"/>
          </w:tcPr>
          <w:p>
            <w:pPr>
              <w:spacing w:after="40"/>
            </w:pPr>
            <w:r>
              <w:rPr>
                <w:sz w:val="17"/>
              </w:rPr>
            </w:r>
            <w:r>
              <w:rPr>
                <w:rFonts w:ascii="IBM Plex Sans" w:hAnsi="IBM Plex Sans" w:cs="IBM Plex Sans"/>
                <w:b w:val="0"/>
                <w:i w:val="0"/>
                <w:color w:val="161412"/>
                <w:sz w:val="17"/>
              </w:rPr>
              <w:t>Componente</w:t>
            </w:r>
          </w:p>
        </w:tc>
        <w:tc>
          <w:tcPr>
            <w:tcW w:type="dxa" w:w="2772"/>
          </w:tcPr>
          <w:p>
            <w:pPr>
              <w:spacing w:after="40"/>
            </w:pPr>
            <w:r>
              <w:rPr>
                <w:sz w:val="17"/>
              </w:rPr>
            </w:r>
            <w:r>
              <w:rPr>
                <w:rFonts w:ascii="IBM Plex Sans" w:hAnsi="IBM Plex Sans" w:cs="IBM Plex Sans"/>
                <w:b w:val="0"/>
                <w:i w:val="0"/>
                <w:color w:val="161412"/>
                <w:sz w:val="17"/>
              </w:rPr>
              <w:t>Una unidad estructural</w:t>
            </w:r>
          </w:p>
        </w:tc>
        <w:tc>
          <w:tcPr>
            <w:tcW w:type="dxa" w:w="2772"/>
          </w:tcPr>
          <w:p>
            <w:pPr>
              <w:spacing w:after="40"/>
            </w:pPr>
            <w:r>
              <w:rPr>
                <w:sz w:val="17"/>
              </w:rPr>
            </w:r>
            <w:r>
              <w:rPr>
                <w:rFonts w:ascii="IBM Plex Sans" w:hAnsi="IBM Plex Sans" w:cs="IBM Plex Sans"/>
                <w:b w:val="0"/>
                <w:i w:val="0"/>
                <w:color w:val="161412"/>
                <w:sz w:val="17"/>
              </w:rPr>
              <w:t>No dice qué evento ocurre</w:t>
            </w:r>
          </w:p>
        </w:tc>
      </w:tr>
      <w:tr>
        <w:tc>
          <w:tcPr>
            <w:tcW w:type="dxa" w:w="2772"/>
          </w:tcPr>
          <w:p>
            <w:pPr>
              <w:spacing w:after="40"/>
            </w:pPr>
            <w:r>
              <w:rPr>
                <w:sz w:val="17"/>
              </w:rPr>
            </w:r>
            <w:r>
              <w:rPr>
                <w:rFonts w:ascii="IBM Plex Sans" w:hAnsi="IBM Plex Sans" w:cs="IBM Plex Sans"/>
                <w:b w:val="0"/>
                <w:i w:val="0"/>
                <w:color w:val="161412"/>
                <w:sz w:val="17"/>
              </w:rPr>
              <w:t>Estado</w:t>
            </w:r>
          </w:p>
        </w:tc>
        <w:tc>
          <w:tcPr>
            <w:tcW w:type="dxa" w:w="2772"/>
          </w:tcPr>
          <w:p>
            <w:pPr>
              <w:spacing w:after="40"/>
            </w:pPr>
            <w:r>
              <w:rPr>
                <w:sz w:val="17"/>
              </w:rPr>
            </w:r>
            <w:r>
              <w:rPr>
                <w:rFonts w:ascii="IBM Plex Sans" w:hAnsi="IBM Plex Sans" w:cs="IBM Plex Sans"/>
                <w:b w:val="0"/>
                <w:i w:val="0"/>
                <w:color w:val="161412"/>
                <w:sz w:val="17"/>
              </w:rPr>
              <w:t>Una condición estable</w:t>
            </w:r>
          </w:p>
        </w:tc>
        <w:tc>
          <w:tcPr>
            <w:tcW w:type="dxa" w:w="2772"/>
          </w:tcPr>
          <w:p>
            <w:pPr>
              <w:spacing w:after="40"/>
            </w:pPr>
            <w:r>
              <w:rPr>
                <w:sz w:val="17"/>
              </w:rPr>
            </w:r>
            <w:r>
              <w:rPr>
                <w:rFonts w:ascii="IBM Plex Sans" w:hAnsi="IBM Plex Sans" w:cs="IBM Plex Sans"/>
                <w:b w:val="0"/>
                <w:i w:val="0"/>
                <w:color w:val="161412"/>
                <w:sz w:val="17"/>
              </w:rPr>
              <w:t>No explica la transformación</w:t>
            </w:r>
          </w:p>
        </w:tc>
      </w:tr>
      <w:tr>
        <w:tc>
          <w:tcPr>
            <w:tcW w:type="dxa" w:w="2772"/>
          </w:tcPr>
          <w:p>
            <w:pPr>
              <w:spacing w:after="40"/>
            </w:pPr>
            <w:r>
              <w:rPr>
                <w:sz w:val="17"/>
              </w:rPr>
            </w:r>
            <w:r>
              <w:rPr>
                <w:rFonts w:ascii="IBM Plex Sans" w:hAnsi="IBM Plex Sans" w:cs="IBM Plex Sans"/>
                <w:b w:val="0"/>
                <w:i w:val="0"/>
                <w:color w:val="161412"/>
                <w:sz w:val="17"/>
              </w:rPr>
              <w:t>Evento técnico</w:t>
            </w:r>
          </w:p>
        </w:tc>
        <w:tc>
          <w:tcPr>
            <w:tcW w:type="dxa" w:w="2772"/>
          </w:tcPr>
          <w:p>
            <w:pPr>
              <w:spacing w:after="40"/>
            </w:pPr>
            <w:r>
              <w:rPr>
                <w:sz w:val="17"/>
              </w:rPr>
            </w:r>
            <w:r>
              <w:rPr>
                <w:rFonts w:ascii="IBM Plex Sans" w:hAnsi="IBM Plex Sans" w:cs="IBM Plex Sans"/>
                <w:b w:val="0"/>
                <w:i w:val="0"/>
                <w:color w:val="161412"/>
                <w:sz w:val="17"/>
              </w:rPr>
              <w:t>Una ocurrencia del sistema</w:t>
            </w:r>
          </w:p>
        </w:tc>
        <w:tc>
          <w:tcPr>
            <w:tcW w:type="dxa" w:w="2772"/>
          </w:tcPr>
          <w:p>
            <w:pPr>
              <w:spacing w:after="40"/>
            </w:pPr>
            <w:r>
              <w:rPr>
                <w:sz w:val="17"/>
              </w:rPr>
            </w:r>
            <w:r>
              <w:rPr>
                <w:rFonts w:ascii="IBM Plex Sans" w:hAnsi="IBM Plex Sans" w:cs="IBM Plex Sans"/>
                <w:b w:val="0"/>
                <w:i w:val="0"/>
                <w:color w:val="161412"/>
                <w:sz w:val="17"/>
              </w:rPr>
              <w:t>No contiene significado experiencial</w:t>
            </w:r>
          </w:p>
        </w:tc>
      </w:tr>
      <w:tr>
        <w:tc>
          <w:tcPr>
            <w:tcW w:type="dxa" w:w="2772"/>
          </w:tcPr>
          <w:p>
            <w:pPr>
              <w:spacing w:after="40"/>
            </w:pPr>
            <w:r>
              <w:rPr>
                <w:sz w:val="17"/>
              </w:rPr>
            </w:r>
            <w:r>
              <w:rPr>
                <w:rFonts w:ascii="IBM Plex Sans" w:hAnsi="IBM Plex Sans" w:cs="IBM Plex Sans"/>
                <w:b w:val="0"/>
                <w:i w:val="0"/>
                <w:color w:val="161412"/>
                <w:sz w:val="17"/>
              </w:rPr>
              <w:t>Efecto</w:t>
            </w:r>
          </w:p>
        </w:tc>
        <w:tc>
          <w:tcPr>
            <w:tcW w:type="dxa" w:w="2772"/>
          </w:tcPr>
          <w:p>
            <w:pPr>
              <w:spacing w:after="40"/>
            </w:pPr>
            <w:r>
              <w:rPr>
                <w:sz w:val="17"/>
              </w:rPr>
            </w:r>
            <w:r>
              <w:rPr>
                <w:rFonts w:ascii="IBM Plex Sans" w:hAnsi="IBM Plex Sans" w:cs="IBM Plex Sans"/>
                <w:b w:val="0"/>
                <w:i w:val="0"/>
                <w:color w:val="161412"/>
                <w:sz w:val="17"/>
              </w:rPr>
              <w:t>Una realización perceptiva</w:t>
            </w:r>
          </w:p>
        </w:tc>
        <w:tc>
          <w:tcPr>
            <w:tcW w:type="dxa" w:w="2772"/>
          </w:tcPr>
          <w:p>
            <w:pPr>
              <w:spacing w:after="40"/>
            </w:pPr>
            <w:r>
              <w:rPr>
                <w:sz w:val="17"/>
              </w:rPr>
            </w:r>
            <w:r>
              <w:rPr>
                <w:rFonts w:ascii="IBM Plex Sans" w:hAnsi="IBM Plex Sans" w:cs="IBM Plex Sans"/>
                <w:b w:val="0"/>
                <w:i w:val="0"/>
                <w:color w:val="161412"/>
                <w:sz w:val="17"/>
              </w:rPr>
              <w:t>Puede existir sin semántica</w:t>
            </w:r>
          </w:p>
        </w:tc>
      </w:tr>
      <w:tr>
        <w:tc>
          <w:tcPr>
            <w:tcW w:type="dxa" w:w="2772"/>
          </w:tcPr>
          <w:p>
            <w:pPr>
              <w:spacing w:after="40"/>
            </w:pPr>
            <w:r>
              <w:rPr>
                <w:sz w:val="17"/>
              </w:rPr>
            </w:r>
            <w:r>
              <w:rPr>
                <w:rFonts w:ascii="IBM Plex Sans" w:hAnsi="IBM Plex Sans" w:cs="IBM Plex Sans"/>
                <w:b w:val="0"/>
                <w:i w:val="0"/>
                <w:color w:val="161412"/>
                <w:sz w:val="17"/>
              </w:rPr>
              <w:t>Patrón</w:t>
            </w:r>
          </w:p>
        </w:tc>
        <w:tc>
          <w:tcPr>
            <w:tcW w:type="dxa" w:w="2772"/>
          </w:tcPr>
          <w:p>
            <w:pPr>
              <w:spacing w:after="40"/>
            </w:pPr>
            <w:r>
              <w:rPr>
                <w:sz w:val="17"/>
              </w:rPr>
            </w:r>
            <w:r>
              <w:rPr>
                <w:rFonts w:ascii="IBM Plex Sans" w:hAnsi="IBM Plex Sans" w:cs="IBM Plex Sans"/>
                <w:b w:val="0"/>
                <w:i w:val="0"/>
                <w:color w:val="161412"/>
                <w:sz w:val="17"/>
              </w:rPr>
              <w:t>Una solución recurrente</w:t>
            </w:r>
          </w:p>
        </w:tc>
        <w:tc>
          <w:tcPr>
            <w:tcW w:type="dxa" w:w="2772"/>
          </w:tcPr>
          <w:p>
            <w:pPr>
              <w:spacing w:after="40"/>
            </w:pPr>
            <w:r>
              <w:rPr>
                <w:sz w:val="17"/>
              </w:rPr>
            </w:r>
            <w:r>
              <w:rPr>
                <w:rFonts w:ascii="IBM Plex Sans" w:hAnsi="IBM Plex Sans" w:cs="IBM Plex Sans"/>
                <w:b w:val="0"/>
                <w:i w:val="0"/>
                <w:color w:val="161412"/>
                <w:sz w:val="17"/>
              </w:rPr>
              <w:t>Puede contener varias semánticas</w:t>
            </w:r>
          </w:p>
        </w:tc>
      </w:tr>
      <w:tr>
        <w:tc>
          <w:tcPr>
            <w:tcW w:type="dxa" w:w="2772"/>
          </w:tcPr>
          <w:p>
            <w:pPr>
              <w:spacing w:after="40"/>
            </w:pPr>
            <w:r>
              <w:rPr>
                <w:sz w:val="17"/>
              </w:rPr>
            </w:r>
            <w:r>
              <w:rPr>
                <w:rFonts w:ascii="IBM Plex Sans" w:hAnsi="IBM Plex Sans" w:cs="IBM Plex Sans"/>
                <w:b w:val="0"/>
                <w:i w:val="0"/>
                <w:color w:val="161412"/>
                <w:sz w:val="17"/>
              </w:rPr>
              <w:t>Intent</w:t>
            </w:r>
          </w:p>
        </w:tc>
        <w:tc>
          <w:tcPr>
            <w:tcW w:type="dxa" w:w="2772"/>
          </w:tcPr>
          <w:p>
            <w:pPr>
              <w:spacing w:after="40"/>
            </w:pPr>
            <w:r>
              <w:rPr>
                <w:sz w:val="17"/>
              </w:rPr>
            </w:r>
            <w:r>
              <w:rPr>
                <w:rFonts w:ascii="IBM Plex Sans" w:hAnsi="IBM Plex Sans" w:cs="IBM Plex Sans"/>
                <w:b w:val="0"/>
                <w:i w:val="0"/>
                <w:color w:val="161412"/>
                <w:sz w:val="17"/>
              </w:rPr>
              <w:t>Tono evaluativo</w:t>
            </w:r>
          </w:p>
        </w:tc>
        <w:tc>
          <w:tcPr>
            <w:tcW w:type="dxa" w:w="2772"/>
          </w:tcPr>
          <w:p>
            <w:pPr>
              <w:spacing w:after="40"/>
            </w:pPr>
            <w:r>
              <w:rPr>
                <w:sz w:val="17"/>
              </w:rPr>
            </w:r>
            <w:r>
              <w:rPr>
                <w:rFonts w:ascii="IBM Plex Sans" w:hAnsi="IBM Plex Sans" w:cs="IBM Plex Sans"/>
                <w:b w:val="0"/>
                <w:i w:val="0"/>
                <w:color w:val="161412"/>
                <w:sz w:val="17"/>
              </w:rPr>
              <w:t>No define la clase de evento</w:t>
            </w:r>
          </w:p>
        </w:tc>
      </w:tr>
      <w:tr>
        <w:tc>
          <w:tcPr>
            <w:tcW w:type="dxa" w:w="2772"/>
          </w:tcPr>
          <w:p>
            <w:pPr>
              <w:spacing w:after="40"/>
            </w:pPr>
            <w:r>
              <w:rPr>
                <w:sz w:val="17"/>
              </w:rPr>
            </w:r>
            <w:r>
              <w:rPr>
                <w:rFonts w:ascii="IBM Plex Sans" w:hAnsi="IBM Plex Sans" w:cs="IBM Plex Sans"/>
                <w:b w:val="0"/>
                <w:i w:val="0"/>
                <w:color w:val="161412"/>
                <w:sz w:val="17"/>
              </w:rPr>
              <w:t>Interacción semántica</w:t>
            </w:r>
          </w:p>
        </w:tc>
        <w:tc>
          <w:tcPr>
            <w:tcW w:type="dxa" w:w="2772"/>
          </w:tcPr>
          <w:p>
            <w:pPr>
              <w:spacing w:after="40"/>
            </w:pPr>
            <w:r>
              <w:rPr>
                <w:sz w:val="17"/>
              </w:rPr>
            </w:r>
            <w:r>
              <w:rPr>
                <w:rFonts w:ascii="IBM Plex Sans" w:hAnsi="IBM Plex Sans" w:cs="IBM Plex Sans"/>
                <w:b w:val="0"/>
                <w:i w:val="0"/>
                <w:color w:val="161412"/>
                <w:sz w:val="17"/>
              </w:rPr>
              <w:t>Forma recurrente de hacer legible un evento</w:t>
            </w:r>
          </w:p>
        </w:tc>
        <w:tc>
          <w:tcPr>
            <w:tcW w:type="dxa" w:w="2772"/>
          </w:tcPr>
          <w:p>
            <w:pPr>
              <w:spacing w:after="40"/>
            </w:pPr>
            <w:r>
              <w:rPr>
                <w:sz w:val="17"/>
              </w:rPr>
            </w:r>
            <w:r>
              <w:rPr>
                <w:rFonts w:ascii="IBM Plex Sans" w:hAnsi="IBM Plex Sans" w:cs="IBM Plex Sans"/>
                <w:b w:val="0"/>
                <w:i w:val="0"/>
                <w:color w:val="161412"/>
                <w:sz w:val="17"/>
              </w:rPr>
              <w:t>Articula significado y percepción</w:t>
            </w:r>
          </w:p>
        </w:tc>
      </w:tr>
    </w:tbl>
    <w:p>
      <w:pPr>
        <w:spacing w:before="200" w:after="60"/>
        <w:jc w:val="center"/>
      </w:pPr>
      <w:r>
        <w:drawing>
          <wp:inline xmlns:a="http://schemas.openxmlformats.org/drawingml/2006/main" xmlns:pic="http://schemas.openxmlformats.org/drawingml/2006/picture">
            <wp:extent cx="5029200" cy="2652903"/>
            <wp:docPr id="31" name="Picture 31"/>
            <wp:cNvGraphicFramePr>
              <a:graphicFrameLocks noChangeAspect="1"/>
            </wp:cNvGraphicFramePr>
            <a:graphic>
              <a:graphicData uri="http://schemas.openxmlformats.org/drawingml/2006/picture">
                <pic:pic>
                  <pic:nvPicPr>
                    <pic:cNvPr id="0" name="figura-6-1.png"/>
                    <pic:cNvPicPr/>
                  </pic:nvPicPr>
                  <pic:blipFill>
                    <a:blip r:embed="rId39"/>
                    <a:stretch>
                      <a:fillRect/>
                    </a:stretch>
                  </pic:blipFill>
                  <pic:spPr>
                    <a:xfrm>
                      <a:off x="0" y="0"/>
                      <a:ext cx="5029200" cy="2652903"/>
                    </a:xfrm>
                    <a:prstGeom prst="rect"/>
                  </pic:spPr>
                </pic:pic>
              </a:graphicData>
            </a:graphic>
          </wp:inline>
        </w:drawing>
      </w:r>
    </w:p>
    <w:p>
      <w:pPr>
        <w:spacing w:before="320" w:after="40"/>
      </w:pPr>
      <w:r>
        <w:rPr>
          <w:rFonts w:ascii="IBM Plex Sans" w:hAnsi="IBM Plex Sans" w:cs="IBM Plex Sans"/>
          <w:b/>
          <w:color w:val="1F3A5F"/>
          <w:sz w:val="18"/>
        </w:rPr>
        <w:t>§ 2</w:t>
      </w:r>
    </w:p>
    <w:p>
      <w:pPr>
        <w:spacing w:after="160" w:line="240" w:lineRule="auto"/>
      </w:pPr>
      <w:r>
        <w:rPr>
          <w:rFonts w:ascii="Newsreader" w:hAnsi="Newsreader" w:cs="Newsreader"/>
          <w:color w:val="161412"/>
          <w:sz w:val="38"/>
        </w:rPr>
        <w:t>Definición de interacción semántica</w:t>
      </w:r>
    </w:p>
    <w:p>
      <w:pPr>
        <w:spacing w:after="120" w:line="320" w:lineRule="auto"/>
        <w:jc w:val="both"/>
      </w:pPr>
      <w:r>
        <w:rPr>
          <w:rFonts w:ascii="Newsreader" w:hAnsi="Newsreader" w:cs="Newsreader"/>
          <w:b w:val="0"/>
          <w:i w:val="0"/>
          <w:color w:val="161412"/>
        </w:rPr>
        <w:t>La definición contiene cinco partes: configuración perceptiva (puede incluir movimiento, color, sonido, presencia, háptica), recurrente (debe poder reaparecer en distintos componentes y situaciones), hace legible (su función es reducir ambigüedad), una clase de evento (contacto, consolidación, señal, manipulación, aparición, cambio de contexto, sostenimiento) y dentro de un contexto operativo (el significado no existe en abstracto).</w:t>
      </w:r>
    </w:p>
    <w:p>
      <w:pPr>
        <w:spacing w:after="120" w:line="320" w:lineRule="auto"/>
        <w:jc w:val="both"/>
      </w:pPr>
      <w:r>
        <w:rPr>
          <w:rFonts w:ascii="Newsreader" w:hAnsi="Newsreader" w:cs="Newsreader"/>
          <w:b/>
          <w:i w:val="0"/>
          <w:color w:val="161412"/>
        </w:rPr>
        <w:t>Definición</w:t>
      </w:r>
    </w:p>
    <w:p>
      <w:pPr>
        <w:spacing w:after="120" w:line="320" w:lineRule="auto"/>
        <w:jc w:val="both"/>
      </w:pPr>
      <w:r>
        <w:rPr>
          <w:rFonts w:ascii="Newsreader" w:hAnsi="Newsreader" w:cs="Newsreader"/>
          <w:b w:val="0"/>
          <w:i w:val="0"/>
          <w:color w:val="161412"/>
        </w:rPr>
        <w:t>Interacción semántica: configuración perceptiva recurrente que hace reconocible una clase de evento dentro de un contexto operativo.</w:t>
      </w:r>
    </w:p>
    <w:p>
      <w:pPr>
        <w:spacing w:before="320" w:after="40"/>
      </w:pPr>
      <w:r>
        <w:rPr>
          <w:rFonts w:ascii="IBM Plex Sans" w:hAnsi="IBM Plex Sans" w:cs="IBM Plex Sans"/>
          <w:b/>
          <w:color w:val="1F3A5F"/>
          <w:sz w:val="18"/>
        </w:rPr>
        <w:t>§ 3</w:t>
      </w:r>
    </w:p>
    <w:p>
      <w:pPr>
        <w:spacing w:after="160" w:line="240" w:lineRule="auto"/>
      </w:pPr>
      <w:r>
        <w:rPr>
          <w:rFonts w:ascii="Newsreader" w:hAnsi="Newsreader" w:cs="Newsreader"/>
          <w:color w:val="161412"/>
          <w:sz w:val="38"/>
        </w:rPr>
        <w:t>No es una interacción concreta</w:t>
      </w:r>
    </w:p>
    <w:p>
      <w:pPr>
        <w:spacing w:after="120" w:line="320" w:lineRule="auto"/>
        <w:jc w:val="both"/>
      </w:pPr>
      <w:r>
        <w:rPr>
          <w:rFonts w:ascii="Newsreader" w:hAnsi="Newsreader" w:cs="Newsreader"/>
          <w:b w:val="0"/>
          <w:i w:val="0"/>
          <w:color w:val="161412"/>
        </w:rPr>
        <w:t>El mismo gesto puede pertenecer a semánticas distintas. Un click puede ser contacto, confirmación, navegación, advertencia, pérdida, apertura, cierre o selección. La interacción concreta es la superficie gestual. La interacción semántica es la lectura significativa de lo que ocurre.</w:t>
      </w:r>
    </w:p>
    <w:p>
      <w:pPr>
        <w:spacing w:after="200" w:before="40"/>
      </w:pPr>
      <w:r>
        <w:rPr>
          <w:rFonts w:ascii="IBM Plex Sans" w:hAnsi="IBM Plex Sans" w:cs="IBM Plex Sans"/>
          <w:b/>
          <w:color w:val="1F3A5F"/>
          <w:sz w:val="17"/>
        </w:rPr>
        <w:t xml:space="preserve">TABLA 6.2   </w:t>
      </w:r>
      <w:r>
        <w:rPr>
          <w:rFonts w:ascii="IBM Plex Sans" w:hAnsi="IBM Plex Sans" w:cs="IBM Plex Sans"/>
          <w:color w:val="3A352F"/>
          <w:sz w:val="18"/>
        </w:rPr>
        <w:t xml:space="preserve">Un mismo gesto, múltiples semánticas posibles</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INTERACCIÓN CONCRETA</w:t>
            </w:r>
          </w:p>
        </w:tc>
        <w:tc>
          <w:tcPr>
            <w:tcW w:type="dxa" w:w="2772"/>
            <w:shd w:val="clear" w:color="auto" w:fill="EAE4D8"/>
          </w:tcPr>
          <w:p>
            <w:pPr>
              <w:spacing w:after="40"/>
            </w:pPr>
            <w:r>
              <w:rPr>
                <w:sz w:val="17"/>
              </w:rPr>
            </w:r>
            <w:r>
              <w:rPr>
                <w:rFonts w:ascii="IBM Plex Sans" w:hAnsi="IBM Plex Sans" w:cs="IBM Plex Sans"/>
                <w:b/>
                <w:i w:val="0"/>
                <w:color w:val="1F3A5F"/>
                <w:sz w:val="17"/>
              </w:rPr>
              <w:t>PUEDE SIGNIFICAR</w:t>
            </w:r>
          </w:p>
        </w:tc>
        <w:tc>
          <w:tcPr>
            <w:tcW w:type="dxa" w:w="2772"/>
            <w:shd w:val="clear" w:color="auto" w:fill="EAE4D8"/>
          </w:tcPr>
          <w:p>
            <w:pPr>
              <w:spacing w:after="40"/>
            </w:pPr>
            <w:r>
              <w:rPr>
                <w:sz w:val="17"/>
              </w:rPr>
            </w:r>
            <w:r>
              <w:rPr>
                <w:rFonts w:ascii="IBM Plex Sans" w:hAnsi="IBM Plex Sans" w:cs="IBM Plex Sans"/>
                <w:b/>
                <w:i w:val="0"/>
                <w:color w:val="1F3A5F"/>
                <w:sz w:val="17"/>
              </w:rPr>
              <w:t>SEMÁNTICA POSIBLE</w:t>
            </w:r>
          </w:p>
        </w:tc>
      </w:tr>
      <w:tr>
        <w:tc>
          <w:tcPr>
            <w:tcW w:type="dxa" w:w="2772"/>
          </w:tcPr>
          <w:p>
            <w:pPr>
              <w:spacing w:after="40"/>
            </w:pPr>
            <w:r>
              <w:rPr>
                <w:sz w:val="17"/>
              </w:rPr>
            </w:r>
            <w:r>
              <w:rPr>
                <w:rFonts w:ascii="IBM Plex Sans" w:hAnsi="IBM Plex Sans" w:cs="IBM Plex Sans"/>
                <w:b w:val="0"/>
                <w:i w:val="0"/>
                <w:color w:val="161412"/>
                <w:sz w:val="17"/>
              </w:rPr>
              <w:t>Pulsar botón</w:t>
            </w:r>
          </w:p>
        </w:tc>
        <w:tc>
          <w:tcPr>
            <w:tcW w:type="dxa" w:w="2772"/>
          </w:tcPr>
          <w:p>
            <w:pPr>
              <w:spacing w:after="40"/>
            </w:pPr>
            <w:r>
              <w:rPr>
                <w:sz w:val="17"/>
              </w:rPr>
            </w:r>
            <w:r>
              <w:rPr>
                <w:rFonts w:ascii="IBM Plex Sans" w:hAnsi="IBM Plex Sans" w:cs="IBM Plex Sans"/>
                <w:b w:val="0"/>
                <w:i w:val="0"/>
                <w:color w:val="161412"/>
                <w:sz w:val="17"/>
              </w:rPr>
              <w:t>El sistema registró mi gesto</w:t>
            </w:r>
          </w:p>
        </w:tc>
        <w:tc>
          <w:tcPr>
            <w:tcW w:type="dxa" w:w="2772"/>
          </w:tcPr>
          <w:p>
            <w:pPr>
              <w:spacing w:after="40"/>
            </w:pPr>
            <w:r>
              <w:rPr>
                <w:sz w:val="17"/>
              </w:rPr>
            </w:r>
            <w:r>
              <w:rPr>
                <w:rFonts w:ascii="IBM Plex Sans" w:hAnsi="IBM Plex Sans" w:cs="IBM Plex Sans"/>
                <w:b w:val="0"/>
                <w:i w:val="0"/>
                <w:color w:val="161412"/>
                <w:sz w:val="17"/>
              </w:rPr>
              <w:t>Contacto</w:t>
            </w:r>
          </w:p>
        </w:tc>
      </w:tr>
      <w:tr>
        <w:tc>
          <w:tcPr>
            <w:tcW w:type="dxa" w:w="2772"/>
          </w:tcPr>
          <w:p>
            <w:pPr>
              <w:spacing w:after="40"/>
            </w:pPr>
            <w:r>
              <w:rPr>
                <w:sz w:val="17"/>
              </w:rPr>
            </w:r>
            <w:r>
              <w:rPr>
                <w:rFonts w:ascii="IBM Plex Sans" w:hAnsi="IBM Plex Sans" w:cs="IBM Plex Sans"/>
                <w:b w:val="0"/>
                <w:i w:val="0"/>
                <w:color w:val="161412"/>
                <w:sz w:val="17"/>
              </w:rPr>
              <w:t>Pulsar botón</w:t>
            </w:r>
          </w:p>
        </w:tc>
        <w:tc>
          <w:tcPr>
            <w:tcW w:type="dxa" w:w="2772"/>
          </w:tcPr>
          <w:p>
            <w:pPr>
              <w:spacing w:after="40"/>
            </w:pPr>
            <w:r>
              <w:rPr>
                <w:sz w:val="17"/>
              </w:rPr>
            </w:r>
            <w:r>
              <w:rPr>
                <w:rFonts w:ascii="IBM Plex Sans" w:hAnsi="IBM Plex Sans" w:cs="IBM Plex Sans"/>
                <w:b w:val="0"/>
                <w:i w:val="0"/>
                <w:color w:val="161412"/>
                <w:sz w:val="17"/>
              </w:rPr>
              <w:t>La acción quedó confirmada</w:t>
            </w:r>
          </w:p>
        </w:tc>
        <w:tc>
          <w:tcPr>
            <w:tcW w:type="dxa" w:w="2772"/>
          </w:tcPr>
          <w:p>
            <w:pPr>
              <w:spacing w:after="40"/>
            </w:pPr>
            <w:r>
              <w:rPr>
                <w:sz w:val="17"/>
              </w:rPr>
            </w:r>
            <w:r>
              <w:rPr>
                <w:rFonts w:ascii="IBM Plex Sans" w:hAnsi="IBM Plex Sans" w:cs="IBM Plex Sans"/>
                <w:b w:val="0"/>
                <w:i w:val="0"/>
                <w:color w:val="161412"/>
                <w:sz w:val="17"/>
              </w:rPr>
              <w:t>Consolidación</w:t>
            </w:r>
          </w:p>
        </w:tc>
      </w:tr>
      <w:tr>
        <w:tc>
          <w:tcPr>
            <w:tcW w:type="dxa" w:w="2772"/>
          </w:tcPr>
          <w:p>
            <w:pPr>
              <w:spacing w:after="40"/>
            </w:pPr>
            <w:r>
              <w:rPr>
                <w:sz w:val="17"/>
              </w:rPr>
            </w:r>
            <w:r>
              <w:rPr>
                <w:rFonts w:ascii="IBM Plex Sans" w:hAnsi="IBM Plex Sans" w:cs="IBM Plex Sans"/>
                <w:b w:val="0"/>
                <w:i w:val="0"/>
                <w:color w:val="161412"/>
                <w:sz w:val="17"/>
              </w:rPr>
              <w:t>Pulsar botón</w:t>
            </w:r>
          </w:p>
        </w:tc>
        <w:tc>
          <w:tcPr>
            <w:tcW w:type="dxa" w:w="2772"/>
          </w:tcPr>
          <w:p>
            <w:pPr>
              <w:spacing w:after="40"/>
            </w:pPr>
            <w:r>
              <w:rPr>
                <w:sz w:val="17"/>
              </w:rPr>
            </w:r>
            <w:r>
              <w:rPr>
                <w:rFonts w:ascii="IBM Plex Sans" w:hAnsi="IBM Plex Sans" w:cs="IBM Plex Sans"/>
                <w:b w:val="0"/>
                <w:i w:val="0"/>
                <w:color w:val="161412"/>
                <w:sz w:val="17"/>
              </w:rPr>
              <w:t>Se abre una superficie</w:t>
            </w:r>
          </w:p>
        </w:tc>
        <w:tc>
          <w:tcPr>
            <w:tcW w:type="dxa" w:w="2772"/>
          </w:tcPr>
          <w:p>
            <w:pPr>
              <w:spacing w:after="40"/>
            </w:pPr>
            <w:r>
              <w:rPr>
                <w:sz w:val="17"/>
              </w:rPr>
            </w:r>
            <w:r>
              <w:rPr>
                <w:rFonts w:ascii="IBM Plex Sans" w:hAnsi="IBM Plex Sans" w:cs="IBM Plex Sans"/>
                <w:b w:val="0"/>
                <w:i w:val="0"/>
                <w:color w:val="161412"/>
                <w:sz w:val="17"/>
              </w:rPr>
              <w:t>Aparición</w:t>
            </w:r>
          </w:p>
        </w:tc>
      </w:tr>
      <w:tr>
        <w:tc>
          <w:tcPr>
            <w:tcW w:type="dxa" w:w="2772"/>
          </w:tcPr>
          <w:p>
            <w:pPr>
              <w:spacing w:after="40"/>
            </w:pPr>
            <w:r>
              <w:rPr>
                <w:sz w:val="17"/>
              </w:rPr>
            </w:r>
            <w:r>
              <w:rPr>
                <w:rFonts w:ascii="IBM Plex Sans" w:hAnsi="IBM Plex Sans" w:cs="IBM Plex Sans"/>
                <w:b w:val="0"/>
                <w:i w:val="0"/>
                <w:color w:val="161412"/>
                <w:sz w:val="17"/>
              </w:rPr>
              <w:t>Pulsar botón</w:t>
            </w:r>
          </w:p>
        </w:tc>
        <w:tc>
          <w:tcPr>
            <w:tcW w:type="dxa" w:w="2772"/>
          </w:tcPr>
          <w:p>
            <w:pPr>
              <w:spacing w:after="40"/>
            </w:pPr>
            <w:r>
              <w:rPr>
                <w:sz w:val="17"/>
              </w:rPr>
            </w:r>
            <w:r>
              <w:rPr>
                <w:rFonts w:ascii="IBM Plex Sans" w:hAnsi="IBM Plex Sans" w:cs="IBM Plex Sans"/>
                <w:b w:val="0"/>
                <w:i w:val="0"/>
                <w:color w:val="161412"/>
                <w:sz w:val="17"/>
              </w:rPr>
              <w:t>Entro en otro flujo</w:t>
            </w:r>
          </w:p>
        </w:tc>
        <w:tc>
          <w:tcPr>
            <w:tcW w:type="dxa" w:w="2772"/>
          </w:tcPr>
          <w:p>
            <w:pPr>
              <w:spacing w:after="40"/>
            </w:pPr>
            <w:r>
              <w:rPr>
                <w:sz w:val="17"/>
              </w:rPr>
            </w:r>
            <w:r>
              <w:rPr>
                <w:rFonts w:ascii="IBM Plex Sans" w:hAnsi="IBM Plex Sans" w:cs="IBM Plex Sans"/>
                <w:b w:val="0"/>
                <w:i w:val="0"/>
                <w:color w:val="161412"/>
                <w:sz w:val="17"/>
              </w:rPr>
              <w:t>Cambio de contexto</w:t>
            </w:r>
          </w:p>
        </w:tc>
      </w:tr>
      <w:tr>
        <w:tc>
          <w:tcPr>
            <w:tcW w:type="dxa" w:w="2772"/>
          </w:tcPr>
          <w:p>
            <w:pPr>
              <w:spacing w:after="40"/>
            </w:pPr>
            <w:r>
              <w:rPr>
                <w:sz w:val="17"/>
              </w:rPr>
            </w:r>
            <w:r>
              <w:rPr>
                <w:rFonts w:ascii="IBM Plex Sans" w:hAnsi="IBM Plex Sans" w:cs="IBM Plex Sans"/>
                <w:b w:val="0"/>
                <w:i w:val="0"/>
                <w:color w:val="161412"/>
                <w:sz w:val="17"/>
              </w:rPr>
              <w:t>Pulsar botón</w:t>
            </w:r>
          </w:p>
        </w:tc>
        <w:tc>
          <w:tcPr>
            <w:tcW w:type="dxa" w:w="2772"/>
          </w:tcPr>
          <w:p>
            <w:pPr>
              <w:spacing w:after="40"/>
            </w:pPr>
            <w:r>
              <w:rPr>
                <w:sz w:val="17"/>
              </w:rPr>
            </w:r>
            <w:r>
              <w:rPr>
                <w:rFonts w:ascii="IBM Plex Sans" w:hAnsi="IBM Plex Sans" w:cs="IBM Plex Sans"/>
                <w:b w:val="0"/>
                <w:i w:val="0"/>
                <w:color w:val="161412"/>
                <w:sz w:val="17"/>
              </w:rPr>
              <w:t>Pierdo un recurso</w:t>
            </w:r>
          </w:p>
        </w:tc>
        <w:tc>
          <w:tcPr>
            <w:tcW w:type="dxa" w:w="2772"/>
          </w:tcPr>
          <w:p>
            <w:pPr>
              <w:spacing w:after="40"/>
            </w:pPr>
            <w:r>
              <w:rPr>
                <w:sz w:val="17"/>
              </w:rPr>
            </w:r>
            <w:r>
              <w:rPr>
                <w:rFonts w:ascii="IBM Plex Sans" w:hAnsi="IBM Plex Sans" w:cs="IBM Plex Sans"/>
                <w:b w:val="0"/>
                <w:i w:val="0"/>
                <w:color w:val="161412"/>
                <w:sz w:val="17"/>
              </w:rPr>
              <w:t>Pérdida / commit</w:t>
            </w:r>
          </w:p>
        </w:tc>
      </w:tr>
      <w:tr>
        <w:tc>
          <w:tcPr>
            <w:tcW w:type="dxa" w:w="2772"/>
          </w:tcPr>
          <w:p>
            <w:pPr>
              <w:spacing w:after="40"/>
            </w:pPr>
            <w:r>
              <w:rPr>
                <w:sz w:val="17"/>
              </w:rPr>
            </w:r>
            <w:r>
              <w:rPr>
                <w:rFonts w:ascii="IBM Plex Sans" w:hAnsi="IBM Plex Sans" w:cs="IBM Plex Sans"/>
                <w:b w:val="0"/>
                <w:i w:val="0"/>
                <w:color w:val="161412"/>
                <w:sz w:val="17"/>
              </w:rPr>
              <w:t>Arrastrar elemento</w:t>
            </w:r>
          </w:p>
        </w:tc>
        <w:tc>
          <w:tcPr>
            <w:tcW w:type="dxa" w:w="2772"/>
          </w:tcPr>
          <w:p>
            <w:pPr>
              <w:spacing w:after="40"/>
            </w:pPr>
            <w:r>
              <w:rPr>
                <w:sz w:val="17"/>
              </w:rPr>
            </w:r>
            <w:r>
              <w:rPr>
                <w:rFonts w:ascii="IBM Plex Sans" w:hAnsi="IBM Plex Sans" w:cs="IBM Plex Sans"/>
                <w:b w:val="0"/>
                <w:i w:val="0"/>
                <w:color w:val="161412"/>
                <w:sz w:val="17"/>
              </w:rPr>
              <w:t>Lo estoy moviendo</w:t>
            </w:r>
          </w:p>
        </w:tc>
        <w:tc>
          <w:tcPr>
            <w:tcW w:type="dxa" w:w="2772"/>
          </w:tcPr>
          <w:p>
            <w:pPr>
              <w:spacing w:after="40"/>
            </w:pPr>
            <w:r>
              <w:rPr>
                <w:sz w:val="17"/>
              </w:rPr>
            </w:r>
            <w:r>
              <w:rPr>
                <w:rFonts w:ascii="IBM Plex Sans" w:hAnsi="IBM Plex Sans" w:cs="IBM Plex Sans"/>
                <w:b w:val="0"/>
                <w:i w:val="0"/>
                <w:color w:val="161412"/>
                <w:sz w:val="17"/>
              </w:rPr>
              <w:t>Manipulación</w:t>
            </w:r>
          </w:p>
        </w:tc>
      </w:tr>
    </w:tbl>
    <w:p>
      <w:pPr>
        <w:spacing w:before="320" w:after="40"/>
      </w:pPr>
      <w:r>
        <w:rPr>
          <w:rFonts w:ascii="IBM Plex Sans" w:hAnsi="IBM Plex Sans" w:cs="IBM Plex Sans"/>
          <w:b/>
          <w:color w:val="1F3A5F"/>
          <w:sz w:val="18"/>
        </w:rPr>
        <w:t>§ 4</w:t>
      </w:r>
    </w:p>
    <w:p>
      <w:pPr>
        <w:spacing w:after="160" w:line="240" w:lineRule="auto"/>
      </w:pPr>
      <w:r>
        <w:rPr>
          <w:rFonts w:ascii="Newsreader" w:hAnsi="Newsreader" w:cs="Newsreader"/>
          <w:color w:val="161412"/>
          <w:sz w:val="38"/>
        </w:rPr>
        <w:t>No es una animación</w:t>
      </w:r>
    </w:p>
    <w:p>
      <w:pPr>
        <w:spacing w:after="120" w:line="320" w:lineRule="auto"/>
        <w:jc w:val="both"/>
      </w:pPr>
      <w:r>
        <w:rPr>
          <w:rFonts w:ascii="Newsreader" w:hAnsi="Newsreader" w:cs="Newsreader"/>
          <w:b w:val="0"/>
          <w:i w:val="0"/>
          <w:color w:val="161412"/>
        </w:rPr>
        <w:t>Un bounce puede expresar selección, culminación, encaje o celebración. Un fade puede expresar aparición, retirada, pérdida o simple suavizado. La animación es ambigua hasta que se integra en una gramática. El orden correcto no es: tenemos un bounce → ¿qué significa? Sino: necesitamos expresar consolidación → ¿qué configuración perceptiva la hace legible?</w:t>
      </w:r>
    </w:p>
    <w:p>
      <w:pPr>
        <w:spacing w:after="120" w:line="320" w:lineRule="auto"/>
        <w:jc w:val="both"/>
      </w:pPr>
      <w:r>
        <w:rPr>
          <w:rFonts w:ascii="Newsreader" w:hAnsi="Newsreader" w:cs="Newsreader"/>
          <w:b/>
          <w:i w:val="0"/>
          <w:color w:val="161412"/>
        </w:rPr>
        <w:t>Distinción clave</w:t>
      </w:r>
    </w:p>
    <w:p>
      <w:pPr>
        <w:spacing w:after="120" w:line="320" w:lineRule="auto"/>
        <w:jc w:val="both"/>
      </w:pPr>
      <w:r>
        <w:rPr>
          <w:rFonts w:ascii="Newsreader" w:hAnsi="Newsreader" w:cs="Newsreader"/>
          <w:b w:val="0"/>
          <w:i w:val="0"/>
          <w:color w:val="161412"/>
        </w:rPr>
        <w:t>La animación pertenece al plano de la realización. La interacción semántica pertenece al plano del significado operativo.</w:t>
      </w:r>
    </w:p>
    <w:p>
      <w:pPr>
        <w:spacing w:before="200" w:after="60"/>
        <w:jc w:val="center"/>
      </w:pPr>
      <w:r>
        <w:drawing>
          <wp:inline xmlns:a="http://schemas.openxmlformats.org/drawingml/2006/main" xmlns:pic="http://schemas.openxmlformats.org/drawingml/2006/picture">
            <wp:extent cx="5029200" cy="2794349"/>
            <wp:docPr id="32" name="Picture 32"/>
            <wp:cNvGraphicFramePr>
              <a:graphicFrameLocks noChangeAspect="1"/>
            </wp:cNvGraphicFramePr>
            <a:graphic>
              <a:graphicData uri="http://schemas.openxmlformats.org/drawingml/2006/picture">
                <pic:pic>
                  <pic:nvPicPr>
                    <pic:cNvPr id="0" name="figura-6-2.png"/>
                    <pic:cNvPicPr/>
                  </pic:nvPicPr>
                  <pic:blipFill>
                    <a:blip r:embed="rId40"/>
                    <a:stretch>
                      <a:fillRect/>
                    </a:stretch>
                  </pic:blipFill>
                  <pic:spPr>
                    <a:xfrm>
                      <a:off x="0" y="0"/>
                      <a:ext cx="5029200" cy="2794349"/>
                    </a:xfrm>
                    <a:prstGeom prst="rect"/>
                  </pic:spPr>
                </pic:pic>
              </a:graphicData>
            </a:graphic>
          </wp:inline>
        </w:drawing>
      </w:r>
    </w:p>
    <w:p>
      <w:pPr>
        <w:spacing w:before="320" w:after="40"/>
      </w:pPr>
      <w:r>
        <w:rPr>
          <w:rFonts w:ascii="IBM Plex Sans" w:hAnsi="IBM Plex Sans" w:cs="IBM Plex Sans"/>
          <w:b/>
          <w:color w:val="1F3A5F"/>
          <w:sz w:val="18"/>
        </w:rPr>
        <w:t>§ 5</w:t>
      </w:r>
    </w:p>
    <w:p>
      <w:pPr>
        <w:spacing w:after="160" w:line="240" w:lineRule="auto"/>
      </w:pPr>
      <w:r>
        <w:rPr>
          <w:rFonts w:ascii="Newsreader" w:hAnsi="Newsreader" w:cs="Newsreader"/>
          <w:color w:val="161412"/>
          <w:sz w:val="38"/>
        </w:rPr>
        <w:t>No es un componente</w:t>
      </w:r>
    </w:p>
    <w:p>
      <w:pPr>
        <w:spacing w:after="120" w:line="320" w:lineRule="auto"/>
        <w:jc w:val="both"/>
      </w:pPr>
      <w:r>
        <w:rPr>
          <w:rFonts w:ascii="Newsreader" w:hAnsi="Newsreader" w:cs="Newsreader"/>
          <w:b w:val="0"/>
          <w:i w:val="0"/>
          <w:color w:val="161412"/>
        </w:rPr>
        <w:t>La semántica de contacto puede aparecer en un botón, un icon button, una tarjeta clicable, un slider thumb o un control de reproducción. La consolidación puede aparecer en un switch, un checkbox, un chip, un filtro. La señal puede aparecer en un toast, un banner, un badge, un error inline. Si una categoría depende de un componente concreto, todavía no es una interacción semántica en sentido fuerte.</w:t>
      </w:r>
    </w:p>
    <w:p>
      <w:pPr>
        <w:spacing w:before="200" w:after="60"/>
        <w:jc w:val="center"/>
      </w:pPr>
      <w:r>
        <w:drawing>
          <wp:inline xmlns:a="http://schemas.openxmlformats.org/drawingml/2006/main" xmlns:pic="http://schemas.openxmlformats.org/drawingml/2006/picture">
            <wp:extent cx="5029200" cy="2514600"/>
            <wp:docPr id="33" name="Picture 33"/>
            <wp:cNvGraphicFramePr>
              <a:graphicFrameLocks noChangeAspect="1"/>
            </wp:cNvGraphicFramePr>
            <a:graphic>
              <a:graphicData uri="http://schemas.openxmlformats.org/drawingml/2006/picture">
                <pic:pic>
                  <pic:nvPicPr>
                    <pic:cNvPr id="0" name="figura-6-3.png"/>
                    <pic:cNvPicPr/>
                  </pic:nvPicPr>
                  <pic:blipFill>
                    <a:blip r:embed="rId41"/>
                    <a:stretch>
                      <a:fillRect/>
                    </a:stretch>
                  </pic:blipFill>
                  <pic:spPr>
                    <a:xfrm>
                      <a:off x="0" y="0"/>
                      <a:ext cx="5029200" cy="2514600"/>
                    </a:xfrm>
                    <a:prstGeom prst="rect"/>
                  </pic:spPr>
                </pic:pic>
              </a:graphicData>
            </a:graphic>
          </wp:inline>
        </w:drawing>
      </w:r>
    </w:p>
    <w:p>
      <w:pPr>
        <w:spacing w:before="320" w:after="40"/>
      </w:pPr>
      <w:r>
        <w:rPr>
          <w:rFonts w:ascii="IBM Plex Sans" w:hAnsi="IBM Plex Sans" w:cs="IBM Plex Sans"/>
          <w:b/>
          <w:color w:val="1F3A5F"/>
          <w:sz w:val="18"/>
        </w:rPr>
        <w:t>§ 6</w:t>
      </w:r>
    </w:p>
    <w:p>
      <w:pPr>
        <w:spacing w:after="160" w:line="240" w:lineRule="auto"/>
      </w:pPr>
      <w:r>
        <w:rPr>
          <w:rFonts w:ascii="Newsreader" w:hAnsi="Newsreader" w:cs="Newsreader"/>
          <w:color w:val="161412"/>
          <w:sz w:val="38"/>
        </w:rPr>
        <w:t>No es un patrón de diseño</w:t>
      </w:r>
    </w:p>
    <w:p>
      <w:pPr>
        <w:spacing w:after="120" w:line="320" w:lineRule="auto"/>
        <w:jc w:val="both"/>
      </w:pPr>
      <w:r>
        <w:rPr>
          <w:rFonts w:ascii="Newsreader" w:hAnsi="Newsreader" w:cs="Newsreader"/>
          <w:b w:val="0"/>
          <w:i w:val="0"/>
          <w:color w:val="161412"/>
        </w:rPr>
        <w:t>Un modal de confirmación destructiva puede contener cambio de contexto, señal de amenaza, consolidación y pérdida. Un toast puede contener señal con intent de riesgo, confirmación o pérdida. El patrón organiza una solución de interfaz. La semántica organiza el significado perceptivo de los eventos que ocurren dentro.</w:t>
      </w:r>
    </w:p>
    <w:p>
      <w:pPr>
        <w:spacing w:before="200" w:after="60"/>
        <w:jc w:val="center"/>
      </w:pPr>
      <w:r>
        <w:drawing>
          <wp:inline xmlns:a="http://schemas.openxmlformats.org/drawingml/2006/main" xmlns:pic="http://schemas.openxmlformats.org/drawingml/2006/picture">
            <wp:extent cx="5029200" cy="2376297"/>
            <wp:docPr id="34" name="Picture 34"/>
            <wp:cNvGraphicFramePr>
              <a:graphicFrameLocks noChangeAspect="1"/>
            </wp:cNvGraphicFramePr>
            <a:graphic>
              <a:graphicData uri="http://schemas.openxmlformats.org/drawingml/2006/picture">
                <pic:pic>
                  <pic:nvPicPr>
                    <pic:cNvPr id="0" name="figura-6-4.png"/>
                    <pic:cNvPicPr/>
                  </pic:nvPicPr>
                  <pic:blipFill>
                    <a:blip r:embed="rId42"/>
                    <a:stretch>
                      <a:fillRect/>
                    </a:stretch>
                  </pic:blipFill>
                  <pic:spPr>
                    <a:xfrm>
                      <a:off x="0" y="0"/>
                      <a:ext cx="5029200" cy="2376297"/>
                    </a:xfrm>
                    <a:prstGeom prst="rect"/>
                  </pic:spPr>
                </pic:pic>
              </a:graphicData>
            </a:graphic>
          </wp:inline>
        </w:drawing>
      </w:r>
    </w:p>
    <w:p>
      <w:pPr>
        <w:spacing w:before="320" w:after="40"/>
      </w:pPr>
      <w:r>
        <w:rPr>
          <w:rFonts w:ascii="IBM Plex Sans" w:hAnsi="IBM Plex Sans" w:cs="IBM Plex Sans"/>
          <w:b/>
          <w:color w:val="1F3A5F"/>
          <w:sz w:val="18"/>
        </w:rPr>
        <w:t>§ 7</w:t>
      </w:r>
    </w:p>
    <w:p>
      <w:pPr>
        <w:spacing w:after="160" w:line="240" w:lineRule="auto"/>
      </w:pPr>
      <w:r>
        <w:rPr>
          <w:rFonts w:ascii="Newsreader" w:hAnsi="Newsreader" w:cs="Newsreader"/>
          <w:color w:val="161412"/>
          <w:sz w:val="38"/>
        </w:rPr>
        <w:t>No es un intent</w:t>
      </w:r>
    </w:p>
    <w:p>
      <w:pPr>
        <w:spacing w:after="120" w:line="320" w:lineRule="auto"/>
        <w:jc w:val="both"/>
      </w:pPr>
      <w:r>
        <w:rPr>
          <w:rFonts w:ascii="Newsreader" w:hAnsi="Newsreader" w:cs="Newsreader"/>
          <w:b w:val="0"/>
          <w:i w:val="0"/>
          <w:color w:val="161412"/>
        </w:rPr>
        <w:t>La semántica responde a ¿qué clase de evento ocurre? El intent responde a ¿cómo debe evaluarse afectivamente? No es lo mismo commit + fulfill, signal + fulfill y contact + affirm. En todos hay valencia positiva, pero no el mismo evento. El intent colorea o modula la semántica. No la sustituye.</w:t>
      </w:r>
    </w:p>
    <w:p>
      <w:pPr>
        <w:spacing w:after="200" w:before="40"/>
      </w:pPr>
      <w:r>
        <w:rPr>
          <w:rFonts w:ascii="IBM Plex Sans" w:hAnsi="IBM Plex Sans" w:cs="IBM Plex Sans"/>
          <w:b/>
          <w:color w:val="1F3A5F"/>
          <w:sz w:val="17"/>
        </w:rPr>
        <w:t xml:space="preserve">TABLA 6.3   </w:t>
      </w:r>
      <w:r>
        <w:rPr>
          <w:rFonts w:ascii="IBM Plex Sans" w:hAnsi="IBM Plex Sans" w:cs="IBM Plex Sans"/>
          <w:color w:val="3A352F"/>
          <w:sz w:val="18"/>
        </w:rPr>
        <w:t xml:space="preserve">Semántica e intent no son lo mismo</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PREGUNTA</w:t>
            </w:r>
          </w:p>
        </w:tc>
        <w:tc>
          <w:tcPr>
            <w:tcW w:type="dxa" w:w="2772"/>
            <w:shd w:val="clear" w:color="auto" w:fill="EAE4D8"/>
          </w:tcPr>
          <w:p>
            <w:pPr>
              <w:spacing w:after="40"/>
            </w:pPr>
            <w:r>
              <w:rPr>
                <w:sz w:val="17"/>
              </w:rPr>
            </w:r>
            <w:r>
              <w:rPr>
                <w:rFonts w:ascii="IBM Plex Sans" w:hAnsi="IBM Plex Sans" w:cs="IBM Plex Sans"/>
                <w:b/>
                <w:i w:val="0"/>
                <w:color w:val="1F3A5F"/>
                <w:sz w:val="17"/>
              </w:rPr>
              <w:t>PERTENECE A</w:t>
            </w:r>
          </w:p>
        </w:tc>
        <w:tc>
          <w:tcPr>
            <w:tcW w:type="dxa" w:w="2772"/>
            <w:shd w:val="clear" w:color="auto" w:fill="EAE4D8"/>
          </w:tcPr>
          <w:p>
            <w:pPr>
              <w:spacing w:after="40"/>
            </w:pPr>
            <w:r>
              <w:rPr>
                <w:sz w:val="17"/>
              </w:rPr>
            </w:r>
            <w:r>
              <w:rPr>
                <w:rFonts w:ascii="IBM Plex Sans" w:hAnsi="IBM Plex Sans" w:cs="IBM Plex Sans"/>
                <w:b/>
                <w:i w:val="0"/>
                <w:color w:val="1F3A5F"/>
                <w:sz w:val="17"/>
              </w:rPr>
              <w:t>EJEMPLO</w:t>
            </w:r>
          </w:p>
        </w:tc>
      </w:tr>
      <w:tr>
        <w:tc>
          <w:tcPr>
            <w:tcW w:type="dxa" w:w="2772"/>
          </w:tcPr>
          <w:p>
            <w:pPr>
              <w:spacing w:after="40"/>
            </w:pPr>
            <w:r>
              <w:rPr>
                <w:sz w:val="17"/>
              </w:rPr>
            </w:r>
            <w:r>
              <w:rPr>
                <w:rFonts w:ascii="IBM Plex Sans" w:hAnsi="IBM Plex Sans" w:cs="IBM Plex Sans"/>
                <w:b w:val="0"/>
                <w:i w:val="0"/>
                <w:color w:val="161412"/>
                <w:sz w:val="17"/>
              </w:rPr>
              <w:t>¿Qué clase de evento ocurre?</w:t>
            </w:r>
          </w:p>
        </w:tc>
        <w:tc>
          <w:tcPr>
            <w:tcW w:type="dxa" w:w="2772"/>
          </w:tcPr>
          <w:p>
            <w:pPr>
              <w:spacing w:after="40"/>
            </w:pPr>
            <w:r>
              <w:rPr>
                <w:sz w:val="17"/>
              </w:rPr>
            </w:r>
            <w:r>
              <w:rPr>
                <w:rFonts w:ascii="IBM Plex Sans" w:hAnsi="IBM Plex Sans" w:cs="IBM Plex Sans"/>
                <w:b w:val="0"/>
                <w:i w:val="0"/>
                <w:color w:val="161412"/>
                <w:sz w:val="17"/>
              </w:rPr>
              <w:t>Semántica</w:t>
            </w:r>
          </w:p>
        </w:tc>
        <w:tc>
          <w:tcPr>
            <w:tcW w:type="dxa" w:w="2772"/>
          </w:tcPr>
          <w:p>
            <w:pPr>
              <w:spacing w:after="40"/>
            </w:pPr>
            <w:r>
              <w:rPr>
                <w:sz w:val="17"/>
              </w:rPr>
            </w:r>
            <w:r>
              <w:rPr>
                <w:rFonts w:ascii="IBM Plex Sans" w:hAnsi="IBM Plex Sans" w:cs="IBM Plex Sans"/>
                <w:b w:val="0"/>
                <w:i w:val="0"/>
                <w:color w:val="161412"/>
                <w:sz w:val="17"/>
              </w:rPr>
              <w:t>Contacto, señal, consolidación, aparición</w:t>
            </w:r>
          </w:p>
        </w:tc>
      </w:tr>
      <w:tr>
        <w:tc>
          <w:tcPr>
            <w:tcW w:type="dxa" w:w="2772"/>
          </w:tcPr>
          <w:p>
            <w:pPr>
              <w:spacing w:after="40"/>
            </w:pPr>
            <w:r>
              <w:rPr>
                <w:sz w:val="17"/>
              </w:rPr>
            </w:r>
            <w:r>
              <w:rPr>
                <w:rFonts w:ascii="IBM Plex Sans" w:hAnsi="IBM Plex Sans" w:cs="IBM Plex Sans"/>
                <w:b w:val="0"/>
                <w:i w:val="0"/>
                <w:color w:val="161412"/>
                <w:sz w:val="17"/>
              </w:rPr>
              <w:t>¿Qué ocurrió concretamente?</w:t>
            </w:r>
          </w:p>
        </w:tc>
        <w:tc>
          <w:tcPr>
            <w:tcW w:type="dxa" w:w="2772"/>
          </w:tcPr>
          <w:p>
            <w:pPr>
              <w:spacing w:after="40"/>
            </w:pPr>
            <w:r>
              <w:rPr>
                <w:sz w:val="17"/>
              </w:rPr>
            </w:r>
            <w:r>
              <w:rPr>
                <w:rFonts w:ascii="IBM Plex Sans" w:hAnsi="IBM Plex Sans" w:cs="IBM Plex Sans"/>
                <w:b w:val="0"/>
                <w:i w:val="0"/>
                <w:color w:val="161412"/>
                <w:sz w:val="17"/>
              </w:rPr>
              <w:t>Verbo</w:t>
            </w:r>
          </w:p>
        </w:tc>
        <w:tc>
          <w:tcPr>
            <w:tcW w:type="dxa" w:w="2772"/>
          </w:tcPr>
          <w:p>
            <w:pPr>
              <w:spacing w:after="40"/>
            </w:pPr>
            <w:r>
              <w:rPr>
                <w:sz w:val="17"/>
              </w:rPr>
            </w:r>
            <w:r>
              <w:rPr>
                <w:rFonts w:ascii="IBM Plex Sans" w:hAnsi="IBM Plex Sans" w:cs="IBM Plex Sans"/>
                <w:b w:val="0"/>
                <w:i w:val="0"/>
                <w:color w:val="161412"/>
                <w:sz w:val="17"/>
              </w:rPr>
              <w:t>Guardar, eliminar, abrir, seleccionar</w:t>
            </w:r>
          </w:p>
        </w:tc>
      </w:tr>
      <w:tr>
        <w:tc>
          <w:tcPr>
            <w:tcW w:type="dxa" w:w="2772"/>
          </w:tcPr>
          <w:p>
            <w:pPr>
              <w:spacing w:after="40"/>
            </w:pPr>
            <w:r>
              <w:rPr>
                <w:sz w:val="17"/>
              </w:rPr>
            </w:r>
            <w:r>
              <w:rPr>
                <w:rFonts w:ascii="IBM Plex Sans" w:hAnsi="IBM Plex Sans" w:cs="IBM Plex Sans"/>
                <w:b w:val="0"/>
                <w:i w:val="0"/>
                <w:color w:val="161412"/>
                <w:sz w:val="17"/>
              </w:rPr>
              <w:t>¿En qué fase está?</w:t>
            </w:r>
          </w:p>
        </w:tc>
        <w:tc>
          <w:tcPr>
            <w:tcW w:type="dxa" w:w="2772"/>
          </w:tcPr>
          <w:p>
            <w:pPr>
              <w:spacing w:after="40"/>
            </w:pPr>
            <w:r>
              <w:rPr>
                <w:sz w:val="17"/>
              </w:rPr>
            </w:r>
            <w:r>
              <w:rPr>
                <w:rFonts w:ascii="IBM Plex Sans" w:hAnsi="IBM Plex Sans" w:cs="IBM Plex Sans"/>
                <w:b w:val="0"/>
                <w:i w:val="0"/>
                <w:color w:val="161412"/>
                <w:sz w:val="17"/>
              </w:rPr>
              <w:t>Fase</w:t>
            </w:r>
          </w:p>
        </w:tc>
        <w:tc>
          <w:tcPr>
            <w:tcW w:type="dxa" w:w="2772"/>
          </w:tcPr>
          <w:p>
            <w:pPr>
              <w:spacing w:after="40"/>
            </w:pPr>
            <w:r>
              <w:rPr>
                <w:sz w:val="17"/>
              </w:rPr>
            </w:r>
            <w:r>
              <w:rPr>
                <w:rFonts w:ascii="IBM Plex Sans" w:hAnsi="IBM Plex Sans" w:cs="IBM Plex Sans"/>
                <w:b w:val="0"/>
                <w:i w:val="0"/>
                <w:color w:val="161412"/>
                <w:sz w:val="17"/>
              </w:rPr>
              <w:t>Enter, exit, start, progress, drop</w:t>
            </w:r>
          </w:p>
        </w:tc>
      </w:tr>
      <w:tr>
        <w:tc>
          <w:tcPr>
            <w:tcW w:type="dxa" w:w="2772"/>
          </w:tcPr>
          <w:p>
            <w:pPr>
              <w:spacing w:after="40"/>
            </w:pPr>
            <w:r>
              <w:rPr>
                <w:sz w:val="17"/>
              </w:rPr>
            </w:r>
            <w:r>
              <w:rPr>
                <w:rFonts w:ascii="IBM Plex Sans" w:hAnsi="IBM Plex Sans" w:cs="IBM Plex Sans"/>
                <w:b w:val="0"/>
                <w:i w:val="0"/>
                <w:color w:val="161412"/>
                <w:sz w:val="17"/>
              </w:rPr>
              <w:t>¿Cómo se evalúa?</w:t>
            </w:r>
          </w:p>
        </w:tc>
        <w:tc>
          <w:tcPr>
            <w:tcW w:type="dxa" w:w="2772"/>
          </w:tcPr>
          <w:p>
            <w:pPr>
              <w:spacing w:after="40"/>
            </w:pPr>
            <w:r>
              <w:rPr>
                <w:sz w:val="17"/>
              </w:rPr>
            </w:r>
            <w:r>
              <w:rPr>
                <w:rFonts w:ascii="IBM Plex Sans" w:hAnsi="IBM Plex Sans" w:cs="IBM Plex Sans"/>
                <w:b w:val="0"/>
                <w:i w:val="0"/>
                <w:color w:val="161412"/>
                <w:sz w:val="17"/>
              </w:rPr>
              <w:t>Intent</w:t>
            </w:r>
          </w:p>
        </w:tc>
        <w:tc>
          <w:tcPr>
            <w:tcW w:type="dxa" w:w="2772"/>
          </w:tcPr>
          <w:p>
            <w:pPr>
              <w:spacing w:after="40"/>
            </w:pPr>
            <w:r>
              <w:rPr>
                <w:sz w:val="17"/>
              </w:rPr>
            </w:r>
            <w:r>
              <w:rPr>
                <w:rFonts w:ascii="IBM Plex Sans" w:hAnsi="IBM Plex Sans" w:cs="IBM Plex Sans"/>
                <w:b w:val="0"/>
                <w:i w:val="0"/>
                <w:color w:val="161412"/>
                <w:sz w:val="17"/>
              </w:rPr>
              <w:t>Neutral, affirm, fulfill, risk, threat, loss</w:t>
            </w:r>
          </w:p>
        </w:tc>
      </w:tr>
      <w:tr>
        <w:tc>
          <w:tcPr>
            <w:tcW w:type="dxa" w:w="2772"/>
          </w:tcPr>
          <w:p>
            <w:pPr>
              <w:spacing w:after="40"/>
            </w:pPr>
            <w:r>
              <w:rPr>
                <w:sz w:val="17"/>
              </w:rPr>
            </w:r>
            <w:r>
              <w:rPr>
                <w:rFonts w:ascii="IBM Plex Sans" w:hAnsi="IBM Plex Sans" w:cs="IBM Plex Sans"/>
                <w:b w:val="0"/>
                <w:i w:val="0"/>
                <w:color w:val="161412"/>
                <w:sz w:val="17"/>
              </w:rPr>
              <w:t>¿Cómo se expresa?</w:t>
            </w:r>
          </w:p>
        </w:tc>
        <w:tc>
          <w:tcPr>
            <w:tcW w:type="dxa" w:w="2772"/>
          </w:tcPr>
          <w:p>
            <w:pPr>
              <w:spacing w:after="40"/>
            </w:pPr>
            <w:r>
              <w:rPr>
                <w:sz w:val="17"/>
              </w:rPr>
            </w:r>
            <w:r>
              <w:rPr>
                <w:rFonts w:ascii="IBM Plex Sans" w:hAnsi="IBM Plex Sans" w:cs="IBM Plex Sans"/>
                <w:b w:val="0"/>
                <w:i w:val="0"/>
                <w:color w:val="161412"/>
                <w:sz w:val="17"/>
              </w:rPr>
              <w:t>Canales</w:t>
            </w:r>
          </w:p>
        </w:tc>
        <w:tc>
          <w:tcPr>
            <w:tcW w:type="dxa" w:w="2772"/>
          </w:tcPr>
          <w:p>
            <w:pPr>
              <w:spacing w:after="40"/>
            </w:pPr>
            <w:r>
              <w:rPr>
                <w:sz w:val="17"/>
              </w:rPr>
            </w:r>
            <w:r>
              <w:rPr>
                <w:rFonts w:ascii="IBM Plex Sans" w:hAnsi="IBM Plex Sans" w:cs="IBM Plex Sans"/>
                <w:b w:val="0"/>
                <w:i w:val="0"/>
                <w:color w:val="161412"/>
                <w:sz w:val="17"/>
              </w:rPr>
              <w:t>Motion, sonido, color, presencia, háptica</w:t>
            </w:r>
          </w:p>
        </w:tc>
      </w:tr>
    </w:tbl>
    <w:p>
      <w:pPr>
        <w:spacing w:before="320" w:after="40"/>
      </w:pPr>
      <w:r>
        <w:rPr>
          <w:rFonts w:ascii="IBM Plex Sans" w:hAnsi="IBM Plex Sans" w:cs="IBM Plex Sans"/>
          <w:b/>
          <w:color w:val="1F3A5F"/>
          <w:sz w:val="18"/>
        </w:rPr>
        <w:t>§ 8</w:t>
      </w:r>
    </w:p>
    <w:p>
      <w:pPr>
        <w:spacing w:after="160" w:line="240" w:lineRule="auto"/>
      </w:pPr>
      <w:r>
        <w:rPr>
          <w:rFonts w:ascii="Newsreader" w:hAnsi="Newsreader" w:cs="Newsreader"/>
          <w:color w:val="161412"/>
          <w:sz w:val="38"/>
        </w:rPr>
        <w:t>La interacción semántica como unidad de articulación</w:t>
      </w:r>
    </w:p>
    <w:p>
      <w:pPr>
        <w:spacing w:after="120" w:line="320" w:lineRule="auto"/>
        <w:jc w:val="both"/>
      </w:pPr>
      <w:r>
        <w:rPr>
          <w:rFonts w:ascii="Newsreader" w:hAnsi="Newsreader" w:cs="Newsreader"/>
          <w:b w:val="0"/>
          <w:i w:val="0"/>
          <w:color w:val="161412"/>
        </w:rPr>
        <w:t>Articula tres planos: el evento que ocurre, el significado operativo que ese evento tiene, y la forma perceptiva que permite reconocerlo. Si nos quedamos demasiado arriba, solo tenemos conceptos abstractos. Si bajamos demasiado pronto, solo tenemos recursos. La interacción semántica conecta ambas capas.</w:t>
      </w:r>
    </w:p>
    <w:p>
      <w:pPr>
        <w:spacing w:before="200" w:after="60"/>
        <w:jc w:val="center"/>
      </w:pPr>
      <w:r>
        <w:drawing>
          <wp:inline xmlns:a="http://schemas.openxmlformats.org/drawingml/2006/main" xmlns:pic="http://schemas.openxmlformats.org/drawingml/2006/picture">
            <wp:extent cx="5029200" cy="2652903"/>
            <wp:docPr id="35" name="Picture 35"/>
            <wp:cNvGraphicFramePr>
              <a:graphicFrameLocks noChangeAspect="1"/>
            </wp:cNvGraphicFramePr>
            <a:graphic>
              <a:graphicData uri="http://schemas.openxmlformats.org/drawingml/2006/picture">
                <pic:pic>
                  <pic:nvPicPr>
                    <pic:cNvPr id="0" name="figura-6-5.png"/>
                    <pic:cNvPicPr/>
                  </pic:nvPicPr>
                  <pic:blipFill>
                    <a:blip r:embed="rId43"/>
                    <a:stretch>
                      <a:fillRect/>
                    </a:stretch>
                  </pic:blipFill>
                  <pic:spPr>
                    <a:xfrm>
                      <a:off x="0" y="0"/>
                      <a:ext cx="5029200" cy="2652903"/>
                    </a:xfrm>
                    <a:prstGeom prst="rect"/>
                  </pic:spPr>
                </pic:pic>
              </a:graphicData>
            </a:graphic>
          </wp:inline>
        </w:drawing>
      </w:r>
    </w:p>
    <w:p>
      <w:pPr>
        <w:spacing w:before="320" w:after="40"/>
      </w:pPr>
      <w:r>
        <w:rPr>
          <w:rFonts w:ascii="IBM Plex Sans" w:hAnsi="IBM Plex Sans" w:cs="IBM Plex Sans"/>
          <w:b/>
          <w:color w:val="1F3A5F"/>
          <w:sz w:val="18"/>
        </w:rPr>
        <w:t>§ 9</w:t>
      </w:r>
    </w:p>
    <w:p>
      <w:pPr>
        <w:spacing w:after="160" w:line="240" w:lineRule="auto"/>
      </w:pPr>
      <w:r>
        <w:rPr>
          <w:rFonts w:ascii="Newsreader" w:hAnsi="Newsreader" w:cs="Newsreader"/>
          <w:color w:val="161412"/>
          <w:sz w:val="38"/>
        </w:rPr>
        <w:t>Toda interacción semántica responde a una pregunta perceptiva</w:t>
      </w:r>
    </w:p>
    <w:p>
      <w:pPr>
        <w:spacing w:after="120" w:line="320" w:lineRule="auto"/>
        <w:jc w:val="both"/>
      </w:pPr>
      <w:r>
        <w:rPr>
          <w:rFonts w:ascii="Newsreader" w:hAnsi="Newsreader" w:cs="Newsreader"/>
          <w:b w:val="0"/>
          <w:i w:val="0"/>
          <w:color w:val="161412"/>
        </w:rPr>
        <w:t>Una semántica merece existir cuando responde a una pregunta que aparece una y otra vez en la interacción. No porque sea bonita ni porque encaje en un framework, sino porque el usuario necesita resolver esa diferencia para actuar con claridad.</w:t>
      </w:r>
    </w:p>
    <w:p>
      <w:pPr>
        <w:spacing w:after="200" w:before="40"/>
      </w:pPr>
      <w:r>
        <w:rPr>
          <w:rFonts w:ascii="IBM Plex Sans" w:hAnsi="IBM Plex Sans" w:cs="IBM Plex Sans"/>
          <w:b/>
          <w:color w:val="1F3A5F"/>
          <w:sz w:val="17"/>
        </w:rPr>
        <w:t xml:space="preserve">TABLA 6.4   </w:t>
      </w:r>
      <w:r>
        <w:rPr>
          <w:rFonts w:ascii="IBM Plex Sans" w:hAnsi="IBM Plex Sans" w:cs="IBM Plex Sans"/>
          <w:color w:val="3A352F"/>
          <w:sz w:val="18"/>
        </w:rPr>
        <w:t xml:space="preserve">Preguntas perceptivas y familias semánticas</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PREGUNTA PERCEPTIVA</w:t>
            </w:r>
          </w:p>
        </w:tc>
        <w:tc>
          <w:tcPr>
            <w:tcW w:type="dxa" w:w="4158"/>
            <w:shd w:val="clear" w:color="auto" w:fill="EAE4D8"/>
          </w:tcPr>
          <w:p>
            <w:pPr>
              <w:spacing w:after="40"/>
            </w:pPr>
            <w:r>
              <w:rPr>
                <w:sz w:val="17"/>
              </w:rPr>
            </w:r>
            <w:r>
              <w:rPr>
                <w:rFonts w:ascii="IBM Plex Sans" w:hAnsi="IBM Plex Sans" w:cs="IBM Plex Sans"/>
                <w:b/>
                <w:i w:val="0"/>
                <w:color w:val="1F3A5F"/>
                <w:sz w:val="17"/>
              </w:rPr>
              <w:t>FAMILIA SEMÁNTICA</w:t>
            </w:r>
          </w:p>
        </w:tc>
      </w:tr>
      <w:tr>
        <w:tc>
          <w:tcPr>
            <w:tcW w:type="dxa" w:w="4158"/>
          </w:tcPr>
          <w:p>
            <w:pPr>
              <w:spacing w:after="40"/>
            </w:pPr>
            <w:r>
              <w:rPr>
                <w:sz w:val="17"/>
              </w:rPr>
            </w:r>
            <w:r>
              <w:rPr>
                <w:rFonts w:ascii="IBM Plex Sans" w:hAnsi="IBM Plex Sans" w:cs="IBM Plex Sans"/>
                <w:b w:val="0"/>
                <w:i w:val="0"/>
                <w:color w:val="161412"/>
                <w:sz w:val="17"/>
              </w:rPr>
              <w:t>¿El sistema ha sentido mi acción?</w:t>
            </w:r>
          </w:p>
        </w:tc>
        <w:tc>
          <w:tcPr>
            <w:tcW w:type="dxa" w:w="4158"/>
          </w:tcPr>
          <w:p>
            <w:pPr>
              <w:spacing w:after="40"/>
            </w:pPr>
            <w:r>
              <w:rPr>
                <w:sz w:val="17"/>
              </w:rPr>
            </w:r>
            <w:r>
              <w:rPr>
                <w:rFonts w:ascii="IBM Plex Sans" w:hAnsi="IBM Plex Sans" w:cs="IBM Plex Sans"/>
                <w:b w:val="0"/>
                <w:i w:val="0"/>
                <w:color w:val="161412"/>
                <w:sz w:val="17"/>
              </w:rPr>
              <w:t>Contacto / contact</w:t>
            </w:r>
          </w:p>
        </w:tc>
      </w:tr>
      <w:tr>
        <w:tc>
          <w:tcPr>
            <w:tcW w:type="dxa" w:w="4158"/>
          </w:tcPr>
          <w:p>
            <w:pPr>
              <w:spacing w:after="40"/>
            </w:pPr>
            <w:r>
              <w:rPr>
                <w:sz w:val="17"/>
              </w:rPr>
            </w:r>
            <w:r>
              <w:rPr>
                <w:rFonts w:ascii="IBM Plex Sans" w:hAnsi="IBM Plex Sans" w:cs="IBM Plex Sans"/>
                <w:b w:val="0"/>
                <w:i w:val="0"/>
                <w:color w:val="161412"/>
                <w:sz w:val="17"/>
              </w:rPr>
              <w:t>¿Esto ha quedado fijado?</w:t>
            </w:r>
          </w:p>
        </w:tc>
        <w:tc>
          <w:tcPr>
            <w:tcW w:type="dxa" w:w="4158"/>
          </w:tcPr>
          <w:p>
            <w:pPr>
              <w:spacing w:after="40"/>
            </w:pPr>
            <w:r>
              <w:rPr>
                <w:sz w:val="17"/>
              </w:rPr>
            </w:r>
            <w:r>
              <w:rPr>
                <w:rFonts w:ascii="IBM Plex Sans" w:hAnsi="IBM Plex Sans" w:cs="IBM Plex Sans"/>
                <w:b w:val="0"/>
                <w:i w:val="0"/>
                <w:color w:val="161412"/>
                <w:sz w:val="17"/>
              </w:rPr>
              <w:t>Consolidación / commit</w:t>
            </w:r>
          </w:p>
        </w:tc>
      </w:tr>
      <w:tr>
        <w:tc>
          <w:tcPr>
            <w:tcW w:type="dxa" w:w="4158"/>
          </w:tcPr>
          <w:p>
            <w:pPr>
              <w:spacing w:after="40"/>
            </w:pPr>
            <w:r>
              <w:rPr>
                <w:sz w:val="17"/>
              </w:rPr>
            </w:r>
            <w:r>
              <w:rPr>
                <w:rFonts w:ascii="IBM Plex Sans" w:hAnsi="IBM Plex Sans" w:cs="IBM Plex Sans"/>
                <w:b w:val="0"/>
                <w:i w:val="0"/>
                <w:color w:val="161412"/>
                <w:sz w:val="17"/>
              </w:rPr>
              <w:t>¿Algo reclama mi atención?</w:t>
            </w:r>
          </w:p>
        </w:tc>
        <w:tc>
          <w:tcPr>
            <w:tcW w:type="dxa" w:w="4158"/>
          </w:tcPr>
          <w:p>
            <w:pPr>
              <w:spacing w:after="40"/>
            </w:pPr>
            <w:r>
              <w:rPr>
                <w:sz w:val="17"/>
              </w:rPr>
            </w:r>
            <w:r>
              <w:rPr>
                <w:rFonts w:ascii="IBM Plex Sans" w:hAnsi="IBM Plex Sans" w:cs="IBM Plex Sans"/>
                <w:b w:val="0"/>
                <w:i w:val="0"/>
                <w:color w:val="161412"/>
                <w:sz w:val="17"/>
              </w:rPr>
              <w:t>Señal / signal</w:t>
            </w:r>
          </w:p>
        </w:tc>
      </w:tr>
      <w:tr>
        <w:tc>
          <w:tcPr>
            <w:tcW w:type="dxa" w:w="4158"/>
          </w:tcPr>
          <w:p>
            <w:pPr>
              <w:spacing w:after="40"/>
            </w:pPr>
            <w:r>
              <w:rPr>
                <w:sz w:val="17"/>
              </w:rPr>
            </w:r>
            <w:r>
              <w:rPr>
                <w:rFonts w:ascii="IBM Plex Sans" w:hAnsi="IBM Plex Sans" w:cs="IBM Plex Sans"/>
                <w:b w:val="0"/>
                <w:i w:val="0"/>
                <w:color w:val="161412"/>
                <w:sz w:val="17"/>
              </w:rPr>
              <w:t>¿Estoy controlando este objeto?</w:t>
            </w:r>
          </w:p>
        </w:tc>
        <w:tc>
          <w:tcPr>
            <w:tcW w:type="dxa" w:w="4158"/>
          </w:tcPr>
          <w:p>
            <w:pPr>
              <w:spacing w:after="40"/>
            </w:pPr>
            <w:r>
              <w:rPr>
                <w:sz w:val="17"/>
              </w:rPr>
            </w:r>
            <w:r>
              <w:rPr>
                <w:rFonts w:ascii="IBM Plex Sans" w:hAnsi="IBM Plex Sans" w:cs="IBM Plex Sans"/>
                <w:b w:val="0"/>
                <w:i w:val="0"/>
                <w:color w:val="161412"/>
                <w:sz w:val="17"/>
              </w:rPr>
              <w:t>Manipulación / handle</w:t>
            </w:r>
          </w:p>
        </w:tc>
      </w:tr>
      <w:tr>
        <w:tc>
          <w:tcPr>
            <w:tcW w:type="dxa" w:w="4158"/>
          </w:tcPr>
          <w:p>
            <w:pPr>
              <w:spacing w:after="40"/>
            </w:pPr>
            <w:r>
              <w:rPr>
                <w:sz w:val="17"/>
              </w:rPr>
            </w:r>
            <w:r>
              <w:rPr>
                <w:rFonts w:ascii="IBM Plex Sans" w:hAnsi="IBM Plex Sans" w:cs="IBM Plex Sans"/>
                <w:b w:val="0"/>
                <w:i w:val="0"/>
                <w:color w:val="161412"/>
                <w:sz w:val="17"/>
              </w:rPr>
              <w:t>¿Algo ha aparecido o desaparecido?</w:t>
            </w:r>
          </w:p>
        </w:tc>
        <w:tc>
          <w:tcPr>
            <w:tcW w:type="dxa" w:w="4158"/>
          </w:tcPr>
          <w:p>
            <w:pPr>
              <w:spacing w:after="40"/>
            </w:pPr>
            <w:r>
              <w:rPr>
                <w:sz w:val="17"/>
              </w:rPr>
            </w:r>
            <w:r>
              <w:rPr>
                <w:rFonts w:ascii="IBM Plex Sans" w:hAnsi="IBM Plex Sans" w:cs="IBM Plex Sans"/>
                <w:b w:val="0"/>
                <w:i w:val="0"/>
                <w:color w:val="161412"/>
                <w:sz w:val="17"/>
              </w:rPr>
              <w:t>Aparición / emerge</w:t>
            </w:r>
          </w:p>
        </w:tc>
      </w:tr>
      <w:tr>
        <w:tc>
          <w:tcPr>
            <w:tcW w:type="dxa" w:w="4158"/>
          </w:tcPr>
          <w:p>
            <w:pPr>
              <w:spacing w:after="40"/>
            </w:pPr>
            <w:r>
              <w:rPr>
                <w:sz w:val="17"/>
              </w:rPr>
            </w:r>
            <w:r>
              <w:rPr>
                <w:rFonts w:ascii="IBM Plex Sans" w:hAnsi="IBM Plex Sans" w:cs="IBM Plex Sans"/>
                <w:b w:val="0"/>
                <w:i w:val="0"/>
                <w:color w:val="161412"/>
                <w:sz w:val="17"/>
              </w:rPr>
              <w:t>¿Ha cambiado el contexto?</w:t>
            </w:r>
          </w:p>
        </w:tc>
        <w:tc>
          <w:tcPr>
            <w:tcW w:type="dxa" w:w="4158"/>
          </w:tcPr>
          <w:p>
            <w:pPr>
              <w:spacing w:after="40"/>
            </w:pPr>
            <w:r>
              <w:rPr>
                <w:sz w:val="17"/>
              </w:rPr>
            </w:r>
            <w:r>
              <w:rPr>
                <w:rFonts w:ascii="IBM Plex Sans" w:hAnsi="IBM Plex Sans" w:cs="IBM Plex Sans"/>
                <w:b w:val="0"/>
                <w:i w:val="0"/>
                <w:color w:val="161412"/>
                <w:sz w:val="17"/>
              </w:rPr>
              <w:t>Cambio de contexto / shift</w:t>
            </w:r>
          </w:p>
        </w:tc>
      </w:tr>
      <w:tr>
        <w:tc>
          <w:tcPr>
            <w:tcW w:type="dxa" w:w="4158"/>
          </w:tcPr>
          <w:p>
            <w:pPr>
              <w:spacing w:after="40"/>
            </w:pPr>
            <w:r>
              <w:rPr>
                <w:sz w:val="17"/>
              </w:rPr>
            </w:r>
            <w:r>
              <w:rPr>
                <w:rFonts w:ascii="IBM Plex Sans" w:hAnsi="IBM Plex Sans" w:cs="IBM Plex Sans"/>
                <w:b w:val="0"/>
                <w:i w:val="0"/>
                <w:color w:val="161412"/>
                <w:sz w:val="17"/>
              </w:rPr>
              <w:t>¿Esto sigue ocurriendo?</w:t>
            </w:r>
          </w:p>
        </w:tc>
        <w:tc>
          <w:tcPr>
            <w:tcW w:type="dxa" w:w="4158"/>
          </w:tcPr>
          <w:p>
            <w:pPr>
              <w:spacing w:after="40"/>
            </w:pPr>
            <w:r>
              <w:rPr>
                <w:sz w:val="17"/>
              </w:rPr>
            </w:r>
            <w:r>
              <w:rPr>
                <w:rFonts w:ascii="IBM Plex Sans" w:hAnsi="IBM Plex Sans" w:cs="IBM Plex Sans"/>
                <w:b w:val="0"/>
                <w:i w:val="0"/>
                <w:color w:val="161412"/>
                <w:sz w:val="17"/>
              </w:rPr>
              <w:t>Sostenimiento / sustain</w:t>
            </w:r>
          </w:p>
        </w:tc>
      </w:tr>
    </w:tbl>
    <w:p>
      <w:pPr>
        <w:spacing w:before="320" w:after="40"/>
      </w:pPr>
      <w:r>
        <w:rPr>
          <w:rFonts w:ascii="IBM Plex Sans" w:hAnsi="IBM Plex Sans" w:cs="IBM Plex Sans"/>
          <w:b/>
          <w:color w:val="1F3A5F"/>
          <w:sz w:val="18"/>
        </w:rPr>
        <w:t>§ 10</w:t>
      </w:r>
    </w:p>
    <w:p>
      <w:pPr>
        <w:spacing w:after="160" w:line="240" w:lineRule="auto"/>
      </w:pPr>
      <w:r>
        <w:rPr>
          <w:rFonts w:ascii="Newsreader" w:hAnsi="Newsreader" w:cs="Newsreader"/>
          <w:color w:val="161412"/>
          <w:sz w:val="38"/>
        </w:rPr>
        <w:t>Tiene una firma, no una receta</w:t>
      </w:r>
    </w:p>
    <w:p>
      <w:pPr>
        <w:spacing w:after="120" w:line="320" w:lineRule="auto"/>
        <w:jc w:val="both"/>
      </w:pPr>
      <w:r>
        <w:rPr>
          <w:rFonts w:ascii="Newsreader" w:hAnsi="Newsreader" w:cs="Newsreader"/>
          <w:b w:val="0"/>
          <w:i w:val="0"/>
          <w:color w:val="161412"/>
        </w:rPr>
        <w:t>Una receta fija valores: duración 180ms, scale 0.97, frecuencia 2600 Hz. Una firma semántica dice algo más abstracto: breve, inmediata, proporcional, causalmente ligada a la acción, con baja persistencia. La receta puede cambiar. La firma debe permanecer.</w:t>
      </w:r>
    </w:p>
    <w:p>
      <w:pPr>
        <w:spacing w:after="120" w:line="320" w:lineRule="auto"/>
        <w:jc w:val="both"/>
      </w:pPr>
      <w:r>
        <w:rPr>
          <w:rFonts w:ascii="Newsreader" w:hAnsi="Newsreader" w:cs="Newsreader"/>
          <w:b/>
          <w:i w:val="0"/>
          <w:color w:val="161412"/>
        </w:rPr>
        <w:t>Distinción clave</w:t>
      </w:r>
    </w:p>
    <w:p>
      <w:pPr>
        <w:spacing w:after="120" w:line="320" w:lineRule="auto"/>
        <w:jc w:val="both"/>
      </w:pPr>
      <w:r>
        <w:rPr>
          <w:rFonts w:ascii="Newsreader" w:hAnsi="Newsreader" w:cs="Newsreader"/>
          <w:b w:val="0"/>
          <w:i w:val="0"/>
          <w:color w:val="161412"/>
        </w:rPr>
        <w:t>Una receta fija valores. Una firma conserva identidad bajo variación.</w:t>
      </w:r>
    </w:p>
    <w:p>
      <w:pPr>
        <w:spacing w:before="320" w:after="40"/>
      </w:pPr>
      <w:r>
        <w:rPr>
          <w:rFonts w:ascii="IBM Plex Sans" w:hAnsi="IBM Plex Sans" w:cs="IBM Plex Sans"/>
          <w:b/>
          <w:color w:val="1F3A5F"/>
          <w:sz w:val="18"/>
        </w:rPr>
        <w:t>§ 11</w:t>
      </w:r>
    </w:p>
    <w:p>
      <w:pPr>
        <w:spacing w:after="160" w:line="240" w:lineRule="auto"/>
      </w:pPr>
      <w:r>
        <w:rPr>
          <w:rFonts w:ascii="Newsreader" w:hAnsi="Newsreader" w:cs="Newsreader"/>
          <w:color w:val="161412"/>
          <w:sz w:val="38"/>
        </w:rPr>
        <w:t>Puede realizarse por varios canales</w:t>
      </w:r>
    </w:p>
    <w:p>
      <w:pPr>
        <w:spacing w:after="120" w:line="320" w:lineRule="auto"/>
        <w:jc w:val="both"/>
      </w:pPr>
      <w:r>
        <w:rPr>
          <w:rFonts w:ascii="Newsreader" w:hAnsi="Newsreader" w:cs="Newsreader"/>
          <w:b w:val="0"/>
          <w:i w:val="0"/>
          <w:color w:val="161412"/>
        </w:rPr>
        <w:t>Si el usuario reduce motion, la semántica no debería desaparecer. Si el sonido está desactivado, la información no debería perderse. La interacción semántica es lo que permite esa migración: sabemos qué significado debía transportarse, así que podemos redistribuirlo.</w:t>
      </w:r>
    </w:p>
    <w:p>
      <w:pPr>
        <w:spacing w:before="200" w:after="60"/>
        <w:jc w:val="center"/>
      </w:pPr>
      <w:r>
        <w:drawing>
          <wp:inline xmlns:a="http://schemas.openxmlformats.org/drawingml/2006/main" xmlns:pic="http://schemas.openxmlformats.org/drawingml/2006/picture">
            <wp:extent cx="5029200" cy="2514600"/>
            <wp:docPr id="36" name="Picture 36"/>
            <wp:cNvGraphicFramePr>
              <a:graphicFrameLocks noChangeAspect="1"/>
            </wp:cNvGraphicFramePr>
            <a:graphic>
              <a:graphicData uri="http://schemas.openxmlformats.org/drawingml/2006/picture">
                <pic:pic>
                  <pic:nvPicPr>
                    <pic:cNvPr id="0" name="figura-6-6.png"/>
                    <pic:cNvPicPr/>
                  </pic:nvPicPr>
                  <pic:blipFill>
                    <a:blip r:embed="rId44"/>
                    <a:stretch>
                      <a:fillRect/>
                    </a:stretch>
                  </pic:blipFill>
                  <pic:spPr>
                    <a:xfrm>
                      <a:off x="0" y="0"/>
                      <a:ext cx="5029200" cy="2514600"/>
                    </a:xfrm>
                    <a:prstGeom prst="rect"/>
                  </pic:spPr>
                </pic:pic>
              </a:graphicData>
            </a:graphic>
          </wp:inline>
        </w:drawing>
      </w:r>
    </w:p>
    <w:p>
      <w:pPr>
        <w:spacing w:before="320" w:after="40"/>
      </w:pPr>
      <w:r>
        <w:rPr>
          <w:rFonts w:ascii="IBM Plex Sans" w:hAnsi="IBM Plex Sans" w:cs="IBM Plex Sans"/>
          <w:b/>
          <w:color w:val="1F3A5F"/>
          <w:sz w:val="18"/>
        </w:rPr>
        <w:t>§ 12</w:t>
      </w:r>
    </w:p>
    <w:p>
      <w:pPr>
        <w:spacing w:after="160" w:line="240" w:lineRule="auto"/>
      </w:pPr>
      <w:r>
        <w:rPr>
          <w:rFonts w:ascii="Newsreader" w:hAnsi="Newsreader" w:cs="Newsreader"/>
          <w:color w:val="161412"/>
          <w:sz w:val="38"/>
        </w:rPr>
        <w:t>Tiene estructura temporal</w:t>
      </w:r>
    </w:p>
    <w:p>
      <w:pPr>
        <w:spacing w:after="200" w:before="40"/>
      </w:pPr>
      <w:r>
        <w:rPr>
          <w:rFonts w:ascii="IBM Plex Sans" w:hAnsi="IBM Plex Sans" w:cs="IBM Plex Sans"/>
          <w:b/>
          <w:color w:val="1F3A5F"/>
          <w:sz w:val="17"/>
        </w:rPr>
        <w:t xml:space="preserve">TABLA 6.5   </w:t>
      </w:r>
      <w:r>
        <w:rPr>
          <w:rFonts w:ascii="IBM Plex Sans" w:hAnsi="IBM Plex Sans" w:cs="IBM Plex Sans"/>
          <w:color w:val="3A352F"/>
          <w:sz w:val="18"/>
        </w:rPr>
        <w:t xml:space="preserve">Formas temporales de las semánticas</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SEMÁNTICA</w:t>
            </w:r>
          </w:p>
        </w:tc>
        <w:tc>
          <w:tcPr>
            <w:tcW w:type="dxa" w:w="2772"/>
            <w:shd w:val="clear" w:color="auto" w:fill="EAE4D8"/>
          </w:tcPr>
          <w:p>
            <w:pPr>
              <w:spacing w:after="40"/>
            </w:pPr>
            <w:r>
              <w:rPr>
                <w:sz w:val="17"/>
              </w:rPr>
            </w:r>
            <w:r>
              <w:rPr>
                <w:rFonts w:ascii="IBM Plex Sans" w:hAnsi="IBM Plex Sans" w:cs="IBM Plex Sans"/>
                <w:b/>
                <w:i w:val="0"/>
                <w:color w:val="1F3A5F"/>
                <w:sz w:val="17"/>
              </w:rPr>
              <w:t>FORMA TEMPORAL</w:t>
            </w:r>
          </w:p>
        </w:tc>
        <w:tc>
          <w:tcPr>
            <w:tcW w:type="dxa" w:w="2772"/>
            <w:shd w:val="clear" w:color="auto" w:fill="EAE4D8"/>
          </w:tcPr>
          <w:p>
            <w:pPr>
              <w:spacing w:after="40"/>
            </w:pPr>
            <w:r>
              <w:rPr>
                <w:sz w:val="17"/>
              </w:rPr>
            </w:r>
            <w:r>
              <w:rPr>
                <w:rFonts w:ascii="IBM Plex Sans" w:hAnsi="IBM Plex Sans" w:cs="IBM Plex Sans"/>
                <w:b/>
                <w:i w:val="0"/>
                <w:color w:val="1F3A5F"/>
                <w:sz w:val="17"/>
              </w:rPr>
              <w:t>LECTURA</w:t>
            </w:r>
          </w:p>
        </w:tc>
      </w:tr>
      <w:tr>
        <w:tc>
          <w:tcPr>
            <w:tcW w:type="dxa" w:w="2772"/>
          </w:tcPr>
          <w:p>
            <w:pPr>
              <w:spacing w:after="40"/>
            </w:pPr>
            <w:r>
              <w:rPr>
                <w:sz w:val="17"/>
              </w:rPr>
            </w:r>
            <w:r>
              <w:rPr>
                <w:rFonts w:ascii="IBM Plex Sans" w:hAnsi="IBM Plex Sans" w:cs="IBM Plex Sans"/>
                <w:b w:val="0"/>
                <w:i w:val="0"/>
                <w:color w:val="161412"/>
                <w:sz w:val="17"/>
              </w:rPr>
              <w:t>Contacto</w:t>
            </w:r>
          </w:p>
        </w:tc>
        <w:tc>
          <w:tcPr>
            <w:tcW w:type="dxa" w:w="2772"/>
          </w:tcPr>
          <w:p>
            <w:pPr>
              <w:spacing w:after="40"/>
            </w:pPr>
            <w:r>
              <w:rPr>
                <w:sz w:val="17"/>
              </w:rPr>
            </w:r>
            <w:r>
              <w:rPr>
                <w:rFonts w:ascii="IBM Plex Sans" w:hAnsi="IBM Plex Sans" w:cs="IBM Plex Sans"/>
                <w:b w:val="0"/>
                <w:i w:val="0"/>
                <w:color w:val="161412"/>
                <w:sz w:val="17"/>
              </w:rPr>
              <w:t>Puntual</w:t>
            </w:r>
          </w:p>
        </w:tc>
        <w:tc>
          <w:tcPr>
            <w:tcW w:type="dxa" w:w="2772"/>
          </w:tcPr>
          <w:p>
            <w:pPr>
              <w:spacing w:after="40"/>
            </w:pPr>
            <w:r>
              <w:rPr>
                <w:sz w:val="17"/>
              </w:rPr>
            </w:r>
            <w:r>
              <w:rPr>
                <w:rFonts w:ascii="IBM Plex Sans" w:hAnsi="IBM Plex Sans" w:cs="IBM Plex Sans"/>
                <w:b w:val="0"/>
                <w:i w:val="0"/>
                <w:color w:val="161412"/>
                <w:sz w:val="17"/>
              </w:rPr>
              <w:t>«me ha sentido»</w:t>
            </w:r>
          </w:p>
        </w:tc>
      </w:tr>
      <w:tr>
        <w:tc>
          <w:tcPr>
            <w:tcW w:type="dxa" w:w="2772"/>
          </w:tcPr>
          <w:p>
            <w:pPr>
              <w:spacing w:after="40"/>
            </w:pPr>
            <w:r>
              <w:rPr>
                <w:sz w:val="17"/>
              </w:rPr>
            </w:r>
            <w:r>
              <w:rPr>
                <w:rFonts w:ascii="IBM Plex Sans" w:hAnsi="IBM Plex Sans" w:cs="IBM Plex Sans"/>
                <w:b w:val="0"/>
                <w:i w:val="0"/>
                <w:color w:val="161412"/>
                <w:sz w:val="17"/>
              </w:rPr>
              <w:t>Consolidación</w:t>
            </w:r>
          </w:p>
        </w:tc>
        <w:tc>
          <w:tcPr>
            <w:tcW w:type="dxa" w:w="2772"/>
          </w:tcPr>
          <w:p>
            <w:pPr>
              <w:spacing w:after="40"/>
            </w:pPr>
            <w:r>
              <w:rPr>
                <w:sz w:val="17"/>
              </w:rPr>
            </w:r>
            <w:r>
              <w:rPr>
                <w:rFonts w:ascii="IBM Plex Sans" w:hAnsi="IBM Plex Sans" w:cs="IBM Plex Sans"/>
                <w:b w:val="0"/>
                <w:i w:val="0"/>
                <w:color w:val="161412"/>
                <w:sz w:val="17"/>
              </w:rPr>
              <w:t>Breve + resolutiva</w:t>
            </w:r>
          </w:p>
        </w:tc>
        <w:tc>
          <w:tcPr>
            <w:tcW w:type="dxa" w:w="2772"/>
          </w:tcPr>
          <w:p>
            <w:pPr>
              <w:spacing w:after="40"/>
            </w:pPr>
            <w:r>
              <w:rPr>
                <w:sz w:val="17"/>
              </w:rPr>
            </w:r>
            <w:r>
              <w:rPr>
                <w:rFonts w:ascii="IBM Plex Sans" w:hAnsi="IBM Plex Sans" w:cs="IBM Plex Sans"/>
                <w:b w:val="0"/>
                <w:i w:val="0"/>
                <w:color w:val="161412"/>
                <w:sz w:val="17"/>
              </w:rPr>
              <w:t>«esto quedó fijado»</w:t>
            </w:r>
          </w:p>
        </w:tc>
      </w:tr>
      <w:tr>
        <w:tc>
          <w:tcPr>
            <w:tcW w:type="dxa" w:w="2772"/>
          </w:tcPr>
          <w:p>
            <w:pPr>
              <w:spacing w:after="40"/>
            </w:pPr>
            <w:r>
              <w:rPr>
                <w:sz w:val="17"/>
              </w:rPr>
            </w:r>
            <w:r>
              <w:rPr>
                <w:rFonts w:ascii="IBM Plex Sans" w:hAnsi="IBM Plex Sans" w:cs="IBM Plex Sans"/>
                <w:b w:val="0"/>
                <w:i w:val="0"/>
                <w:color w:val="161412"/>
                <w:sz w:val="17"/>
              </w:rPr>
              <w:t>Señal</w:t>
            </w:r>
          </w:p>
        </w:tc>
        <w:tc>
          <w:tcPr>
            <w:tcW w:type="dxa" w:w="2772"/>
          </w:tcPr>
          <w:p>
            <w:pPr>
              <w:spacing w:after="40"/>
            </w:pPr>
            <w:r>
              <w:rPr>
                <w:sz w:val="17"/>
              </w:rPr>
            </w:r>
            <w:r>
              <w:rPr>
                <w:rFonts w:ascii="IBM Plex Sans" w:hAnsi="IBM Plex Sans" w:cs="IBM Plex Sans"/>
                <w:b w:val="0"/>
                <w:i w:val="0"/>
                <w:color w:val="161412"/>
                <w:sz w:val="17"/>
              </w:rPr>
              <w:t>Entrada + posible persistencia</w:t>
            </w:r>
          </w:p>
        </w:tc>
        <w:tc>
          <w:tcPr>
            <w:tcW w:type="dxa" w:w="2772"/>
          </w:tcPr>
          <w:p>
            <w:pPr>
              <w:spacing w:after="40"/>
            </w:pPr>
            <w:r>
              <w:rPr>
                <w:sz w:val="17"/>
              </w:rPr>
            </w:r>
            <w:r>
              <w:rPr>
                <w:rFonts w:ascii="IBM Plex Sans" w:hAnsi="IBM Plex Sans" w:cs="IBM Plex Sans"/>
                <w:b w:val="0"/>
                <w:i w:val="0"/>
                <w:color w:val="161412"/>
                <w:sz w:val="17"/>
              </w:rPr>
              <w:t>«atiende esto»</w:t>
            </w:r>
          </w:p>
        </w:tc>
      </w:tr>
      <w:tr>
        <w:tc>
          <w:tcPr>
            <w:tcW w:type="dxa" w:w="2772"/>
          </w:tcPr>
          <w:p>
            <w:pPr>
              <w:spacing w:after="40"/>
            </w:pPr>
            <w:r>
              <w:rPr>
                <w:sz w:val="17"/>
              </w:rPr>
            </w:r>
            <w:r>
              <w:rPr>
                <w:rFonts w:ascii="IBM Plex Sans" w:hAnsi="IBM Plex Sans" w:cs="IBM Plex Sans"/>
                <w:b w:val="0"/>
                <w:i w:val="0"/>
                <w:color w:val="161412"/>
                <w:sz w:val="17"/>
              </w:rPr>
              <w:t>Aparición</w:t>
            </w:r>
          </w:p>
        </w:tc>
        <w:tc>
          <w:tcPr>
            <w:tcW w:type="dxa" w:w="2772"/>
          </w:tcPr>
          <w:p>
            <w:pPr>
              <w:spacing w:after="40"/>
            </w:pPr>
            <w:r>
              <w:rPr>
                <w:sz w:val="17"/>
              </w:rPr>
            </w:r>
            <w:r>
              <w:rPr>
                <w:rFonts w:ascii="IBM Plex Sans" w:hAnsi="IBM Plex Sans" w:cs="IBM Plex Sans"/>
                <w:b w:val="0"/>
                <w:i w:val="0"/>
                <w:color w:val="161412"/>
                <w:sz w:val="17"/>
              </w:rPr>
              <w:t>Entrada / salida</w:t>
            </w:r>
          </w:p>
        </w:tc>
        <w:tc>
          <w:tcPr>
            <w:tcW w:type="dxa" w:w="2772"/>
          </w:tcPr>
          <w:p>
            <w:pPr>
              <w:spacing w:after="40"/>
            </w:pPr>
            <w:r>
              <w:rPr>
                <w:sz w:val="17"/>
              </w:rPr>
            </w:r>
            <w:r>
              <w:rPr>
                <w:rFonts w:ascii="IBM Plex Sans" w:hAnsi="IBM Plex Sans" w:cs="IBM Plex Sans"/>
                <w:b w:val="0"/>
                <w:i w:val="0"/>
                <w:color w:val="161412"/>
                <w:sz w:val="17"/>
              </w:rPr>
              <w:t>«algo entra o sale del campo»</w:t>
            </w:r>
          </w:p>
        </w:tc>
      </w:tr>
      <w:tr>
        <w:tc>
          <w:tcPr>
            <w:tcW w:type="dxa" w:w="2772"/>
          </w:tcPr>
          <w:p>
            <w:pPr>
              <w:spacing w:after="40"/>
            </w:pPr>
            <w:r>
              <w:rPr>
                <w:sz w:val="17"/>
              </w:rPr>
            </w:r>
            <w:r>
              <w:rPr>
                <w:rFonts w:ascii="IBM Plex Sans" w:hAnsi="IBM Plex Sans" w:cs="IBM Plex Sans"/>
                <w:b w:val="0"/>
                <w:i w:val="0"/>
                <w:color w:val="161412"/>
                <w:sz w:val="17"/>
              </w:rPr>
              <w:t>Cambio de contexto</w:t>
            </w:r>
          </w:p>
        </w:tc>
        <w:tc>
          <w:tcPr>
            <w:tcW w:type="dxa" w:w="2772"/>
          </w:tcPr>
          <w:p>
            <w:pPr>
              <w:spacing w:after="40"/>
            </w:pPr>
            <w:r>
              <w:rPr>
                <w:sz w:val="17"/>
              </w:rPr>
            </w:r>
            <w:r>
              <w:rPr>
                <w:rFonts w:ascii="IBM Plex Sans" w:hAnsi="IBM Plex Sans" w:cs="IBM Plex Sans"/>
                <w:b w:val="0"/>
                <w:i w:val="0"/>
                <w:color w:val="161412"/>
                <w:sz w:val="17"/>
              </w:rPr>
              <w:t>Cruce de umbral</w:t>
            </w:r>
          </w:p>
        </w:tc>
        <w:tc>
          <w:tcPr>
            <w:tcW w:type="dxa" w:w="2772"/>
          </w:tcPr>
          <w:p>
            <w:pPr>
              <w:spacing w:after="40"/>
            </w:pPr>
            <w:r>
              <w:rPr>
                <w:sz w:val="17"/>
              </w:rPr>
            </w:r>
            <w:r>
              <w:rPr>
                <w:rFonts w:ascii="IBM Plex Sans" w:hAnsi="IBM Plex Sans" w:cs="IBM Plex Sans"/>
                <w:b w:val="0"/>
                <w:i w:val="0"/>
                <w:color w:val="161412"/>
                <w:sz w:val="17"/>
              </w:rPr>
              <w:t>«ahora estás en otro régimen»</w:t>
            </w:r>
          </w:p>
        </w:tc>
      </w:tr>
      <w:tr>
        <w:tc>
          <w:tcPr>
            <w:tcW w:type="dxa" w:w="2772"/>
          </w:tcPr>
          <w:p>
            <w:pPr>
              <w:spacing w:after="40"/>
            </w:pPr>
            <w:r>
              <w:rPr>
                <w:sz w:val="17"/>
              </w:rPr>
            </w:r>
            <w:r>
              <w:rPr>
                <w:rFonts w:ascii="IBM Plex Sans" w:hAnsi="IBM Plex Sans" w:cs="IBM Plex Sans"/>
                <w:b w:val="0"/>
                <w:i w:val="0"/>
                <w:color w:val="161412"/>
                <w:sz w:val="17"/>
              </w:rPr>
              <w:t>Manipulación</w:t>
            </w:r>
          </w:p>
        </w:tc>
        <w:tc>
          <w:tcPr>
            <w:tcW w:type="dxa" w:w="2772"/>
          </w:tcPr>
          <w:p>
            <w:pPr>
              <w:spacing w:after="40"/>
            </w:pPr>
            <w:r>
              <w:rPr>
                <w:sz w:val="17"/>
              </w:rPr>
            </w:r>
            <w:r>
              <w:rPr>
                <w:rFonts w:ascii="IBM Plex Sans" w:hAnsi="IBM Plex Sans" w:cs="IBM Plex Sans"/>
                <w:b w:val="0"/>
                <w:i w:val="0"/>
                <w:color w:val="161412"/>
                <w:sz w:val="17"/>
              </w:rPr>
              <w:t>Pick / carry / drop</w:t>
            </w:r>
          </w:p>
        </w:tc>
        <w:tc>
          <w:tcPr>
            <w:tcW w:type="dxa" w:w="2772"/>
          </w:tcPr>
          <w:p>
            <w:pPr>
              <w:spacing w:after="40"/>
            </w:pPr>
            <w:r>
              <w:rPr>
                <w:sz w:val="17"/>
              </w:rPr>
            </w:r>
            <w:r>
              <w:rPr>
                <w:rFonts w:ascii="IBM Plex Sans" w:hAnsi="IBM Plex Sans" w:cs="IBM Plex Sans"/>
                <w:b w:val="0"/>
                <w:i w:val="0"/>
                <w:color w:val="161412"/>
                <w:sz w:val="17"/>
              </w:rPr>
              <w:t>«lo agarro, lo muevo, lo coloco»</w:t>
            </w:r>
          </w:p>
        </w:tc>
      </w:tr>
      <w:tr>
        <w:tc>
          <w:tcPr>
            <w:tcW w:type="dxa" w:w="2772"/>
          </w:tcPr>
          <w:p>
            <w:pPr>
              <w:spacing w:after="40"/>
            </w:pPr>
            <w:r>
              <w:rPr>
                <w:sz w:val="17"/>
              </w:rPr>
            </w:r>
            <w:r>
              <w:rPr>
                <w:rFonts w:ascii="IBM Plex Sans" w:hAnsi="IBM Plex Sans" w:cs="IBM Plex Sans"/>
                <w:b w:val="0"/>
                <w:i w:val="0"/>
                <w:color w:val="161412"/>
                <w:sz w:val="17"/>
              </w:rPr>
              <w:t>Sostenimiento</w:t>
            </w:r>
          </w:p>
        </w:tc>
        <w:tc>
          <w:tcPr>
            <w:tcW w:type="dxa" w:w="2772"/>
          </w:tcPr>
          <w:p>
            <w:pPr>
              <w:spacing w:after="40"/>
            </w:pPr>
            <w:r>
              <w:rPr>
                <w:sz w:val="17"/>
              </w:rPr>
            </w:r>
            <w:r>
              <w:rPr>
                <w:rFonts w:ascii="IBM Plex Sans" w:hAnsi="IBM Plex Sans" w:cs="IBM Plex Sans"/>
                <w:b w:val="0"/>
                <w:i w:val="0"/>
                <w:color w:val="161412"/>
                <w:sz w:val="17"/>
              </w:rPr>
              <w:t>Inicio / continuidad / fin</w:t>
            </w:r>
          </w:p>
        </w:tc>
        <w:tc>
          <w:tcPr>
            <w:tcW w:type="dxa" w:w="2772"/>
          </w:tcPr>
          <w:p>
            <w:pPr>
              <w:spacing w:after="40"/>
            </w:pPr>
            <w:r>
              <w:rPr>
                <w:sz w:val="17"/>
              </w:rPr>
            </w:r>
            <w:r>
              <w:rPr>
                <w:rFonts w:ascii="IBM Plex Sans" w:hAnsi="IBM Plex Sans" w:cs="IBM Plex Sans"/>
                <w:b w:val="0"/>
                <w:i w:val="0"/>
                <w:color w:val="161412"/>
                <w:sz w:val="17"/>
              </w:rPr>
              <w:t>«sigue ocurriendo»</w:t>
            </w:r>
          </w:p>
        </w:tc>
      </w:tr>
    </w:tbl>
    <w:p>
      <w:pPr>
        <w:spacing w:before="320" w:after="40"/>
      </w:pPr>
      <w:r>
        <w:rPr>
          <w:rFonts w:ascii="IBM Plex Sans" w:hAnsi="IBM Plex Sans" w:cs="IBM Plex Sans"/>
          <w:b/>
          <w:color w:val="1F3A5F"/>
          <w:sz w:val="18"/>
        </w:rPr>
        <w:t>§ 13</w:t>
      </w:r>
    </w:p>
    <w:p>
      <w:pPr>
        <w:spacing w:after="160" w:line="240" w:lineRule="auto"/>
      </w:pPr>
      <w:r>
        <w:rPr>
          <w:rFonts w:ascii="Newsreader" w:hAnsi="Newsreader" w:cs="Newsreader"/>
          <w:color w:val="161412"/>
          <w:sz w:val="38"/>
        </w:rPr>
        <w:t>Puede componerse con otras semánticas</w:t>
      </w:r>
    </w:p>
    <w:p>
      <w:pPr>
        <w:spacing w:after="120" w:line="320" w:lineRule="auto"/>
        <w:jc w:val="both"/>
      </w:pPr>
      <w:r>
        <w:rPr>
          <w:rFonts w:ascii="Newsreader" w:hAnsi="Newsreader" w:cs="Newsreader"/>
          <w:b w:val="0"/>
          <w:i w:val="0"/>
          <w:color w:val="161412"/>
        </w:rPr>
        <w:t>Un guardado largo: contacto → sostenimiento → consolidación. Una eliminación: contacto → señal de amenaza → cambio de contexto → pérdida. Un drag a papelera: manipulación → señal de destino → pérdida. La gramática permite asignar cada función a su lugar.</w:t>
      </w:r>
    </w:p>
    <w:p>
      <w:pPr>
        <w:spacing w:before="200" w:after="60"/>
        <w:jc w:val="center"/>
      </w:pPr>
      <w:r>
        <w:drawing>
          <wp:inline xmlns:a="http://schemas.openxmlformats.org/drawingml/2006/main" xmlns:pic="http://schemas.openxmlformats.org/drawingml/2006/picture">
            <wp:extent cx="5029200" cy="2514600"/>
            <wp:docPr id="37" name="Picture 37"/>
            <wp:cNvGraphicFramePr>
              <a:graphicFrameLocks noChangeAspect="1"/>
            </wp:cNvGraphicFramePr>
            <a:graphic>
              <a:graphicData uri="http://schemas.openxmlformats.org/drawingml/2006/picture">
                <pic:pic>
                  <pic:nvPicPr>
                    <pic:cNvPr id="0" name="figura-6-7.png"/>
                    <pic:cNvPicPr/>
                  </pic:nvPicPr>
                  <pic:blipFill>
                    <a:blip r:embed="rId45"/>
                    <a:stretch>
                      <a:fillRect/>
                    </a:stretch>
                  </pic:blipFill>
                  <pic:spPr>
                    <a:xfrm>
                      <a:off x="0" y="0"/>
                      <a:ext cx="5029200" cy="2514600"/>
                    </a:xfrm>
                    <a:prstGeom prst="rect"/>
                  </pic:spPr>
                </pic:pic>
              </a:graphicData>
            </a:graphic>
          </wp:inline>
        </w:drawing>
      </w:r>
    </w:p>
    <w:p>
      <w:pPr>
        <w:spacing w:before="320" w:after="40"/>
      </w:pPr>
      <w:r>
        <w:rPr>
          <w:rFonts w:ascii="IBM Plex Sans" w:hAnsi="IBM Plex Sans" w:cs="IBM Plex Sans"/>
          <w:b/>
          <w:color w:val="1F3A5F"/>
          <w:sz w:val="18"/>
        </w:rPr>
        <w:t>§ 14</w:t>
      </w:r>
    </w:p>
    <w:p>
      <w:pPr>
        <w:spacing w:after="160" w:line="240" w:lineRule="auto"/>
      </w:pPr>
      <w:r>
        <w:rPr>
          <w:rFonts w:ascii="Newsreader" w:hAnsi="Newsreader" w:cs="Newsreader"/>
          <w:color w:val="161412"/>
          <w:sz w:val="38"/>
        </w:rPr>
        <w:t>Tiene fronteras</w:t>
      </w:r>
    </w:p>
    <w:p>
      <w:pPr>
        <w:spacing w:after="200" w:before="40"/>
      </w:pPr>
      <w:r>
        <w:rPr>
          <w:rFonts w:ascii="IBM Plex Sans" w:hAnsi="IBM Plex Sans" w:cs="IBM Plex Sans"/>
          <w:b/>
          <w:color w:val="1F3A5F"/>
          <w:sz w:val="17"/>
        </w:rPr>
        <w:t xml:space="preserve">TABLA 6.6   </w:t>
      </w:r>
      <w:r>
        <w:rPr>
          <w:rFonts w:ascii="IBM Plex Sans" w:hAnsi="IBM Plex Sans" w:cs="IBM Plex Sans"/>
          <w:color w:val="3A352F"/>
          <w:sz w:val="18"/>
        </w:rPr>
        <w:t xml:space="preserve">Fronteras semánticas importantes</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NO CONFUNDIR</w:t>
            </w:r>
          </w:p>
        </w:tc>
        <w:tc>
          <w:tcPr>
            <w:tcW w:type="dxa" w:w="4158"/>
            <w:shd w:val="clear" w:color="auto" w:fill="EAE4D8"/>
          </w:tcPr>
          <w:p>
            <w:pPr>
              <w:spacing w:after="40"/>
            </w:pPr>
            <w:r>
              <w:rPr>
                <w:sz w:val="17"/>
              </w:rPr>
            </w:r>
            <w:r>
              <w:rPr>
                <w:rFonts w:ascii="IBM Plex Sans" w:hAnsi="IBM Plex Sans" w:cs="IBM Plex Sans"/>
                <w:b/>
                <w:i w:val="0"/>
                <w:color w:val="1F3A5F"/>
                <w:sz w:val="17"/>
              </w:rPr>
              <w:t>DIFERENCIA</w:t>
            </w:r>
          </w:p>
        </w:tc>
      </w:tr>
      <w:tr>
        <w:tc>
          <w:tcPr>
            <w:tcW w:type="dxa" w:w="4158"/>
          </w:tcPr>
          <w:p>
            <w:pPr>
              <w:spacing w:after="40"/>
            </w:pPr>
            <w:r>
              <w:rPr>
                <w:sz w:val="17"/>
              </w:rPr>
            </w:r>
            <w:r>
              <w:rPr>
                <w:rFonts w:ascii="IBM Plex Sans" w:hAnsi="IBM Plex Sans" w:cs="IBM Plex Sans"/>
                <w:b w:val="0"/>
                <w:i w:val="0"/>
                <w:color w:val="161412"/>
                <w:sz w:val="17"/>
              </w:rPr>
              <w:t>Contacto / consolidación</w:t>
            </w:r>
          </w:p>
        </w:tc>
        <w:tc>
          <w:tcPr>
            <w:tcW w:type="dxa" w:w="4158"/>
          </w:tcPr>
          <w:p>
            <w:pPr>
              <w:spacing w:after="40"/>
            </w:pPr>
            <w:r>
              <w:rPr>
                <w:sz w:val="17"/>
              </w:rPr>
            </w:r>
            <w:r>
              <w:rPr>
                <w:rFonts w:ascii="IBM Plex Sans" w:hAnsi="IBM Plex Sans" w:cs="IBM Plex Sans"/>
                <w:b w:val="0"/>
                <w:i w:val="0"/>
                <w:color w:val="161412"/>
                <w:sz w:val="17"/>
              </w:rPr>
              <w:t>Registrar gesto no es fijar estado</w:t>
            </w:r>
          </w:p>
        </w:tc>
      </w:tr>
      <w:tr>
        <w:tc>
          <w:tcPr>
            <w:tcW w:type="dxa" w:w="4158"/>
          </w:tcPr>
          <w:p>
            <w:pPr>
              <w:spacing w:after="40"/>
            </w:pPr>
            <w:r>
              <w:rPr>
                <w:sz w:val="17"/>
              </w:rPr>
            </w:r>
            <w:r>
              <w:rPr>
                <w:rFonts w:ascii="IBM Plex Sans" w:hAnsi="IBM Plex Sans" w:cs="IBM Plex Sans"/>
                <w:b w:val="0"/>
                <w:i w:val="0"/>
                <w:color w:val="161412"/>
                <w:sz w:val="17"/>
              </w:rPr>
              <w:t>Aparición / señal</w:t>
            </w:r>
          </w:p>
        </w:tc>
        <w:tc>
          <w:tcPr>
            <w:tcW w:type="dxa" w:w="4158"/>
          </w:tcPr>
          <w:p>
            <w:pPr>
              <w:spacing w:after="40"/>
            </w:pPr>
            <w:r>
              <w:rPr>
                <w:sz w:val="17"/>
              </w:rPr>
            </w:r>
            <w:r>
              <w:rPr>
                <w:rFonts w:ascii="IBM Plex Sans" w:hAnsi="IBM Plex Sans" w:cs="IBM Plex Sans"/>
                <w:b w:val="0"/>
                <w:i w:val="0"/>
                <w:color w:val="161412"/>
                <w:sz w:val="17"/>
              </w:rPr>
              <w:t>Aparecer no es reclamar atención</w:t>
            </w:r>
          </w:p>
        </w:tc>
      </w:tr>
      <w:tr>
        <w:tc>
          <w:tcPr>
            <w:tcW w:type="dxa" w:w="4158"/>
          </w:tcPr>
          <w:p>
            <w:pPr>
              <w:spacing w:after="40"/>
            </w:pPr>
            <w:r>
              <w:rPr>
                <w:sz w:val="17"/>
              </w:rPr>
            </w:r>
            <w:r>
              <w:rPr>
                <w:rFonts w:ascii="IBM Plex Sans" w:hAnsi="IBM Plex Sans" w:cs="IBM Plex Sans"/>
                <w:b w:val="0"/>
                <w:i w:val="0"/>
                <w:color w:val="161412"/>
                <w:sz w:val="17"/>
              </w:rPr>
              <w:t>Aparición / cambio de contexto</w:t>
            </w:r>
          </w:p>
        </w:tc>
        <w:tc>
          <w:tcPr>
            <w:tcW w:type="dxa" w:w="4158"/>
          </w:tcPr>
          <w:p>
            <w:pPr>
              <w:spacing w:after="40"/>
            </w:pPr>
            <w:r>
              <w:rPr>
                <w:sz w:val="17"/>
              </w:rPr>
            </w:r>
            <w:r>
              <w:rPr>
                <w:rFonts w:ascii="IBM Plex Sans" w:hAnsi="IBM Plex Sans" w:cs="IBM Plex Sans"/>
                <w:b w:val="0"/>
                <w:i w:val="0"/>
                <w:color w:val="161412"/>
                <w:sz w:val="17"/>
              </w:rPr>
              <w:t>Entrar en campo no es cambiar régimen</w:t>
            </w:r>
          </w:p>
        </w:tc>
      </w:tr>
      <w:tr>
        <w:tc>
          <w:tcPr>
            <w:tcW w:type="dxa" w:w="4158"/>
          </w:tcPr>
          <w:p>
            <w:pPr>
              <w:spacing w:after="40"/>
            </w:pPr>
            <w:r>
              <w:rPr>
                <w:sz w:val="17"/>
              </w:rPr>
            </w:r>
            <w:r>
              <w:rPr>
                <w:rFonts w:ascii="IBM Plex Sans" w:hAnsi="IBM Plex Sans" w:cs="IBM Plex Sans"/>
                <w:b w:val="0"/>
                <w:i w:val="0"/>
                <w:color w:val="161412"/>
                <w:sz w:val="17"/>
              </w:rPr>
              <w:t>Sostenimiento / culminación</w:t>
            </w:r>
          </w:p>
        </w:tc>
        <w:tc>
          <w:tcPr>
            <w:tcW w:type="dxa" w:w="4158"/>
          </w:tcPr>
          <w:p>
            <w:pPr>
              <w:spacing w:after="40"/>
            </w:pPr>
            <w:r>
              <w:rPr>
                <w:sz w:val="17"/>
              </w:rPr>
            </w:r>
            <w:r>
              <w:rPr>
                <w:rFonts w:ascii="IBM Plex Sans" w:hAnsi="IBM Plex Sans" w:cs="IBM Plex Sans"/>
                <w:b w:val="0"/>
                <w:i w:val="0"/>
                <w:color w:val="161412"/>
                <w:sz w:val="17"/>
              </w:rPr>
              <w:t>Seguir ocurriendo no es haber terminado</w:t>
            </w:r>
          </w:p>
        </w:tc>
      </w:tr>
      <w:tr>
        <w:tc>
          <w:tcPr>
            <w:tcW w:type="dxa" w:w="4158"/>
          </w:tcPr>
          <w:p>
            <w:pPr>
              <w:spacing w:after="40"/>
            </w:pPr>
            <w:r>
              <w:rPr>
                <w:sz w:val="17"/>
              </w:rPr>
            </w:r>
            <w:r>
              <w:rPr>
                <w:rFonts w:ascii="IBM Plex Sans" w:hAnsi="IBM Plex Sans" w:cs="IBM Plex Sans"/>
                <w:b w:val="0"/>
                <w:i w:val="0"/>
                <w:color w:val="161412"/>
                <w:sz w:val="17"/>
              </w:rPr>
              <w:t>Ocultación / pérdida</w:t>
            </w:r>
          </w:p>
        </w:tc>
        <w:tc>
          <w:tcPr>
            <w:tcW w:type="dxa" w:w="4158"/>
          </w:tcPr>
          <w:p>
            <w:pPr>
              <w:spacing w:after="40"/>
            </w:pPr>
            <w:r>
              <w:rPr>
                <w:sz w:val="17"/>
              </w:rPr>
            </w:r>
            <w:r>
              <w:rPr>
                <w:rFonts w:ascii="IBM Plex Sans" w:hAnsi="IBM Plex Sans" w:cs="IBM Plex Sans"/>
                <w:b w:val="0"/>
                <w:i w:val="0"/>
                <w:color w:val="161412"/>
                <w:sz w:val="17"/>
              </w:rPr>
              <w:t>Retirar de la vista no es destruir</w:t>
            </w:r>
          </w:p>
        </w:tc>
      </w:tr>
      <w:tr>
        <w:tc>
          <w:tcPr>
            <w:tcW w:type="dxa" w:w="4158"/>
          </w:tcPr>
          <w:p>
            <w:pPr>
              <w:spacing w:after="40"/>
            </w:pPr>
            <w:r>
              <w:rPr>
                <w:sz w:val="17"/>
              </w:rPr>
            </w:r>
            <w:r>
              <w:rPr>
                <w:rFonts w:ascii="IBM Plex Sans" w:hAnsi="IBM Plex Sans" w:cs="IBM Plex Sans"/>
                <w:b w:val="0"/>
                <w:i w:val="0"/>
                <w:color w:val="161412"/>
                <w:sz w:val="17"/>
              </w:rPr>
              <w:t>Intent / semántica</w:t>
            </w:r>
          </w:p>
        </w:tc>
        <w:tc>
          <w:tcPr>
            <w:tcW w:type="dxa" w:w="4158"/>
          </w:tcPr>
          <w:p>
            <w:pPr>
              <w:spacing w:after="40"/>
            </w:pPr>
            <w:r>
              <w:rPr>
                <w:sz w:val="17"/>
              </w:rPr>
            </w:r>
            <w:r>
              <w:rPr>
                <w:rFonts w:ascii="IBM Plex Sans" w:hAnsi="IBM Plex Sans" w:cs="IBM Plex Sans"/>
                <w:b w:val="0"/>
                <w:i w:val="0"/>
                <w:color w:val="161412"/>
                <w:sz w:val="17"/>
              </w:rPr>
              <w:t>El tono evaluativo no define el tipo de evento</w:t>
            </w:r>
          </w:p>
        </w:tc>
      </w:tr>
    </w:tbl>
    <w:p>
      <w:pPr>
        <w:spacing w:before="320" w:after="40"/>
      </w:pPr>
      <w:r>
        <w:rPr>
          <w:rFonts w:ascii="IBM Plex Sans" w:hAnsi="IBM Plex Sans" w:cs="IBM Plex Sans"/>
          <w:b/>
          <w:color w:val="1F3A5F"/>
          <w:sz w:val="18"/>
        </w:rPr>
        <w:t>§ 15</w:t>
      </w:r>
    </w:p>
    <w:p>
      <w:pPr>
        <w:spacing w:after="160" w:line="240" w:lineRule="auto"/>
      </w:pPr>
      <w:r>
        <w:rPr>
          <w:rFonts w:ascii="Newsreader" w:hAnsi="Newsreader" w:cs="Newsreader"/>
          <w:color w:val="161412"/>
          <w:sz w:val="38"/>
        </w:rPr>
        <w:t>Requiere estabilidad y elasticidad</w:t>
      </w:r>
    </w:p>
    <w:p>
      <w:pPr>
        <w:spacing w:after="120" w:line="320" w:lineRule="auto"/>
        <w:jc w:val="both"/>
      </w:pPr>
      <w:r>
        <w:rPr>
          <w:rFonts w:ascii="Newsreader" w:hAnsi="Newsreader" w:cs="Newsreader"/>
          <w:b w:val="0"/>
          <w:i w:val="0"/>
          <w:color w:val="161412"/>
        </w:rPr>
        <w:t>La estabilidad está en el núcleo: qué pregunta responde, qué tipo de evento hace legible, qué forma temporal tiene. La elasticidad está en la realización: duración, intensidad, estilo, tema, plataforma, accesibilidad.</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La identidad de una interacción semántica no está en repetir siempre la misma forma, sino en conservar la misma función perceptiva bajo variaciones controladas.</w:t>
      </w:r>
    </w:p>
    <w:p>
      <w:pPr>
        <w:spacing w:before="320" w:after="40"/>
      </w:pPr>
      <w:r>
        <w:rPr>
          <w:rFonts w:ascii="IBM Plex Sans" w:hAnsi="IBM Plex Sans" w:cs="IBM Plex Sans"/>
          <w:b/>
          <w:color w:val="1F3A5F"/>
          <w:sz w:val="18"/>
        </w:rPr>
        <w:t>§ 16</w:t>
      </w:r>
    </w:p>
    <w:p>
      <w:pPr>
        <w:spacing w:after="160" w:line="240" w:lineRule="auto"/>
      </w:pPr>
      <w:r>
        <w:rPr>
          <w:rFonts w:ascii="Newsreader" w:hAnsi="Newsreader" w:cs="Newsreader"/>
          <w:color w:val="161412"/>
          <w:sz w:val="38"/>
        </w:rPr>
        <w:t>Puede ser mínima</w:t>
      </w:r>
    </w:p>
    <w:p>
      <w:pPr>
        <w:spacing w:after="120" w:line="320" w:lineRule="auto"/>
        <w:jc w:val="both"/>
      </w:pPr>
      <w:r>
        <w:rPr>
          <w:rFonts w:ascii="Newsreader" w:hAnsi="Newsreader" w:cs="Newsreader"/>
          <w:b w:val="0"/>
          <w:i w:val="0"/>
          <w:color w:val="161412"/>
        </w:rPr>
        <w:t>A veces será casi invisible. A veces una latencia ajustada. A veces una microcompresión. A veces un silencio deliberado. Cuanto más frecuente es un evento, más sobria debe ser su expresión.</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Semántico no significa intenso. Significa proporcional, reconocible y necesario.</w:t>
      </w:r>
    </w:p>
    <w:p>
      <w:pPr>
        <w:spacing w:before="320" w:after="40"/>
      </w:pPr>
      <w:r>
        <w:rPr>
          <w:rFonts w:ascii="IBM Plex Sans" w:hAnsi="IBM Plex Sans" w:cs="IBM Plex Sans"/>
          <w:b/>
          <w:color w:val="1F3A5F"/>
          <w:sz w:val="18"/>
        </w:rPr>
        <w:t>§ 17</w:t>
      </w:r>
    </w:p>
    <w:p>
      <w:pPr>
        <w:spacing w:after="160" w:line="240" w:lineRule="auto"/>
      </w:pPr>
      <w:r>
        <w:rPr>
          <w:rFonts w:ascii="Newsreader" w:hAnsi="Newsreader" w:cs="Newsreader"/>
          <w:color w:val="161412"/>
          <w:sz w:val="38"/>
        </w:rPr>
        <w:t>Cómo saber si algo merece ser interacción semántica</w:t>
      </w:r>
    </w:p>
    <w:p>
      <w:pPr>
        <w:spacing w:after="200" w:before="40"/>
      </w:pPr>
      <w:r>
        <w:rPr>
          <w:rFonts w:ascii="IBM Plex Sans" w:hAnsi="IBM Plex Sans" w:cs="IBM Plex Sans"/>
          <w:b/>
          <w:color w:val="1F3A5F"/>
          <w:sz w:val="17"/>
        </w:rPr>
        <w:t xml:space="preserve">TABLA 6.7   </w:t>
      </w:r>
      <w:r>
        <w:rPr>
          <w:rFonts w:ascii="IBM Plex Sans" w:hAnsi="IBM Plex Sans" w:cs="IBM Plex Sans"/>
          <w:color w:val="3A352F"/>
          <w:sz w:val="18"/>
        </w:rPr>
        <w:t xml:space="preserve">Condiciones mínimas de una interacción semántica</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CONDICIÓN</w:t>
            </w:r>
          </w:p>
        </w:tc>
        <w:tc>
          <w:tcPr>
            <w:tcW w:type="dxa" w:w="4158"/>
            <w:shd w:val="clear" w:color="auto" w:fill="EAE4D8"/>
          </w:tcPr>
          <w:p>
            <w:pPr>
              <w:spacing w:after="40"/>
            </w:pPr>
            <w:r>
              <w:rPr>
                <w:sz w:val="17"/>
              </w:rPr>
            </w:r>
            <w:r>
              <w:rPr>
                <w:rFonts w:ascii="IBM Plex Sans" w:hAnsi="IBM Plex Sans" w:cs="IBM Plex Sans"/>
                <w:b/>
                <w:i w:val="0"/>
                <w:color w:val="1F3A5F"/>
                <w:sz w:val="17"/>
              </w:rPr>
              <w:t>PREGUNTA</w:t>
            </w:r>
          </w:p>
        </w:tc>
      </w:tr>
      <w:tr>
        <w:tc>
          <w:tcPr>
            <w:tcW w:type="dxa" w:w="4158"/>
          </w:tcPr>
          <w:p>
            <w:pPr>
              <w:spacing w:after="40"/>
            </w:pPr>
            <w:r>
              <w:rPr>
                <w:sz w:val="17"/>
              </w:rPr>
            </w:r>
            <w:r>
              <w:rPr>
                <w:rFonts w:ascii="IBM Plex Sans" w:hAnsi="IBM Plex Sans" w:cs="IBM Plex Sans"/>
                <w:b w:val="0"/>
                <w:i w:val="0"/>
                <w:color w:val="161412"/>
                <w:sz w:val="17"/>
              </w:rPr>
              <w:t>Recurrencia</w:t>
            </w:r>
          </w:p>
        </w:tc>
        <w:tc>
          <w:tcPr>
            <w:tcW w:type="dxa" w:w="4158"/>
          </w:tcPr>
          <w:p>
            <w:pPr>
              <w:spacing w:after="40"/>
            </w:pPr>
            <w:r>
              <w:rPr>
                <w:sz w:val="17"/>
              </w:rPr>
            </w:r>
            <w:r>
              <w:rPr>
                <w:rFonts w:ascii="IBM Plex Sans" w:hAnsi="IBM Plex Sans" w:cs="IBM Plex Sans"/>
                <w:b w:val="0"/>
                <w:i w:val="0"/>
                <w:color w:val="161412"/>
                <w:sz w:val="17"/>
              </w:rPr>
              <w:t>¿Aparece en muchos contextos?</w:t>
            </w:r>
          </w:p>
        </w:tc>
      </w:tr>
      <w:tr>
        <w:tc>
          <w:tcPr>
            <w:tcW w:type="dxa" w:w="4158"/>
          </w:tcPr>
          <w:p>
            <w:pPr>
              <w:spacing w:after="40"/>
            </w:pPr>
            <w:r>
              <w:rPr>
                <w:sz w:val="17"/>
              </w:rPr>
            </w:r>
            <w:r>
              <w:rPr>
                <w:rFonts w:ascii="IBM Plex Sans" w:hAnsi="IBM Plex Sans" w:cs="IBM Plex Sans"/>
                <w:b w:val="0"/>
                <w:i w:val="0"/>
                <w:color w:val="161412"/>
                <w:sz w:val="17"/>
              </w:rPr>
              <w:t>Relevancia operativa</w:t>
            </w:r>
          </w:p>
        </w:tc>
        <w:tc>
          <w:tcPr>
            <w:tcW w:type="dxa" w:w="4158"/>
          </w:tcPr>
          <w:p>
            <w:pPr>
              <w:spacing w:after="40"/>
            </w:pPr>
            <w:r>
              <w:rPr>
                <w:sz w:val="17"/>
              </w:rPr>
            </w:r>
            <w:r>
              <w:rPr>
                <w:rFonts w:ascii="IBM Plex Sans" w:hAnsi="IBM Plex Sans" w:cs="IBM Plex Sans"/>
                <w:b w:val="0"/>
                <w:i w:val="0"/>
                <w:color w:val="161412"/>
                <w:sz w:val="17"/>
              </w:rPr>
              <w:t>¿Afecta a acción, atención o estado?</w:t>
            </w:r>
          </w:p>
        </w:tc>
      </w:tr>
      <w:tr>
        <w:tc>
          <w:tcPr>
            <w:tcW w:type="dxa" w:w="4158"/>
          </w:tcPr>
          <w:p>
            <w:pPr>
              <w:spacing w:after="40"/>
            </w:pPr>
            <w:r>
              <w:rPr>
                <w:sz w:val="17"/>
              </w:rPr>
            </w:r>
            <w:r>
              <w:rPr>
                <w:rFonts w:ascii="IBM Plex Sans" w:hAnsi="IBM Plex Sans" w:cs="IBM Plex Sans"/>
                <w:b w:val="0"/>
                <w:i w:val="0"/>
                <w:color w:val="161412"/>
                <w:sz w:val="17"/>
              </w:rPr>
              <w:t>Diferenciabilidad</w:t>
            </w:r>
          </w:p>
        </w:tc>
        <w:tc>
          <w:tcPr>
            <w:tcW w:type="dxa" w:w="4158"/>
          </w:tcPr>
          <w:p>
            <w:pPr>
              <w:spacing w:after="40"/>
            </w:pPr>
            <w:r>
              <w:rPr>
                <w:sz w:val="17"/>
              </w:rPr>
            </w:r>
            <w:r>
              <w:rPr>
                <w:rFonts w:ascii="IBM Plex Sans" w:hAnsi="IBM Plex Sans" w:cs="IBM Plex Sans"/>
                <w:b w:val="0"/>
                <w:i w:val="0"/>
                <w:color w:val="161412"/>
                <w:sz w:val="17"/>
              </w:rPr>
              <w:t>¿Se distingue de otras semánticas?</w:t>
            </w:r>
          </w:p>
        </w:tc>
      </w:tr>
      <w:tr>
        <w:tc>
          <w:tcPr>
            <w:tcW w:type="dxa" w:w="4158"/>
          </w:tcPr>
          <w:p>
            <w:pPr>
              <w:spacing w:after="40"/>
            </w:pPr>
            <w:r>
              <w:rPr>
                <w:sz w:val="17"/>
              </w:rPr>
            </w:r>
            <w:r>
              <w:rPr>
                <w:rFonts w:ascii="IBM Plex Sans" w:hAnsi="IBM Plex Sans" w:cs="IBM Plex Sans"/>
                <w:b w:val="0"/>
                <w:i w:val="0"/>
                <w:color w:val="161412"/>
                <w:sz w:val="17"/>
              </w:rPr>
              <w:t>Estabilidad</w:t>
            </w:r>
          </w:p>
        </w:tc>
        <w:tc>
          <w:tcPr>
            <w:tcW w:type="dxa" w:w="4158"/>
          </w:tcPr>
          <w:p>
            <w:pPr>
              <w:spacing w:after="40"/>
            </w:pPr>
            <w:r>
              <w:rPr>
                <w:sz w:val="17"/>
              </w:rPr>
            </w:r>
            <w:r>
              <w:rPr>
                <w:rFonts w:ascii="IBM Plex Sans" w:hAnsi="IBM Plex Sans" w:cs="IBM Plex Sans"/>
                <w:b w:val="0"/>
                <w:i w:val="0"/>
                <w:color w:val="161412"/>
                <w:sz w:val="17"/>
              </w:rPr>
              <w:t>¿Puede aprenderse?</w:t>
            </w:r>
          </w:p>
        </w:tc>
      </w:tr>
      <w:tr>
        <w:tc>
          <w:tcPr>
            <w:tcW w:type="dxa" w:w="4158"/>
          </w:tcPr>
          <w:p>
            <w:pPr>
              <w:spacing w:after="40"/>
            </w:pPr>
            <w:r>
              <w:rPr>
                <w:sz w:val="17"/>
              </w:rPr>
            </w:r>
            <w:r>
              <w:rPr>
                <w:rFonts w:ascii="IBM Plex Sans" w:hAnsi="IBM Plex Sans" w:cs="IBM Plex Sans"/>
                <w:b w:val="0"/>
                <w:i w:val="0"/>
                <w:color w:val="161412"/>
                <w:sz w:val="17"/>
              </w:rPr>
              <w:t>Multicanalidad</w:t>
            </w:r>
          </w:p>
        </w:tc>
        <w:tc>
          <w:tcPr>
            <w:tcW w:type="dxa" w:w="4158"/>
          </w:tcPr>
          <w:p>
            <w:pPr>
              <w:spacing w:after="40"/>
            </w:pPr>
            <w:r>
              <w:rPr>
                <w:sz w:val="17"/>
              </w:rPr>
            </w:r>
            <w:r>
              <w:rPr>
                <w:rFonts w:ascii="IBM Plex Sans" w:hAnsi="IBM Plex Sans" w:cs="IBM Plex Sans"/>
                <w:b w:val="0"/>
                <w:i w:val="0"/>
                <w:color w:val="161412"/>
                <w:sz w:val="17"/>
              </w:rPr>
              <w:t>¿Puede expresarse por más de un canal?</w:t>
            </w:r>
          </w:p>
        </w:tc>
      </w:tr>
      <w:tr>
        <w:tc>
          <w:tcPr>
            <w:tcW w:type="dxa" w:w="4158"/>
          </w:tcPr>
          <w:p>
            <w:pPr>
              <w:spacing w:after="40"/>
            </w:pPr>
            <w:r>
              <w:rPr>
                <w:sz w:val="17"/>
              </w:rPr>
            </w:r>
            <w:r>
              <w:rPr>
                <w:rFonts w:ascii="IBM Plex Sans" w:hAnsi="IBM Plex Sans" w:cs="IBM Plex Sans"/>
                <w:b w:val="0"/>
                <w:i w:val="0"/>
                <w:color w:val="161412"/>
                <w:sz w:val="17"/>
              </w:rPr>
              <w:t>Economía cognitiva</w:t>
            </w:r>
          </w:p>
        </w:tc>
        <w:tc>
          <w:tcPr>
            <w:tcW w:type="dxa" w:w="4158"/>
          </w:tcPr>
          <w:p>
            <w:pPr>
              <w:spacing w:after="40"/>
            </w:pPr>
            <w:r>
              <w:rPr>
                <w:sz w:val="17"/>
              </w:rPr>
            </w:r>
            <w:r>
              <w:rPr>
                <w:rFonts w:ascii="IBM Plex Sans" w:hAnsi="IBM Plex Sans" w:cs="IBM Plex Sans"/>
                <w:b w:val="0"/>
                <w:i w:val="0"/>
                <w:color w:val="161412"/>
                <w:sz w:val="17"/>
              </w:rPr>
              <w:t>¿Ayuda a comprender mejor?</w:t>
            </w:r>
          </w:p>
        </w:tc>
      </w:tr>
      <w:tr>
        <w:tc>
          <w:tcPr>
            <w:tcW w:type="dxa" w:w="4158"/>
          </w:tcPr>
          <w:p>
            <w:pPr>
              <w:spacing w:after="40"/>
            </w:pPr>
            <w:r>
              <w:rPr>
                <w:sz w:val="17"/>
              </w:rPr>
            </w:r>
            <w:r>
              <w:rPr>
                <w:rFonts w:ascii="IBM Plex Sans" w:hAnsi="IBM Plex Sans" w:cs="IBM Plex Sans"/>
                <w:b w:val="0"/>
                <w:i w:val="0"/>
                <w:color w:val="161412"/>
                <w:sz w:val="17"/>
              </w:rPr>
              <w:t>Proporción</w:t>
            </w:r>
          </w:p>
        </w:tc>
        <w:tc>
          <w:tcPr>
            <w:tcW w:type="dxa" w:w="4158"/>
          </w:tcPr>
          <w:p>
            <w:pPr>
              <w:spacing w:after="40"/>
            </w:pPr>
            <w:r>
              <w:rPr>
                <w:sz w:val="17"/>
              </w:rPr>
            </w:r>
            <w:r>
              <w:rPr>
                <w:rFonts w:ascii="IBM Plex Sans" w:hAnsi="IBM Plex Sans" w:cs="IBM Plex Sans"/>
                <w:b w:val="0"/>
                <w:i w:val="0"/>
                <w:color w:val="161412"/>
                <w:sz w:val="17"/>
              </w:rPr>
              <w:t>¿Su intensidad corresponde a su consecuencia?</w:t>
            </w:r>
          </w:p>
        </w:tc>
      </w:tr>
    </w:tbl>
    <w:p>
      <w:pPr>
        <w:spacing w:after="120" w:line="320" w:lineRule="auto"/>
        <w:jc w:val="both"/>
      </w:pPr>
      <w:r>
        <w:rPr>
          <w:rFonts w:ascii="Newsreader" w:hAnsi="Newsreader" w:cs="Newsreader"/>
          <w:b w:val="0"/>
          <w:i w:val="0"/>
          <w:color w:val="161412"/>
        </w:rPr>
        <w:t>Una interacción semántica no se declara; se justifica.</w:t>
      </w:r>
    </w:p>
    <w:p>
      <w:pPr>
        <w:spacing w:before="320" w:after="40"/>
      </w:pPr>
      <w:r>
        <w:rPr>
          <w:rFonts w:ascii="IBM Plex Sans" w:hAnsi="IBM Plex Sans" w:cs="IBM Plex Sans"/>
          <w:b/>
          <w:color w:val="1F3A5F"/>
          <w:sz w:val="18"/>
        </w:rPr>
        <w:t>§ 18</w:t>
      </w:r>
    </w:p>
    <w:p>
      <w:pPr>
        <w:spacing w:after="160" w:line="240" w:lineRule="auto"/>
      </w:pPr>
      <w:r>
        <w:rPr>
          <w:rFonts w:ascii="Newsreader" w:hAnsi="Newsreader" w:cs="Newsreader"/>
          <w:color w:val="161412"/>
          <w:sz w:val="38"/>
        </w:rPr>
        <w:t>Ejemplo: selección</w:t>
      </w:r>
    </w:p>
    <w:p>
      <w:pPr>
        <w:spacing w:after="120" w:line="320" w:lineRule="auto"/>
        <w:jc w:val="both"/>
      </w:pPr>
      <w:r>
        <w:rPr>
          <w:rFonts w:ascii="Newsreader" w:hAnsi="Newsreader" w:cs="Newsreader"/>
          <w:b w:val="0"/>
          <w:i w:val="0"/>
          <w:color w:val="161412"/>
        </w:rPr>
        <w:t xml:space="preserve">El usuario marca una opción. Desde la implementación: click, state.selected = true, </w:t>
      </w:r>
      <w:r>
        <w:rPr>
          <w:rFonts w:ascii="IBM Plex Sans" w:hAnsi="IBM Plex Sans" w:cs="IBM Plex Sans"/>
          <w:b w:val="0"/>
          <w:i w:val="0"/>
          <w:color w:val="161412"/>
          <w:sz w:val="20"/>
        </w:rPr>
        <w:t>class="selected"</w:t>
      </w:r>
      <w:r>
        <w:rPr>
          <w:rFonts w:ascii="Newsreader" w:hAnsi="Newsreader" w:cs="Newsreader"/>
          <w:b w:val="0"/>
          <w:i w:val="0"/>
          <w:color w:val="161412"/>
        </w:rPr>
        <w:t>. Desde la experiencia: una decisión del usuario queda fijada. La selección no es mero contacto. Comunica «esto queda elegido». Si usamos la misma respuesta que para un botón cualquiera, el usuario siente que tocó pero no necesariamente que eligió.</w:t>
      </w:r>
    </w:p>
    <w:p>
      <w:pPr>
        <w:spacing w:before="320" w:after="40"/>
      </w:pPr>
      <w:r>
        <w:rPr>
          <w:rFonts w:ascii="IBM Plex Sans" w:hAnsi="IBM Plex Sans" w:cs="IBM Plex Sans"/>
          <w:b/>
          <w:color w:val="1F3A5F"/>
          <w:sz w:val="18"/>
        </w:rPr>
        <w:t>§ 19</w:t>
      </w:r>
    </w:p>
    <w:p>
      <w:pPr>
        <w:spacing w:after="160" w:line="240" w:lineRule="auto"/>
      </w:pPr>
      <w:r>
        <w:rPr>
          <w:rFonts w:ascii="Newsreader" w:hAnsi="Newsreader" w:cs="Newsreader"/>
          <w:color w:val="161412"/>
          <w:sz w:val="38"/>
        </w:rPr>
        <w:t>Ejemplo: notificación</w:t>
      </w:r>
    </w:p>
    <w:p>
      <w:pPr>
        <w:spacing w:after="120" w:line="320" w:lineRule="auto"/>
        <w:jc w:val="both"/>
      </w:pPr>
      <w:r>
        <w:rPr>
          <w:rFonts w:ascii="Newsreader" w:hAnsi="Newsreader" w:cs="Newsreader"/>
          <w:b w:val="0"/>
          <w:i w:val="0"/>
          <w:color w:val="161412"/>
        </w:rPr>
        <w:t>Un toast aparece, un badge cambia, un banner se muestra. La semántica no es «toast» — toast es un patrón. La semántica es señal: el sistema inicia comunicación y reclama cierto grado de atención. El intent modula: neutra si informa, riesgo si advierte, amenaza si exige reacción, pérdida si registra algo consumado.</w:t>
      </w:r>
    </w:p>
    <w:p>
      <w:pPr>
        <w:spacing w:before="320" w:after="40"/>
      </w:pPr>
      <w:r>
        <w:rPr>
          <w:rFonts w:ascii="IBM Plex Sans" w:hAnsi="IBM Plex Sans" w:cs="IBM Plex Sans"/>
          <w:b/>
          <w:color w:val="1F3A5F"/>
          <w:sz w:val="18"/>
        </w:rPr>
        <w:t>§ 20</w:t>
      </w:r>
    </w:p>
    <w:p>
      <w:pPr>
        <w:spacing w:after="160" w:line="240" w:lineRule="auto"/>
      </w:pPr>
      <w:r>
        <w:rPr>
          <w:rFonts w:ascii="Newsreader" w:hAnsi="Newsreader" w:cs="Newsreader"/>
          <w:color w:val="161412"/>
          <w:sz w:val="38"/>
        </w:rPr>
        <w:t>Ejemplo: manipulación</w:t>
      </w:r>
    </w:p>
    <w:p>
      <w:pPr>
        <w:spacing w:after="120" w:line="320" w:lineRule="auto"/>
        <w:jc w:val="both"/>
      </w:pPr>
      <w:r>
        <w:rPr>
          <w:rFonts w:ascii="Newsreader" w:hAnsi="Newsreader" w:cs="Newsreader"/>
          <w:b w:val="0"/>
          <w:i w:val="0"/>
          <w:color w:val="161412"/>
        </w:rPr>
        <w:t>Arrastrar un elemento no es solo pulsar y mover. Es una experiencia continua con fases: pick, carry, drop. En el pick, el objeto cambia de régimen. En el carry, conserva continuidad con el gesto. En el drop, el resultado se evalúa. La evaluación se concentra en el drop. El carry debe permanecer neutro.</w:t>
      </w:r>
    </w:p>
    <w:p>
      <w:pPr>
        <w:spacing w:before="200" w:after="60"/>
        <w:jc w:val="center"/>
      </w:pPr>
      <w:r>
        <w:drawing>
          <wp:inline xmlns:a="http://schemas.openxmlformats.org/drawingml/2006/main" xmlns:pic="http://schemas.openxmlformats.org/drawingml/2006/picture">
            <wp:extent cx="5029200" cy="2445448"/>
            <wp:docPr id="38" name="Picture 38"/>
            <wp:cNvGraphicFramePr>
              <a:graphicFrameLocks noChangeAspect="1"/>
            </wp:cNvGraphicFramePr>
            <a:graphic>
              <a:graphicData uri="http://schemas.openxmlformats.org/drawingml/2006/picture">
                <pic:pic>
                  <pic:nvPicPr>
                    <pic:cNvPr id="0" name="figura-6-8.png"/>
                    <pic:cNvPicPr/>
                  </pic:nvPicPr>
                  <pic:blipFill>
                    <a:blip r:embed="rId46"/>
                    <a:stretch>
                      <a:fillRect/>
                    </a:stretch>
                  </pic:blipFill>
                  <pic:spPr>
                    <a:xfrm>
                      <a:off x="0" y="0"/>
                      <a:ext cx="5029200" cy="2445448"/>
                    </a:xfrm>
                    <a:prstGeom prst="rect"/>
                  </pic:spPr>
                </pic:pic>
              </a:graphicData>
            </a:graphic>
          </wp:inline>
        </w:drawing>
      </w:r>
    </w:p>
    <w:p>
      <w:pPr>
        <w:spacing w:before="320" w:after="40"/>
      </w:pPr>
      <w:r>
        <w:rPr>
          <w:rFonts w:ascii="IBM Plex Sans" w:hAnsi="IBM Plex Sans" w:cs="IBM Plex Sans"/>
          <w:b/>
          <w:color w:val="1F3A5F"/>
          <w:sz w:val="18"/>
        </w:rPr>
        <w:t>§ 21</w:t>
      </w:r>
    </w:p>
    <w:p>
      <w:pPr>
        <w:spacing w:after="160" w:line="240" w:lineRule="auto"/>
      </w:pPr>
      <w:r>
        <w:rPr>
          <w:rFonts w:ascii="Newsreader" w:hAnsi="Newsreader" w:cs="Newsreader"/>
          <w:color w:val="161412"/>
          <w:sz w:val="38"/>
        </w:rPr>
        <w:t>Lo que una interacción semántica debe especificar</w:t>
      </w:r>
    </w:p>
    <w:p>
      <w:pPr>
        <w:spacing w:after="200" w:before="40"/>
      </w:pPr>
      <w:r>
        <w:rPr>
          <w:rFonts w:ascii="IBM Plex Sans" w:hAnsi="IBM Plex Sans" w:cs="IBM Plex Sans"/>
          <w:b/>
          <w:color w:val="1F3A5F"/>
          <w:sz w:val="17"/>
        </w:rPr>
        <w:t xml:space="preserve">TABLA 6.8   </w:t>
      </w:r>
      <w:r>
        <w:rPr>
          <w:rFonts w:ascii="IBM Plex Sans" w:hAnsi="IBM Plex Sans" w:cs="IBM Plex Sans"/>
          <w:color w:val="3A352F"/>
          <w:sz w:val="18"/>
        </w:rPr>
        <w:t xml:space="preserve">Ficha mínima de una interacción semántica</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CAMPO</w:t>
            </w:r>
          </w:p>
        </w:tc>
        <w:tc>
          <w:tcPr>
            <w:tcW w:type="dxa" w:w="4158"/>
            <w:shd w:val="clear" w:color="auto" w:fill="EAE4D8"/>
          </w:tcPr>
          <w:p>
            <w:pPr>
              <w:spacing w:after="40"/>
            </w:pPr>
            <w:r>
              <w:rPr>
                <w:sz w:val="17"/>
              </w:rPr>
            </w:r>
            <w:r>
              <w:rPr>
                <w:rFonts w:ascii="IBM Plex Sans" w:hAnsi="IBM Plex Sans" w:cs="IBM Plex Sans"/>
                <w:b/>
                <w:i w:val="0"/>
                <w:color w:val="1F3A5F"/>
                <w:sz w:val="17"/>
              </w:rPr>
              <w:t>PREGUNTA</w:t>
            </w:r>
          </w:p>
        </w:tc>
      </w:tr>
      <w:tr>
        <w:tc>
          <w:tcPr>
            <w:tcW w:type="dxa" w:w="4158"/>
          </w:tcPr>
          <w:p>
            <w:pPr>
              <w:spacing w:after="40"/>
            </w:pPr>
            <w:r>
              <w:rPr>
                <w:sz w:val="17"/>
              </w:rPr>
            </w:r>
            <w:r>
              <w:rPr>
                <w:rFonts w:ascii="IBM Plex Sans" w:hAnsi="IBM Plex Sans" w:cs="IBM Plex Sans"/>
                <w:b w:val="0"/>
                <w:i w:val="0"/>
                <w:color w:val="161412"/>
                <w:sz w:val="17"/>
              </w:rPr>
              <w:t>Qué comunica</w:t>
            </w:r>
          </w:p>
        </w:tc>
        <w:tc>
          <w:tcPr>
            <w:tcW w:type="dxa" w:w="4158"/>
          </w:tcPr>
          <w:p>
            <w:pPr>
              <w:spacing w:after="40"/>
            </w:pPr>
            <w:r>
              <w:rPr>
                <w:sz w:val="17"/>
              </w:rPr>
            </w:r>
            <w:r>
              <w:rPr>
                <w:rFonts w:ascii="IBM Plex Sans" w:hAnsi="IBM Plex Sans" w:cs="IBM Plex Sans"/>
                <w:b w:val="0"/>
                <w:i w:val="0"/>
                <w:color w:val="161412"/>
                <w:sz w:val="17"/>
              </w:rPr>
              <w:t>¿Qué tipo de evento vuelve legible?</w:t>
            </w:r>
          </w:p>
        </w:tc>
      </w:tr>
      <w:tr>
        <w:tc>
          <w:tcPr>
            <w:tcW w:type="dxa" w:w="4158"/>
          </w:tcPr>
          <w:p>
            <w:pPr>
              <w:spacing w:after="40"/>
            </w:pPr>
            <w:r>
              <w:rPr>
                <w:sz w:val="17"/>
              </w:rPr>
            </w:r>
            <w:r>
              <w:rPr>
                <w:rFonts w:ascii="IBM Plex Sans" w:hAnsi="IBM Plex Sans" w:cs="IBM Plex Sans"/>
                <w:b w:val="0"/>
                <w:i w:val="0"/>
                <w:color w:val="161412"/>
                <w:sz w:val="17"/>
              </w:rPr>
              <w:t>Pregunta perceptiva</w:t>
            </w:r>
          </w:p>
        </w:tc>
        <w:tc>
          <w:tcPr>
            <w:tcW w:type="dxa" w:w="4158"/>
          </w:tcPr>
          <w:p>
            <w:pPr>
              <w:spacing w:after="40"/>
            </w:pPr>
            <w:r>
              <w:rPr>
                <w:sz w:val="17"/>
              </w:rPr>
            </w:r>
            <w:r>
              <w:rPr>
                <w:rFonts w:ascii="IBM Plex Sans" w:hAnsi="IBM Plex Sans" w:cs="IBM Plex Sans"/>
                <w:b w:val="0"/>
                <w:i w:val="0"/>
                <w:color w:val="161412"/>
                <w:sz w:val="17"/>
              </w:rPr>
              <w:t>¿Qué necesita resolver el usuario?</w:t>
            </w:r>
          </w:p>
        </w:tc>
      </w:tr>
      <w:tr>
        <w:tc>
          <w:tcPr>
            <w:tcW w:type="dxa" w:w="4158"/>
          </w:tcPr>
          <w:p>
            <w:pPr>
              <w:spacing w:after="40"/>
            </w:pPr>
            <w:r>
              <w:rPr>
                <w:sz w:val="17"/>
              </w:rPr>
            </w:r>
            <w:r>
              <w:rPr>
                <w:rFonts w:ascii="IBM Plex Sans" w:hAnsi="IBM Plex Sans" w:cs="IBM Plex Sans"/>
                <w:b w:val="0"/>
                <w:i w:val="0"/>
                <w:color w:val="161412"/>
                <w:sz w:val="17"/>
              </w:rPr>
              <w:t>Fronteras</w:t>
            </w:r>
          </w:p>
        </w:tc>
        <w:tc>
          <w:tcPr>
            <w:tcW w:type="dxa" w:w="4158"/>
          </w:tcPr>
          <w:p>
            <w:pPr>
              <w:spacing w:after="40"/>
            </w:pPr>
            <w:r>
              <w:rPr>
                <w:sz w:val="17"/>
              </w:rPr>
            </w:r>
            <w:r>
              <w:rPr>
                <w:rFonts w:ascii="IBM Plex Sans" w:hAnsi="IBM Plex Sans" w:cs="IBM Plex Sans"/>
                <w:b w:val="0"/>
                <w:i w:val="0"/>
                <w:color w:val="161412"/>
                <w:sz w:val="17"/>
              </w:rPr>
              <w:t>¿Con qué no debe confundirse?</w:t>
            </w:r>
          </w:p>
        </w:tc>
      </w:tr>
      <w:tr>
        <w:tc>
          <w:tcPr>
            <w:tcW w:type="dxa" w:w="4158"/>
          </w:tcPr>
          <w:p>
            <w:pPr>
              <w:spacing w:after="40"/>
            </w:pPr>
            <w:r>
              <w:rPr>
                <w:sz w:val="17"/>
              </w:rPr>
            </w:r>
            <w:r>
              <w:rPr>
                <w:rFonts w:ascii="IBM Plex Sans" w:hAnsi="IBM Plex Sans" w:cs="IBM Plex Sans"/>
                <w:b w:val="0"/>
                <w:i w:val="0"/>
                <w:color w:val="161412"/>
                <w:sz w:val="17"/>
              </w:rPr>
              <w:t>Temporalidad</w:t>
            </w:r>
          </w:p>
        </w:tc>
        <w:tc>
          <w:tcPr>
            <w:tcW w:type="dxa" w:w="4158"/>
          </w:tcPr>
          <w:p>
            <w:pPr>
              <w:spacing w:after="40"/>
            </w:pPr>
            <w:r>
              <w:rPr>
                <w:sz w:val="17"/>
              </w:rPr>
            </w:r>
            <w:r>
              <w:rPr>
                <w:rFonts w:ascii="IBM Plex Sans" w:hAnsi="IBM Plex Sans" w:cs="IBM Plex Sans"/>
                <w:b w:val="0"/>
                <w:i w:val="0"/>
                <w:color w:val="161412"/>
                <w:sz w:val="17"/>
              </w:rPr>
              <w:t>¿Cómo ocupa el tiempo?</w:t>
            </w:r>
          </w:p>
        </w:tc>
      </w:tr>
      <w:tr>
        <w:tc>
          <w:tcPr>
            <w:tcW w:type="dxa" w:w="4158"/>
          </w:tcPr>
          <w:p>
            <w:pPr>
              <w:spacing w:after="40"/>
            </w:pPr>
            <w:r>
              <w:rPr>
                <w:sz w:val="17"/>
              </w:rPr>
            </w:r>
            <w:r>
              <w:rPr>
                <w:rFonts w:ascii="IBM Plex Sans" w:hAnsi="IBM Plex Sans" w:cs="IBM Plex Sans"/>
                <w:b w:val="0"/>
                <w:i w:val="0"/>
                <w:color w:val="161412"/>
                <w:sz w:val="17"/>
              </w:rPr>
              <w:t>Origen</w:t>
            </w:r>
          </w:p>
        </w:tc>
        <w:tc>
          <w:tcPr>
            <w:tcW w:type="dxa" w:w="4158"/>
          </w:tcPr>
          <w:p>
            <w:pPr>
              <w:spacing w:after="40"/>
            </w:pPr>
            <w:r>
              <w:rPr>
                <w:sz w:val="17"/>
              </w:rPr>
            </w:r>
            <w:r>
              <w:rPr>
                <w:rFonts w:ascii="IBM Plex Sans" w:hAnsi="IBM Plex Sans" w:cs="IBM Plex Sans"/>
                <w:b w:val="0"/>
                <w:i w:val="0"/>
                <w:color w:val="161412"/>
                <w:sz w:val="17"/>
              </w:rPr>
              <w:t>¿Responde al usuario o parte del sistema?</w:t>
            </w:r>
          </w:p>
        </w:tc>
      </w:tr>
      <w:tr>
        <w:tc>
          <w:tcPr>
            <w:tcW w:type="dxa" w:w="4158"/>
          </w:tcPr>
          <w:p>
            <w:pPr>
              <w:spacing w:after="40"/>
            </w:pPr>
            <w:r>
              <w:rPr>
                <w:sz w:val="17"/>
              </w:rPr>
            </w:r>
            <w:r>
              <w:rPr>
                <w:rFonts w:ascii="IBM Plex Sans" w:hAnsi="IBM Plex Sans" w:cs="IBM Plex Sans"/>
                <w:b w:val="0"/>
                <w:i w:val="0"/>
                <w:color w:val="161412"/>
                <w:sz w:val="17"/>
              </w:rPr>
              <w:t>Intent</w:t>
            </w:r>
          </w:p>
        </w:tc>
        <w:tc>
          <w:tcPr>
            <w:tcW w:type="dxa" w:w="4158"/>
          </w:tcPr>
          <w:p>
            <w:pPr>
              <w:spacing w:after="40"/>
            </w:pPr>
            <w:r>
              <w:rPr>
                <w:sz w:val="17"/>
              </w:rPr>
            </w:r>
            <w:r>
              <w:rPr>
                <w:rFonts w:ascii="IBM Plex Sans" w:hAnsi="IBM Plex Sans" w:cs="IBM Plex Sans"/>
                <w:b w:val="0"/>
                <w:i w:val="0"/>
                <w:color w:val="161412"/>
                <w:sz w:val="17"/>
              </w:rPr>
              <w:t>¿Es evaluable o estructural?</w:t>
            </w:r>
          </w:p>
        </w:tc>
      </w:tr>
      <w:tr>
        <w:tc>
          <w:tcPr>
            <w:tcW w:type="dxa" w:w="4158"/>
          </w:tcPr>
          <w:p>
            <w:pPr>
              <w:spacing w:after="40"/>
            </w:pPr>
            <w:r>
              <w:rPr>
                <w:sz w:val="17"/>
              </w:rPr>
            </w:r>
            <w:r>
              <w:rPr>
                <w:rFonts w:ascii="IBM Plex Sans" w:hAnsi="IBM Plex Sans" w:cs="IBM Plex Sans"/>
                <w:b w:val="0"/>
                <w:i w:val="0"/>
                <w:color w:val="161412"/>
                <w:sz w:val="17"/>
              </w:rPr>
              <w:t>Canales</w:t>
            </w:r>
          </w:p>
        </w:tc>
        <w:tc>
          <w:tcPr>
            <w:tcW w:type="dxa" w:w="4158"/>
          </w:tcPr>
          <w:p>
            <w:pPr>
              <w:spacing w:after="40"/>
            </w:pPr>
            <w:r>
              <w:rPr>
                <w:sz w:val="17"/>
              </w:rPr>
            </w:r>
            <w:r>
              <w:rPr>
                <w:rFonts w:ascii="IBM Plex Sans" w:hAnsi="IBM Plex Sans" w:cs="IBM Plex Sans"/>
                <w:b w:val="0"/>
                <w:i w:val="0"/>
                <w:color w:val="161412"/>
                <w:sz w:val="17"/>
              </w:rPr>
              <w:t>¿Por dónde se expresa mejor?</w:t>
            </w:r>
          </w:p>
        </w:tc>
      </w:tr>
      <w:tr>
        <w:tc>
          <w:tcPr>
            <w:tcW w:type="dxa" w:w="4158"/>
          </w:tcPr>
          <w:p>
            <w:pPr>
              <w:spacing w:after="40"/>
            </w:pPr>
            <w:r>
              <w:rPr>
                <w:sz w:val="17"/>
              </w:rPr>
            </w:r>
            <w:r>
              <w:rPr>
                <w:rFonts w:ascii="IBM Plex Sans" w:hAnsi="IBM Plex Sans" w:cs="IBM Plex Sans"/>
                <w:b w:val="0"/>
                <w:i w:val="0"/>
                <w:color w:val="161412"/>
                <w:sz w:val="17"/>
              </w:rPr>
              <w:t>Accesibilidad</w:t>
            </w:r>
          </w:p>
        </w:tc>
        <w:tc>
          <w:tcPr>
            <w:tcW w:type="dxa" w:w="4158"/>
          </w:tcPr>
          <w:p>
            <w:pPr>
              <w:spacing w:after="40"/>
            </w:pPr>
            <w:r>
              <w:rPr>
                <w:sz w:val="17"/>
              </w:rPr>
            </w:r>
            <w:r>
              <w:rPr>
                <w:rFonts w:ascii="IBM Plex Sans" w:hAnsi="IBM Plex Sans" w:cs="IBM Plex Sans"/>
                <w:b w:val="0"/>
                <w:i w:val="0"/>
                <w:color w:val="161412"/>
                <w:sz w:val="17"/>
              </w:rPr>
              <w:t>¿Cómo migra si un canal falta?</w:t>
            </w:r>
          </w:p>
        </w:tc>
      </w:tr>
      <w:tr>
        <w:tc>
          <w:tcPr>
            <w:tcW w:type="dxa" w:w="4158"/>
          </w:tcPr>
          <w:p>
            <w:pPr>
              <w:spacing w:after="40"/>
            </w:pPr>
            <w:r>
              <w:rPr>
                <w:sz w:val="17"/>
              </w:rPr>
            </w:r>
            <w:r>
              <w:rPr>
                <w:rFonts w:ascii="IBM Plex Sans" w:hAnsi="IBM Plex Sans" w:cs="IBM Plex Sans"/>
                <w:b w:val="0"/>
                <w:i w:val="0"/>
                <w:color w:val="161412"/>
                <w:sz w:val="17"/>
              </w:rPr>
              <w:t>Proporción</w:t>
            </w:r>
          </w:p>
        </w:tc>
        <w:tc>
          <w:tcPr>
            <w:tcW w:type="dxa" w:w="4158"/>
          </w:tcPr>
          <w:p>
            <w:pPr>
              <w:spacing w:after="40"/>
            </w:pPr>
            <w:r>
              <w:rPr>
                <w:sz w:val="17"/>
              </w:rPr>
            </w:r>
            <w:r>
              <w:rPr>
                <w:rFonts w:ascii="IBM Plex Sans" w:hAnsi="IBM Plex Sans" w:cs="IBM Plex Sans"/>
                <w:b w:val="0"/>
                <w:i w:val="0"/>
                <w:color w:val="161412"/>
                <w:sz w:val="17"/>
              </w:rPr>
              <w:t>¿Cuánta energía merece?</w:t>
            </w:r>
          </w:p>
        </w:tc>
      </w:tr>
      <w:tr>
        <w:tc>
          <w:tcPr>
            <w:tcW w:type="dxa" w:w="4158"/>
          </w:tcPr>
          <w:p>
            <w:pPr>
              <w:spacing w:after="40"/>
            </w:pPr>
            <w:r>
              <w:rPr>
                <w:sz w:val="17"/>
              </w:rPr>
            </w:r>
            <w:r>
              <w:rPr>
                <w:rFonts w:ascii="IBM Plex Sans" w:hAnsi="IBM Plex Sans" w:cs="IBM Plex Sans"/>
                <w:b w:val="0"/>
                <w:i w:val="0"/>
                <w:color w:val="161412"/>
                <w:sz w:val="17"/>
              </w:rPr>
              <w:t>Errores</w:t>
            </w:r>
          </w:p>
        </w:tc>
        <w:tc>
          <w:tcPr>
            <w:tcW w:type="dxa" w:w="4158"/>
          </w:tcPr>
          <w:p>
            <w:pPr>
              <w:spacing w:after="40"/>
            </w:pPr>
            <w:r>
              <w:rPr>
                <w:sz w:val="17"/>
              </w:rPr>
            </w:r>
            <w:r>
              <w:rPr>
                <w:rFonts w:ascii="IBM Plex Sans" w:hAnsi="IBM Plex Sans" w:cs="IBM Plex Sans"/>
                <w:b w:val="0"/>
                <w:i w:val="0"/>
                <w:color w:val="161412"/>
                <w:sz w:val="17"/>
              </w:rPr>
              <w:t>¿Cómo suele fallar?</w:t>
            </w:r>
          </w:p>
        </w:tc>
      </w:tr>
    </w:tbl>
    <w:p>
      <w:pPr>
        <w:spacing w:before="320" w:after="40"/>
      </w:pPr>
      <w:r>
        <w:rPr>
          <w:rFonts w:ascii="IBM Plex Sans" w:hAnsi="IBM Plex Sans" w:cs="IBM Plex Sans"/>
          <w:b/>
          <w:color w:val="1F3A5F"/>
          <w:sz w:val="18"/>
        </w:rPr>
        <w:t>§ 22</w:t>
      </w:r>
    </w:p>
    <w:p>
      <w:pPr>
        <w:spacing w:after="160" w:line="240" w:lineRule="auto"/>
      </w:pPr>
      <w:r>
        <w:rPr>
          <w:rFonts w:ascii="Newsreader" w:hAnsi="Newsreader" w:cs="Newsreader"/>
          <w:color w:val="161412"/>
          <w:sz w:val="38"/>
        </w:rPr>
        <w:t>Resumen operativo</w:t>
      </w:r>
    </w:p>
    <w:p>
      <w:pPr>
        <w:spacing w:after="120" w:line="320" w:lineRule="auto"/>
        <w:jc w:val="both"/>
      </w:pPr>
      <w:r>
        <w:rPr>
          <w:rFonts w:ascii="Newsreader" w:hAnsi="Newsreader" w:cs="Newsreader"/>
          <w:b w:val="0"/>
          <w:i w:val="0"/>
          <w:color w:val="161412"/>
        </w:rPr>
        <w:t xml:space="preserve">Cuando una clase de evento reaparece una y otra vez, y su presencia cambia lo que el usuario puede hacer, atender o entender, la interfaz necesita una forma consistente de hacerla reconocible. A esa forma consistente la llamamos interacción semántica.</w:t>
      </w:r>
    </w:p>
    <w:p>
      <w:pPr>
        <w:spacing w:before="320" w:after="40"/>
      </w:pPr>
      <w:r>
        <w:rPr>
          <w:rFonts w:ascii="IBM Plex Sans" w:hAnsi="IBM Plex Sans" w:cs="IBM Plex Sans"/>
          <w:b/>
          <w:color w:val="1F3A5F"/>
          <w:sz w:val="18"/>
        </w:rPr>
        <w:t>§ 23</w:t>
      </w:r>
    </w:p>
    <w:p>
      <w:pPr>
        <w:spacing w:after="160" w:line="240" w:lineRule="auto"/>
      </w:pPr>
      <w:r>
        <w:rPr>
          <w:rFonts w:ascii="Newsreader" w:hAnsi="Newsreader" w:cs="Newsreader"/>
          <w:color w:val="161412"/>
          <w:sz w:val="38"/>
        </w:rPr>
        <w:t>Síntesis</w:t>
      </w:r>
    </w:p>
    <w:p>
      <w:pPr>
        <w:spacing w:after="200" w:before="40"/>
      </w:pPr>
      <w:r>
        <w:rPr>
          <w:rFonts w:ascii="IBM Plex Sans" w:hAnsi="IBM Plex Sans" w:cs="IBM Plex Sans"/>
          <w:b/>
          <w:color w:val="1F3A5F"/>
          <w:sz w:val="17"/>
        </w:rPr>
        <w:t xml:space="preserve">TABLA 6.9   </w:t>
      </w:r>
      <w:r>
        <w:rPr>
          <w:rFonts w:ascii="IBM Plex Sans" w:hAnsi="IBM Plex Sans" w:cs="IBM Plex Sans"/>
          <w:color w:val="3A352F"/>
          <w:sz w:val="18"/>
        </w:rPr>
        <w:t xml:space="preserve">Qué responde cada capa</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CONCEPTO</w:t>
            </w:r>
          </w:p>
        </w:tc>
        <w:tc>
          <w:tcPr>
            <w:tcW w:type="dxa" w:w="4158"/>
            <w:shd w:val="clear" w:color="auto" w:fill="EAE4D8"/>
          </w:tcPr>
          <w:p>
            <w:pPr>
              <w:spacing w:after="40"/>
            </w:pPr>
            <w:r>
              <w:rPr>
                <w:sz w:val="17"/>
              </w:rPr>
            </w:r>
            <w:r>
              <w:rPr>
                <w:rFonts w:ascii="IBM Plex Sans" w:hAnsi="IBM Plex Sans" w:cs="IBM Plex Sans"/>
                <w:b/>
                <w:i w:val="0"/>
                <w:color w:val="1F3A5F"/>
                <w:sz w:val="17"/>
              </w:rPr>
              <w:t>QUÉ RESPONDE</w:t>
            </w:r>
          </w:p>
        </w:tc>
      </w:tr>
      <w:tr>
        <w:tc>
          <w:tcPr>
            <w:tcW w:type="dxa" w:w="4158"/>
          </w:tcPr>
          <w:p>
            <w:pPr>
              <w:spacing w:after="40"/>
            </w:pPr>
            <w:r>
              <w:rPr>
                <w:sz w:val="17"/>
              </w:rPr>
            </w:r>
            <w:r>
              <w:rPr>
                <w:rFonts w:ascii="IBM Plex Sans" w:hAnsi="IBM Plex Sans" w:cs="IBM Plex Sans"/>
                <w:b w:val="0"/>
                <w:i w:val="0"/>
                <w:color w:val="161412"/>
                <w:sz w:val="17"/>
              </w:rPr>
              <w:t>Componente</w:t>
            </w:r>
          </w:p>
        </w:tc>
        <w:tc>
          <w:tcPr>
            <w:tcW w:type="dxa" w:w="4158"/>
          </w:tcPr>
          <w:p>
            <w:pPr>
              <w:spacing w:after="40"/>
            </w:pPr>
            <w:r>
              <w:rPr>
                <w:sz w:val="17"/>
              </w:rPr>
            </w:r>
            <w:r>
              <w:rPr>
                <w:rFonts w:ascii="IBM Plex Sans" w:hAnsi="IBM Plex Sans" w:cs="IBM Plex Sans"/>
                <w:b w:val="0"/>
                <w:i w:val="0"/>
                <w:color w:val="161412"/>
                <w:sz w:val="17"/>
              </w:rPr>
              <w:t>¿Qué elemento participa?</w:t>
            </w:r>
          </w:p>
        </w:tc>
      </w:tr>
      <w:tr>
        <w:tc>
          <w:tcPr>
            <w:tcW w:type="dxa" w:w="4158"/>
          </w:tcPr>
          <w:p>
            <w:pPr>
              <w:spacing w:after="40"/>
            </w:pPr>
            <w:r>
              <w:rPr>
                <w:sz w:val="17"/>
              </w:rPr>
            </w:r>
            <w:r>
              <w:rPr>
                <w:rFonts w:ascii="IBM Plex Sans" w:hAnsi="IBM Plex Sans" w:cs="IBM Plex Sans"/>
                <w:b w:val="0"/>
                <w:i w:val="0"/>
                <w:color w:val="161412"/>
                <w:sz w:val="17"/>
              </w:rPr>
              <w:t>Evento técnico</w:t>
            </w:r>
          </w:p>
        </w:tc>
        <w:tc>
          <w:tcPr>
            <w:tcW w:type="dxa" w:w="4158"/>
          </w:tcPr>
          <w:p>
            <w:pPr>
              <w:spacing w:after="40"/>
            </w:pPr>
            <w:r>
              <w:rPr>
                <w:sz w:val="17"/>
              </w:rPr>
            </w:r>
            <w:r>
              <w:rPr>
                <w:rFonts w:ascii="IBM Plex Sans" w:hAnsi="IBM Plex Sans" w:cs="IBM Plex Sans"/>
                <w:b w:val="0"/>
                <w:i w:val="0"/>
                <w:color w:val="161412"/>
                <w:sz w:val="17"/>
              </w:rPr>
              <w:t>¿Qué ocurrió en el sistema?</w:t>
            </w:r>
          </w:p>
        </w:tc>
      </w:tr>
      <w:tr>
        <w:tc>
          <w:tcPr>
            <w:tcW w:type="dxa" w:w="4158"/>
          </w:tcPr>
          <w:p>
            <w:pPr>
              <w:spacing w:after="40"/>
            </w:pPr>
            <w:r>
              <w:rPr>
                <w:sz w:val="17"/>
              </w:rPr>
            </w:r>
            <w:r>
              <w:rPr>
                <w:rFonts w:ascii="IBM Plex Sans" w:hAnsi="IBM Plex Sans" w:cs="IBM Plex Sans"/>
                <w:b w:val="0"/>
                <w:i w:val="0"/>
                <w:color w:val="161412"/>
                <w:sz w:val="17"/>
              </w:rPr>
              <w:t>Evento</w:t>
            </w:r>
          </w:p>
        </w:tc>
        <w:tc>
          <w:tcPr>
            <w:tcW w:type="dxa" w:w="4158"/>
          </w:tcPr>
          <w:p>
            <w:pPr>
              <w:spacing w:after="40"/>
            </w:pPr>
            <w:r>
              <w:rPr>
                <w:sz w:val="17"/>
              </w:rPr>
            </w:r>
            <w:r>
              <w:rPr>
                <w:rFonts w:ascii="IBM Plex Sans" w:hAnsi="IBM Plex Sans" w:cs="IBM Plex Sans"/>
                <w:b w:val="0"/>
                <w:i w:val="0"/>
                <w:color w:val="161412"/>
                <w:sz w:val="17"/>
              </w:rPr>
              <w:t>¿Qué transformación percibe el usuario?</w:t>
            </w:r>
          </w:p>
        </w:tc>
      </w:tr>
      <w:tr>
        <w:tc>
          <w:tcPr>
            <w:tcW w:type="dxa" w:w="4158"/>
          </w:tcPr>
          <w:p>
            <w:pPr>
              <w:spacing w:after="40"/>
            </w:pPr>
            <w:r>
              <w:rPr>
                <w:sz w:val="17"/>
              </w:rPr>
            </w:r>
            <w:r>
              <w:rPr>
                <w:rFonts w:ascii="IBM Plex Sans" w:hAnsi="IBM Plex Sans" w:cs="IBM Plex Sans"/>
                <w:b w:val="0"/>
                <w:i w:val="0"/>
                <w:color w:val="161412"/>
                <w:sz w:val="17"/>
              </w:rPr>
              <w:t>Interacción semántica</w:t>
            </w:r>
          </w:p>
        </w:tc>
        <w:tc>
          <w:tcPr>
            <w:tcW w:type="dxa" w:w="4158"/>
          </w:tcPr>
          <w:p>
            <w:pPr>
              <w:spacing w:after="40"/>
            </w:pPr>
            <w:r>
              <w:rPr>
                <w:sz w:val="17"/>
              </w:rPr>
            </w:r>
            <w:r>
              <w:rPr>
                <w:rFonts w:ascii="IBM Plex Sans" w:hAnsi="IBM Plex Sans" w:cs="IBM Plex Sans"/>
                <w:b w:val="0"/>
                <w:i w:val="0"/>
                <w:color w:val="161412"/>
                <w:sz w:val="17"/>
              </w:rPr>
              <w:t>¿Cómo se hace reconocible esa clase de transformación?</w:t>
            </w:r>
          </w:p>
        </w:tc>
      </w:tr>
      <w:tr>
        <w:tc>
          <w:tcPr>
            <w:tcW w:type="dxa" w:w="4158"/>
          </w:tcPr>
          <w:p>
            <w:pPr>
              <w:spacing w:after="40"/>
            </w:pPr>
            <w:r>
              <w:rPr>
                <w:sz w:val="17"/>
              </w:rPr>
            </w:r>
            <w:r>
              <w:rPr>
                <w:rFonts w:ascii="IBM Plex Sans" w:hAnsi="IBM Plex Sans" w:cs="IBM Plex Sans"/>
                <w:b w:val="0"/>
                <w:i w:val="0"/>
                <w:color w:val="161412"/>
                <w:sz w:val="17"/>
              </w:rPr>
              <w:t>Intent</w:t>
            </w:r>
          </w:p>
        </w:tc>
        <w:tc>
          <w:tcPr>
            <w:tcW w:type="dxa" w:w="4158"/>
          </w:tcPr>
          <w:p>
            <w:pPr>
              <w:spacing w:after="40"/>
            </w:pPr>
            <w:r>
              <w:rPr>
                <w:sz w:val="17"/>
              </w:rPr>
            </w:r>
            <w:r>
              <w:rPr>
                <w:rFonts w:ascii="IBM Plex Sans" w:hAnsi="IBM Plex Sans" w:cs="IBM Plex Sans"/>
                <w:b w:val="0"/>
                <w:i w:val="0"/>
                <w:color w:val="161412"/>
                <w:sz w:val="17"/>
              </w:rPr>
              <w:t>¿Cómo se evalúa afectivamente, si procede?</w:t>
            </w:r>
          </w:p>
        </w:tc>
      </w:tr>
      <w:tr>
        <w:tc>
          <w:tcPr>
            <w:tcW w:type="dxa" w:w="4158"/>
          </w:tcPr>
          <w:p>
            <w:pPr>
              <w:spacing w:after="40"/>
            </w:pPr>
            <w:r>
              <w:rPr>
                <w:sz w:val="17"/>
              </w:rPr>
            </w:r>
            <w:r>
              <w:rPr>
                <w:rFonts w:ascii="IBM Plex Sans" w:hAnsi="IBM Plex Sans" w:cs="IBM Plex Sans"/>
                <w:b w:val="0"/>
                <w:i w:val="0"/>
                <w:color w:val="161412"/>
                <w:sz w:val="17"/>
              </w:rPr>
              <w:t>Realización</w:t>
            </w:r>
          </w:p>
        </w:tc>
        <w:tc>
          <w:tcPr>
            <w:tcW w:type="dxa" w:w="4158"/>
          </w:tcPr>
          <w:p>
            <w:pPr>
              <w:spacing w:after="40"/>
            </w:pPr>
            <w:r>
              <w:rPr>
                <w:sz w:val="17"/>
              </w:rPr>
            </w:r>
            <w:r>
              <w:rPr>
                <w:rFonts w:ascii="IBM Plex Sans" w:hAnsi="IBM Plex Sans" w:cs="IBM Plex Sans"/>
                <w:b w:val="0"/>
                <w:i w:val="0"/>
                <w:color w:val="161412"/>
                <w:sz w:val="17"/>
              </w:rPr>
              <w:t>¿Por qué canales se expresa?</w:t>
            </w:r>
          </w:p>
        </w:tc>
      </w:tr>
    </w:tbl>
    <w:p>
      <w:pPr>
        <w:spacing w:after="120" w:line="320" w:lineRule="auto"/>
        <w:jc w:val="both"/>
      </w:pPr>
      <w:r>
        <w:rPr>
          <w:rFonts w:ascii="Newsreader" w:hAnsi="Newsreader" w:cs="Newsreader"/>
          <w:b w:val="0"/>
          <w:i w:val="0"/>
          <w:color w:val="161412"/>
        </w:rPr>
        <w:t>Una interfaz no solo necesita componentes reutilizables. Necesita formas recurrentes de hacer legibles sus eventos.</w:t>
      </w:r>
    </w:p>
    <w:p>
      <w:pPr>
        <w:spacing w:after="120" w:line="320" w:lineRule="auto"/>
        <w:jc w:val="both"/>
      </w:pPr>
      <w:r>
        <w:rPr>
          <w:rFonts w:ascii="Newsreader" w:hAnsi="Newsreader" w:cs="Newsreader"/>
          <w:b w:val="0"/>
          <w:i w:val="0"/>
          <w:color w:val="161412"/>
        </w:rPr>
        <w:t>El siguiente capítulo desarrollará los criterios para decidir cuándo una diferencia merece convertirse en interacción semántica. Porque no todo cambio necesita nombre propio. Pero los cambios que organizan la experiencia sí.</w:t>
      </w:r>
    </w:p>
    <w:p>
      <w:pPr>
        <w:spacing w:after="80"/>
      </w:pPr>
    </w:p>
    <w:p>
      <w:pPr>
        <w:spacing w:after="80"/>
      </w:pPr>
    </w:p>
    <w:p>
      <w:pPr>
        <w:spacing w:after="80"/>
      </w:pPr>
    </w:p>
    <w:p>
      <w:pPr>
        <w:spacing w:after="80"/>
      </w:pPr>
    </w:p>
    <w:p>
      <w:pPr>
        <w:spacing w:after="80"/>
      </w:pPr>
    </w:p>
    <w:p>
      <w:pPr>
        <w:spacing w:after="80"/>
      </w:pPr>
    </w:p>
    <w:p>
      <w:pPr>
        <w:spacing w:after="80"/>
      </w:pPr>
    </w:p>
    <w:p>
      <w:pPr>
        <w:spacing w:after="80"/>
      </w:pPr>
    </w:p>
    <w:p>
      <w:pPr>
        <w:spacing w:after="80"/>
      </w:pPr>
    </w:p>
    <w:p>
      <w:r>
        <w:br w:type="page"/>
      </w:r>
    </w:p>
    <w:p>
      <w:pPr>
        <w:spacing w:after="40"/>
      </w:pPr>
      <w:r>
        <w:rPr>
          <w:rFonts w:ascii="IBM Plex Sans" w:hAnsi="IBM Plex Sans" w:cs="IBM Plex Sans"/>
          <w:b/>
          <w:color w:val="1F3A5F"/>
          <w:sz w:val="18"/>
        </w:rPr>
        <w:t>CAPÍTULO 7</w:t>
      </w:r>
    </w:p>
    <w:p>
      <w:pPr>
        <w:spacing w:after="80" w:line="240" w:lineRule="auto"/>
      </w:pPr>
      <w:r>
        <w:rPr>
          <w:rFonts w:ascii="IBM Plex Sans" w:hAnsi="IBM Plex Sans" w:cs="IBM Plex Sans"/>
          <w:color w:val="161412"/>
          <w:sz w:val="220"/>
        </w:rPr>
        <w:t>07</w:t>
      </w:r>
    </w:p>
    <w:p>
      <w:pPr>
        <w:spacing w:after="60" w:line="240" w:lineRule="auto"/>
      </w:pPr>
      <w:r>
        <w:rPr>
          <w:rFonts w:ascii="Newsreader" w:hAnsi="Newsreader" w:cs="Newsreader"/>
          <w:color w:val="161412"/>
          <w:sz w:val="60"/>
        </w:rPr>
        <w:t>Criterios para identificar una interacción semántica</w:t>
      </w:r>
    </w:p>
    <w:p>
      <w:pPr>
        <w:spacing w:after="280"/>
      </w:pPr>
      <w:r>
        <w:rPr>
          <w:rFonts w:ascii="IBM Plex Sans" w:hAnsi="IBM Plex Sans" w:cs="IBM Plex Sans"/>
          <w:color w:val="6A635A"/>
          <w:sz w:val="26"/>
        </w:rPr>
        <w:t>Cuándo una diferencia merece convertirse en lenguaje</w:t>
      </w:r>
    </w:p>
    <w:p>
      <w:pPr>
        <w:pBdr>
          <w:bottom w:val="single" w:sz="4" w:space="4" w:color="1F3A5F"/>
        </w:pBdr>
      </w:pP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¿Cómo se decide si una diferencia perceptiva merece convertirse en lenguaje del sistema?</w:t>
      </w:r>
    </w:p>
    <w:p>
      <w:pPr>
        <w:spacing w:after="120" w:line="320" w:lineRule="auto"/>
        <w:jc w:val="both"/>
      </w:pPr>
      <w:r>
        <w:rPr>
          <w:rFonts w:ascii="Newsreader" w:hAnsi="Newsreader" w:cs="Newsreader"/>
          <w:b w:val="0"/>
          <w:i w:val="0"/>
          <w:color w:val="161412"/>
        </w:rPr>
        <w:t>Si una interacción semántica es una forma recurrente de hacer legible una clase de evento, necesitamos decidir qué diferencias merecen convertirse en semánticas y cuáles no. Si distinguimos demasiado poco, la interfaz se empobrece. Si distinguimos demasiado, la gramática se vuelve opaca.</w:t>
      </w:r>
    </w:p>
    <w:p>
      <w:pPr>
        <w:spacing w:before="200" w:after="60"/>
        <w:jc w:val="center"/>
      </w:pPr>
      <w:r>
        <w:drawing>
          <wp:inline xmlns:a="http://schemas.openxmlformats.org/drawingml/2006/main" xmlns:pic="http://schemas.openxmlformats.org/drawingml/2006/picture">
            <wp:extent cx="5029200" cy="2096548"/>
            <wp:docPr id="39" name="Picture 39"/>
            <wp:cNvGraphicFramePr>
              <a:graphicFrameLocks noChangeAspect="1"/>
            </wp:cNvGraphicFramePr>
            <a:graphic>
              <a:graphicData uri="http://schemas.openxmlformats.org/drawingml/2006/picture">
                <pic:pic>
                  <pic:nvPicPr>
                    <pic:cNvPr id="0" name="figura-7-1.png"/>
                    <pic:cNvPicPr/>
                  </pic:nvPicPr>
                  <pic:blipFill>
                    <a:blip r:embed="rId47"/>
                    <a:stretch>
                      <a:fillRect/>
                    </a:stretch>
                  </pic:blipFill>
                  <pic:spPr>
                    <a:xfrm>
                      <a:off x="0" y="0"/>
                      <a:ext cx="5029200" cy="2096548"/>
                    </a:xfrm>
                    <a:prstGeom prst="rect"/>
                  </pic:spPr>
                </pic:pic>
              </a:graphicData>
            </a:graphic>
          </wp:inline>
        </w:drawing>
      </w:r>
    </w:p>
    <w:p>
      <w:pPr>
        <w:spacing w:before="320" w:after="40"/>
      </w:pPr>
      <w:r>
        <w:rPr>
          <w:rFonts w:ascii="IBM Plex Sans" w:hAnsi="IBM Plex Sans" w:cs="IBM Plex Sans"/>
          <w:b/>
          <w:color w:val="1F3A5F"/>
          <w:sz w:val="18"/>
        </w:rPr>
        <w:t>§ 1</w:t>
      </w:r>
    </w:p>
    <w:p>
      <w:pPr>
        <w:spacing w:after="160" w:line="240" w:lineRule="auto"/>
      </w:pPr>
      <w:r>
        <w:rPr>
          <w:rFonts w:ascii="Newsreader" w:hAnsi="Newsreader" w:cs="Newsreader"/>
          <w:color w:val="161412"/>
          <w:sz w:val="38"/>
        </w:rPr>
        <w:t>El riesgo de declarar semánticas por intuición</w:t>
      </w:r>
    </w:p>
    <w:p>
      <w:pPr>
        <w:spacing w:after="120" w:line="320" w:lineRule="auto"/>
        <w:jc w:val="both"/>
      </w:pPr>
      <w:r>
        <w:rPr>
          <w:rFonts w:ascii="Newsreader" w:hAnsi="Newsreader" w:cs="Newsreader"/>
          <w:b w:val="0"/>
          <w:i w:val="0"/>
          <w:color w:val="161412"/>
        </w:rPr>
        <w:t>Una semántica no se justifica porque podamos nombrarla. Se justifica porque nombra una diferencia que el usuario necesita reconocer de forma recurrente para actuar con claridad.</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Una interacción semántica no existe porque tenga nombre. Existe cuando nombra una diferencia que el usuario necesita percibir.</w:t>
      </w:r>
    </w:p>
    <w:p>
      <w:pPr>
        <w:spacing w:before="320" w:after="40"/>
      </w:pPr>
      <w:r>
        <w:rPr>
          <w:rFonts w:ascii="IBM Plex Sans" w:hAnsi="IBM Plex Sans" w:cs="IBM Plex Sans"/>
          <w:b/>
          <w:color w:val="1F3A5F"/>
          <w:sz w:val="18"/>
        </w:rPr>
        <w:t>§ 2</w:t>
      </w:r>
    </w:p>
    <w:p>
      <w:pPr>
        <w:spacing w:after="160" w:line="240" w:lineRule="auto"/>
      </w:pPr>
      <w:r>
        <w:rPr>
          <w:rFonts w:ascii="Newsreader" w:hAnsi="Newsreader" w:cs="Newsreader"/>
          <w:color w:val="161412"/>
          <w:sz w:val="38"/>
        </w:rPr>
        <w:t>Criterio 1: relevancia operativa</w:t>
      </w:r>
    </w:p>
    <w:p>
      <w:pPr>
        <w:spacing w:after="120" w:line="320" w:lineRule="auto"/>
        <w:jc w:val="both"/>
      </w:pPr>
      <w:r>
        <w:rPr>
          <w:rFonts w:ascii="Newsreader" w:hAnsi="Newsreader" w:cs="Newsreader"/>
          <w:b w:val="0"/>
          <w:i w:val="0"/>
          <w:color w:val="161412"/>
        </w:rPr>
        <w:t>Una diferencia merece convertirse en semántica si afecta a la acción, a la atención o a la interpretación del estado. Una semántica no debería nacer de una variación estética, sino de una diferencia operativa.</w:t>
      </w:r>
    </w:p>
    <w:p>
      <w:pPr>
        <w:spacing w:before="320" w:after="40"/>
      </w:pPr>
      <w:r>
        <w:rPr>
          <w:rFonts w:ascii="IBM Plex Sans" w:hAnsi="IBM Plex Sans" w:cs="IBM Plex Sans"/>
          <w:b/>
          <w:color w:val="1F3A5F"/>
          <w:sz w:val="18"/>
        </w:rPr>
        <w:t>§ 3</w:t>
      </w:r>
    </w:p>
    <w:p>
      <w:pPr>
        <w:spacing w:after="160" w:line="240" w:lineRule="auto"/>
      </w:pPr>
      <w:r>
        <w:rPr>
          <w:rFonts w:ascii="Newsreader" w:hAnsi="Newsreader" w:cs="Newsreader"/>
          <w:color w:val="161412"/>
          <w:sz w:val="38"/>
        </w:rPr>
        <w:t>Criterio 2: recurrencia estructural</w:t>
      </w:r>
    </w:p>
    <w:p>
      <w:pPr>
        <w:spacing w:after="120" w:line="320" w:lineRule="auto"/>
        <w:jc w:val="both"/>
      </w:pPr>
      <w:r>
        <w:rPr>
          <w:rFonts w:ascii="Newsreader" w:hAnsi="Newsreader" w:cs="Newsreader"/>
          <w:b w:val="0"/>
          <w:i w:val="0"/>
          <w:color w:val="161412"/>
        </w:rPr>
        <w:t>Una interacción semántica debe corresponder a una clase de evento que reaparece en distintos lugares, componentes o situaciones. Si solo ocurre en un caso específico, puede resolverse como comportamiento local.</w:t>
      </w:r>
    </w:p>
    <w:p>
      <w:pPr>
        <w:spacing w:before="200" w:after="60"/>
        <w:jc w:val="center"/>
      </w:pPr>
      <w:r>
        <w:drawing>
          <wp:inline xmlns:a="http://schemas.openxmlformats.org/drawingml/2006/main" xmlns:pic="http://schemas.openxmlformats.org/drawingml/2006/picture">
            <wp:extent cx="5029200" cy="2234851"/>
            <wp:docPr id="40" name="Picture 40"/>
            <wp:cNvGraphicFramePr>
              <a:graphicFrameLocks noChangeAspect="1"/>
            </wp:cNvGraphicFramePr>
            <a:graphic>
              <a:graphicData uri="http://schemas.openxmlformats.org/drawingml/2006/picture">
                <pic:pic>
                  <pic:nvPicPr>
                    <pic:cNvPr id="0" name="figura-7-2.png"/>
                    <pic:cNvPicPr/>
                  </pic:nvPicPr>
                  <pic:blipFill>
                    <a:blip r:embed="rId48"/>
                    <a:stretch>
                      <a:fillRect/>
                    </a:stretch>
                  </pic:blipFill>
                  <pic:spPr>
                    <a:xfrm>
                      <a:off x="0" y="0"/>
                      <a:ext cx="5029200" cy="2234851"/>
                    </a:xfrm>
                    <a:prstGeom prst="rect"/>
                  </pic:spPr>
                </pic:pic>
              </a:graphicData>
            </a:graphic>
          </wp:inline>
        </w:drawing>
      </w:r>
    </w:p>
    <w:p>
      <w:pPr>
        <w:spacing w:before="320" w:after="40"/>
      </w:pPr>
      <w:r>
        <w:rPr>
          <w:rFonts w:ascii="IBM Plex Sans" w:hAnsi="IBM Plex Sans" w:cs="IBM Plex Sans"/>
          <w:b/>
          <w:color w:val="1F3A5F"/>
          <w:sz w:val="18"/>
        </w:rPr>
        <w:t>§ 4</w:t>
      </w:r>
    </w:p>
    <w:p>
      <w:pPr>
        <w:spacing w:after="160" w:line="240" w:lineRule="auto"/>
      </w:pPr>
      <w:r>
        <w:rPr>
          <w:rFonts w:ascii="Newsreader" w:hAnsi="Newsreader" w:cs="Newsreader"/>
          <w:color w:val="161412"/>
          <w:sz w:val="38"/>
        </w:rPr>
        <w:t>Criterio 3: diferenciabilidad perceptiva</w:t>
      </w:r>
    </w:p>
    <w:p>
      <w:pPr>
        <w:spacing w:after="120" w:line="320" w:lineRule="auto"/>
        <w:jc w:val="both"/>
      </w:pPr>
      <w:r>
        <w:rPr>
          <w:rFonts w:ascii="Newsreader" w:hAnsi="Newsreader" w:cs="Newsreader"/>
          <w:b w:val="0"/>
          <w:i w:val="0"/>
          <w:color w:val="161412"/>
        </w:rPr>
        <w:t>No basta con que internamente sepamos que dos eventos son distintos. El usuario debe poder percibir esa diferencia. Contacto no debería sentirse igual que consolidación. Aparición no debería sentirse igual que señal. Cambio de contexto no debería sentirse igual que expansión.</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Una diferencia que no puede percibirse todavía no funciona como diferencia semántica.</w:t>
      </w:r>
    </w:p>
    <w:p>
      <w:pPr>
        <w:spacing w:before="200" w:after="60"/>
        <w:jc w:val="center"/>
      </w:pPr>
      <w:r>
        <w:drawing>
          <wp:inline xmlns:a="http://schemas.openxmlformats.org/drawingml/2006/main" xmlns:pic="http://schemas.openxmlformats.org/drawingml/2006/picture">
            <wp:extent cx="5029200" cy="2234851"/>
            <wp:docPr id="41" name="Picture 41"/>
            <wp:cNvGraphicFramePr>
              <a:graphicFrameLocks noChangeAspect="1"/>
            </wp:cNvGraphicFramePr>
            <a:graphic>
              <a:graphicData uri="http://schemas.openxmlformats.org/drawingml/2006/picture">
                <pic:pic>
                  <pic:nvPicPr>
                    <pic:cNvPr id="0" name="figura-7-3.png"/>
                    <pic:cNvPicPr/>
                  </pic:nvPicPr>
                  <pic:blipFill>
                    <a:blip r:embed="rId49"/>
                    <a:stretch>
                      <a:fillRect/>
                    </a:stretch>
                  </pic:blipFill>
                  <pic:spPr>
                    <a:xfrm>
                      <a:off x="0" y="0"/>
                      <a:ext cx="5029200" cy="2234851"/>
                    </a:xfrm>
                    <a:prstGeom prst="rect"/>
                  </pic:spPr>
                </pic:pic>
              </a:graphicData>
            </a:graphic>
          </wp:inline>
        </w:drawing>
      </w:r>
    </w:p>
    <w:p>
      <w:pPr>
        <w:spacing w:before="320" w:after="40"/>
      </w:pPr>
      <w:r>
        <w:rPr>
          <w:rFonts w:ascii="IBM Plex Sans" w:hAnsi="IBM Plex Sans" w:cs="IBM Plex Sans"/>
          <w:b/>
          <w:color w:val="1F3A5F"/>
          <w:sz w:val="18"/>
        </w:rPr>
        <w:t>§ 5</w:t>
      </w:r>
    </w:p>
    <w:p>
      <w:pPr>
        <w:spacing w:after="160" w:line="240" w:lineRule="auto"/>
      </w:pPr>
      <w:r>
        <w:rPr>
          <w:rFonts w:ascii="Newsreader" w:hAnsi="Newsreader" w:cs="Newsreader"/>
          <w:color w:val="161412"/>
          <w:sz w:val="38"/>
        </w:rPr>
        <w:t>Criterio 4: estabilidad de significado</w:t>
      </w:r>
    </w:p>
    <w:p>
      <w:pPr>
        <w:spacing w:after="120" w:line="320" w:lineRule="auto"/>
        <w:jc w:val="both"/>
      </w:pPr>
      <w:r>
        <w:rPr>
          <w:rFonts w:ascii="Newsreader" w:hAnsi="Newsreader" w:cs="Newsreader"/>
          <w:b w:val="0"/>
          <w:i w:val="0"/>
          <w:color w:val="161412"/>
        </w:rPr>
        <w:t>Una semántica debe conservar su significado a través de distintas realizaciones. Si solo existe cuando usamos una animación concreta, no es todavía una semántica fuerte. Es un efecto. La semántica de contacto puede expresarse con microcompresión visual en web, pulso háptico en móvil, sonido breve sin motion o cambio de foco visible. La realización cambia; el significado permanece.</w:t>
      </w:r>
    </w:p>
    <w:p>
      <w:pPr>
        <w:spacing w:before="320" w:after="40"/>
      </w:pPr>
      <w:r>
        <w:rPr>
          <w:rFonts w:ascii="IBM Plex Sans" w:hAnsi="IBM Plex Sans" w:cs="IBM Plex Sans"/>
          <w:b/>
          <w:color w:val="1F3A5F"/>
          <w:sz w:val="18"/>
        </w:rPr>
        <w:t>§ 6</w:t>
      </w:r>
    </w:p>
    <w:p>
      <w:pPr>
        <w:spacing w:after="160" w:line="240" w:lineRule="auto"/>
      </w:pPr>
      <w:r>
        <w:rPr>
          <w:rFonts w:ascii="Newsreader" w:hAnsi="Newsreader" w:cs="Newsreader"/>
          <w:color w:val="161412"/>
          <w:sz w:val="38"/>
        </w:rPr>
        <w:t>Criterio 5: elasticidad de realización</w:t>
      </w:r>
    </w:p>
    <w:p>
      <w:pPr>
        <w:spacing w:after="120" w:line="320" w:lineRule="auto"/>
        <w:jc w:val="both"/>
      </w:pPr>
      <w:r>
        <w:rPr>
          <w:rFonts w:ascii="Newsreader" w:hAnsi="Newsreader" w:cs="Newsreader"/>
          <w:b w:val="0"/>
          <w:i w:val="0"/>
          <w:color w:val="161412"/>
        </w:rPr>
        <w:t xml:space="preserve">Una interfaz bancaria, una aplicación médica, una herramienta creativa y un editor de código no deberían expresar igual sus eventos. Pero cuando dos productos expresan la misma familia, ambos deberían mantener un aire reconocible con ella: la identidad puede variar el acento, no el idioma.</w:t>
      </w:r>
    </w:p>
    <w:p>
      <w:pPr>
        <w:spacing w:before="200" w:after="60"/>
        <w:jc w:val="center"/>
      </w:pPr>
      <w:r>
        <w:drawing>
          <wp:inline xmlns:a="http://schemas.openxmlformats.org/drawingml/2006/main" xmlns:pic="http://schemas.openxmlformats.org/drawingml/2006/picture">
            <wp:extent cx="5029200" cy="2304002"/>
            <wp:docPr id="42" name="Picture 42"/>
            <wp:cNvGraphicFramePr>
              <a:graphicFrameLocks noChangeAspect="1"/>
            </wp:cNvGraphicFramePr>
            <a:graphic>
              <a:graphicData uri="http://schemas.openxmlformats.org/drawingml/2006/picture">
                <pic:pic>
                  <pic:nvPicPr>
                    <pic:cNvPr id="0" name="figura-7-4.png"/>
                    <pic:cNvPicPr/>
                  </pic:nvPicPr>
                  <pic:blipFill>
                    <a:blip r:embed="rId50"/>
                    <a:stretch>
                      <a:fillRect/>
                    </a:stretch>
                  </pic:blipFill>
                  <pic:spPr>
                    <a:xfrm>
                      <a:off x="0" y="0"/>
                      <a:ext cx="5029200" cy="2304002"/>
                    </a:xfrm>
                    <a:prstGeom prst="rect"/>
                  </pic:spPr>
                </pic:pic>
              </a:graphicData>
            </a:graphic>
          </wp:inline>
        </w:drawing>
      </w:r>
    </w:p>
    <w:p>
      <w:pPr>
        <w:spacing w:before="320" w:after="40"/>
      </w:pPr>
      <w:r>
        <w:rPr>
          <w:rFonts w:ascii="IBM Plex Sans" w:hAnsi="IBM Plex Sans" w:cs="IBM Plex Sans"/>
          <w:b/>
          <w:color w:val="1F3A5F"/>
          <w:sz w:val="18"/>
        </w:rPr>
        <w:t>§ 7</w:t>
      </w:r>
    </w:p>
    <w:p>
      <w:pPr>
        <w:spacing w:after="160" w:line="240" w:lineRule="auto"/>
      </w:pPr>
      <w:r>
        <w:rPr>
          <w:rFonts w:ascii="Newsreader" w:hAnsi="Newsreader" w:cs="Newsreader"/>
          <w:color w:val="161412"/>
          <w:sz w:val="38"/>
        </w:rPr>
        <w:t>Criterio 6: economía cognitiva</w:t>
      </w:r>
    </w:p>
    <w:p>
      <w:pPr>
        <w:spacing w:after="120" w:line="320" w:lineRule="auto"/>
        <w:jc w:val="both"/>
      </w:pPr>
      <w:r>
        <w:rPr>
          <w:rFonts w:ascii="Newsreader" w:hAnsi="Newsreader" w:cs="Newsreader"/>
          <w:b w:val="0"/>
          <w:i w:val="0"/>
          <w:color w:val="161412"/>
        </w:rPr>
        <w:t>Una interacción semántica debe reducir carga interpretativa. Si una categoría nueva obliga a pensar más, recordar más o diferenciar matices irrelevantes, probablemente no merece existir. La pregunta: ¿esta semántica ayuda al usuario a interpretar mejor el evento o solo satisface nuestra necesidad interna de clasificar?</w:t>
      </w:r>
    </w:p>
    <w:p>
      <w:pPr>
        <w:spacing w:before="320" w:after="40"/>
      </w:pPr>
      <w:r>
        <w:rPr>
          <w:rFonts w:ascii="IBM Plex Sans" w:hAnsi="IBM Plex Sans" w:cs="IBM Plex Sans"/>
          <w:b/>
          <w:color w:val="1F3A5F"/>
          <w:sz w:val="18"/>
        </w:rPr>
        <w:t>§ 8</w:t>
      </w:r>
    </w:p>
    <w:p>
      <w:pPr>
        <w:spacing w:after="160" w:line="240" w:lineRule="auto"/>
      </w:pPr>
      <w:r>
        <w:rPr>
          <w:rFonts w:ascii="Newsreader" w:hAnsi="Newsreader" w:cs="Newsreader"/>
          <w:color w:val="161412"/>
          <w:sz w:val="38"/>
        </w:rPr>
        <w:t>Criterio 7: transversalidad</w:t>
      </w:r>
    </w:p>
    <w:p>
      <w:pPr>
        <w:spacing w:after="120" w:line="320" w:lineRule="auto"/>
        <w:jc w:val="both"/>
      </w:pPr>
      <w:r>
        <w:rPr>
          <w:rFonts w:ascii="Newsreader" w:hAnsi="Newsreader" w:cs="Newsreader"/>
          <w:b w:val="0"/>
          <w:i w:val="0"/>
          <w:color w:val="161412"/>
        </w:rPr>
        <w:t>Si una supuesta semántica solo existe dentro de un componente concreto, quizá no estamos ante una semántica sino ante un patrón local. La transversalidad es lo que convierte una respuesta en lenguaje del sistema.</w:t>
      </w:r>
    </w:p>
    <w:p>
      <w:pPr>
        <w:spacing w:before="200" w:after="60"/>
        <w:jc w:val="center"/>
      </w:pPr>
      <w:r>
        <w:drawing>
          <wp:inline xmlns:a="http://schemas.openxmlformats.org/drawingml/2006/main" xmlns:pic="http://schemas.openxmlformats.org/drawingml/2006/picture">
            <wp:extent cx="5029200" cy="2096548"/>
            <wp:docPr id="43" name="Picture 43"/>
            <wp:cNvGraphicFramePr>
              <a:graphicFrameLocks noChangeAspect="1"/>
            </wp:cNvGraphicFramePr>
            <a:graphic>
              <a:graphicData uri="http://schemas.openxmlformats.org/drawingml/2006/picture">
                <pic:pic>
                  <pic:nvPicPr>
                    <pic:cNvPr id="0" name="figura-7-5.png"/>
                    <pic:cNvPicPr/>
                  </pic:nvPicPr>
                  <pic:blipFill>
                    <a:blip r:embed="rId51"/>
                    <a:stretch>
                      <a:fillRect/>
                    </a:stretch>
                  </pic:blipFill>
                  <pic:spPr>
                    <a:xfrm>
                      <a:off x="0" y="0"/>
                      <a:ext cx="5029200" cy="2096548"/>
                    </a:xfrm>
                    <a:prstGeom prst="rect"/>
                  </pic:spPr>
                </pic:pic>
              </a:graphicData>
            </a:graphic>
          </wp:inline>
        </w:drawing>
      </w:r>
    </w:p>
    <w:p>
      <w:pPr>
        <w:spacing w:before="320" w:after="40"/>
      </w:pPr>
      <w:r>
        <w:rPr>
          <w:rFonts w:ascii="IBM Plex Sans" w:hAnsi="IBM Plex Sans" w:cs="IBM Plex Sans"/>
          <w:b/>
          <w:color w:val="1F3A5F"/>
          <w:sz w:val="18"/>
        </w:rPr>
        <w:t>§ 9</w:t>
      </w:r>
    </w:p>
    <w:p>
      <w:pPr>
        <w:spacing w:after="160" w:line="240" w:lineRule="auto"/>
      </w:pPr>
      <w:r>
        <w:rPr>
          <w:rFonts w:ascii="Newsreader" w:hAnsi="Newsreader" w:cs="Newsreader"/>
          <w:color w:val="161412"/>
          <w:sz w:val="38"/>
        </w:rPr>
        <w:t>Criterio 8: compatibilidad multicanal</w:t>
      </w:r>
    </w:p>
    <w:p>
      <w:pPr>
        <w:spacing w:after="120" w:line="320" w:lineRule="auto"/>
        <w:jc w:val="both"/>
      </w:pPr>
      <w:r>
        <w:rPr>
          <w:rFonts w:ascii="Newsreader" w:hAnsi="Newsreader" w:cs="Newsreader"/>
          <w:b w:val="0"/>
          <w:i w:val="0"/>
          <w:color w:val="161412"/>
        </w:rPr>
        <w:t>Una semántica no debería depender exclusivamente de un único canal. Si se reduce motion, parte del significado puede migrar a color, forma, texto o sonido. Si el color no es fiable, la forma, el texto, la posición o el icono deben sostener la diferencia.</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Una semántica no debería vivir en un canal. Debería poder viajar entre canales sin perder su función.</w:t>
      </w:r>
    </w:p>
    <w:p>
      <w:pPr>
        <w:spacing w:before="320" w:after="40"/>
      </w:pPr>
      <w:r>
        <w:rPr>
          <w:rFonts w:ascii="IBM Plex Sans" w:hAnsi="IBM Plex Sans" w:cs="IBM Plex Sans"/>
          <w:b/>
          <w:color w:val="1F3A5F"/>
          <w:sz w:val="18"/>
        </w:rPr>
        <w:t>§ 10</w:t>
      </w:r>
    </w:p>
    <w:p>
      <w:pPr>
        <w:spacing w:after="160" w:line="240" w:lineRule="auto"/>
      </w:pPr>
      <w:r>
        <w:rPr>
          <w:rFonts w:ascii="Newsreader" w:hAnsi="Newsreader" w:cs="Newsreader"/>
          <w:color w:val="161412"/>
          <w:sz w:val="38"/>
        </w:rPr>
        <w:t>Criterio 9: capacidad de composición</w:t>
      </w:r>
    </w:p>
    <w:p>
      <w:pPr>
        <w:spacing w:after="120" w:line="320" w:lineRule="auto"/>
        <w:jc w:val="both"/>
      </w:pPr>
      <w:r>
        <w:rPr>
          <w:rFonts w:ascii="Newsreader" w:hAnsi="Newsreader" w:cs="Newsreader"/>
          <w:b w:val="0"/>
          <w:i w:val="0"/>
          <w:color w:val="161412"/>
        </w:rPr>
        <w:t>Las interacciones semánticas no aparecen siempre aisladas. Una categoría merece entrar en la gramática si puede componerse con otras sin generar ambigüedad. Esto exige fronteras claras.</w:t>
      </w:r>
    </w:p>
    <w:p>
      <w:pPr>
        <w:spacing w:before="200" w:after="60"/>
        <w:jc w:val="center"/>
      </w:pPr>
      <w:r>
        <w:drawing>
          <wp:inline xmlns:a="http://schemas.openxmlformats.org/drawingml/2006/main" xmlns:pic="http://schemas.openxmlformats.org/drawingml/2006/picture">
            <wp:extent cx="5029200" cy="2234851"/>
            <wp:docPr id="44" name="Picture 44"/>
            <wp:cNvGraphicFramePr>
              <a:graphicFrameLocks noChangeAspect="1"/>
            </wp:cNvGraphicFramePr>
            <a:graphic>
              <a:graphicData uri="http://schemas.openxmlformats.org/drawingml/2006/picture">
                <pic:pic>
                  <pic:nvPicPr>
                    <pic:cNvPr id="0" name="figura-7-6.png"/>
                    <pic:cNvPicPr/>
                  </pic:nvPicPr>
                  <pic:blipFill>
                    <a:blip r:embed="rId52"/>
                    <a:stretch>
                      <a:fillRect/>
                    </a:stretch>
                  </pic:blipFill>
                  <pic:spPr>
                    <a:xfrm>
                      <a:off x="0" y="0"/>
                      <a:ext cx="5029200" cy="2234851"/>
                    </a:xfrm>
                    <a:prstGeom prst="rect"/>
                  </pic:spPr>
                </pic:pic>
              </a:graphicData>
            </a:graphic>
          </wp:inline>
        </w:drawing>
      </w:r>
    </w:p>
    <w:p>
      <w:pPr>
        <w:spacing w:before="320" w:after="40"/>
      </w:pPr>
      <w:r>
        <w:rPr>
          <w:rFonts w:ascii="IBM Plex Sans" w:hAnsi="IBM Plex Sans" w:cs="IBM Plex Sans"/>
          <w:b/>
          <w:color w:val="1F3A5F"/>
          <w:sz w:val="18"/>
        </w:rPr>
        <w:t>§ 11</w:t>
      </w:r>
    </w:p>
    <w:p>
      <w:pPr>
        <w:spacing w:after="160" w:line="240" w:lineRule="auto"/>
      </w:pPr>
      <w:r>
        <w:rPr>
          <w:rFonts w:ascii="Newsreader" w:hAnsi="Newsreader" w:cs="Newsreader"/>
          <w:color w:val="161412"/>
          <w:sz w:val="38"/>
        </w:rPr>
        <w:t>Criterio 10: proporción expresiva</w:t>
      </w:r>
    </w:p>
    <w:p>
      <w:pPr>
        <w:spacing w:after="120" w:line="320" w:lineRule="auto"/>
        <w:jc w:val="both"/>
      </w:pPr>
      <w:r>
        <w:rPr>
          <w:rFonts w:ascii="Newsreader" w:hAnsi="Newsreader" w:cs="Newsreader"/>
          <w:b w:val="0"/>
          <w:i w:val="0"/>
          <w:color w:val="161412"/>
        </w:rPr>
        <w:t xml:space="preserve">Si todo suena, nada importa. Si todo vibra, la háptica se vuelve ruido. Si todo rebota, la confirmación pierde valor. La proporción expresiva pregunta: ¿cuánta intensidad merece este evento?</w:t>
      </w:r>
    </w:p>
    <w:p>
      <w:pPr>
        <w:spacing w:after="200" w:before="40"/>
      </w:pPr>
      <w:r>
        <w:rPr>
          <w:rFonts w:ascii="IBM Plex Sans" w:hAnsi="IBM Plex Sans" w:cs="IBM Plex Sans"/>
          <w:b/>
          <w:color w:val="1F3A5F"/>
          <w:sz w:val="17"/>
        </w:rPr>
        <w:t xml:space="preserve">TABLA 7.1   </w:t>
      </w:r>
      <w:r>
        <w:rPr>
          <w:rFonts w:ascii="IBM Plex Sans" w:hAnsi="IBM Plex Sans" w:cs="IBM Plex Sans"/>
          <w:color w:val="3A352F"/>
          <w:sz w:val="18"/>
        </w:rPr>
        <w:t xml:space="preserve">Proporción expresiva</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079"/>
        <w:gridCol w:w="2079"/>
        <w:gridCol w:w="2079"/>
        <w:gridCol w:w="2079"/>
      </w:tblGrid>
      <w:tr>
        <w:tc>
          <w:tcPr>
            <w:tcW w:type="dxa" w:w="2079"/>
            <w:shd w:val="clear" w:color="auto" w:fill="EAE4D8"/>
          </w:tcPr>
          <w:p>
            <w:pPr>
              <w:spacing w:after="40"/>
            </w:pPr>
            <w:r>
              <w:rPr>
                <w:sz w:val="17"/>
              </w:rPr>
            </w:r>
            <w:r>
              <w:rPr>
                <w:rFonts w:ascii="IBM Plex Sans" w:hAnsi="IBM Plex Sans" w:cs="IBM Plex Sans"/>
                <w:b/>
                <w:i w:val="0"/>
                <w:color w:val="1F3A5F"/>
                <w:sz w:val="17"/>
              </w:rPr>
              <w:t>EVENTO</w:t>
            </w:r>
          </w:p>
        </w:tc>
        <w:tc>
          <w:tcPr>
            <w:tcW w:type="dxa" w:w="2079"/>
            <w:shd w:val="clear" w:color="auto" w:fill="EAE4D8"/>
          </w:tcPr>
          <w:p>
            <w:pPr>
              <w:spacing w:after="40"/>
            </w:pPr>
            <w:r>
              <w:rPr>
                <w:sz w:val="17"/>
              </w:rPr>
            </w:r>
            <w:r>
              <w:rPr>
                <w:rFonts w:ascii="IBM Plex Sans" w:hAnsi="IBM Plex Sans" w:cs="IBM Plex Sans"/>
                <w:b/>
                <w:i w:val="0"/>
                <w:color w:val="1F3A5F"/>
                <w:sz w:val="17"/>
              </w:rPr>
              <w:t>CONSECUENCIA</w:t>
            </w:r>
          </w:p>
        </w:tc>
        <w:tc>
          <w:tcPr>
            <w:tcW w:type="dxa" w:w="2079"/>
            <w:shd w:val="clear" w:color="auto" w:fill="EAE4D8"/>
          </w:tcPr>
          <w:p>
            <w:pPr>
              <w:spacing w:after="40"/>
            </w:pPr>
            <w:r>
              <w:rPr>
                <w:sz w:val="17"/>
              </w:rPr>
            </w:r>
            <w:r>
              <w:rPr>
                <w:rFonts w:ascii="IBM Plex Sans" w:hAnsi="IBM Plex Sans" w:cs="IBM Plex Sans"/>
                <w:b/>
                <w:i w:val="0"/>
                <w:color w:val="1F3A5F"/>
                <w:sz w:val="17"/>
              </w:rPr>
              <w:t>FRECUENCIA</w:t>
            </w:r>
          </w:p>
        </w:tc>
        <w:tc>
          <w:tcPr>
            <w:tcW w:type="dxa" w:w="2079"/>
            <w:shd w:val="clear" w:color="auto" w:fill="EAE4D8"/>
          </w:tcPr>
          <w:p>
            <w:pPr>
              <w:spacing w:after="40"/>
            </w:pPr>
            <w:r>
              <w:rPr>
                <w:sz w:val="17"/>
              </w:rPr>
            </w:r>
            <w:r>
              <w:rPr>
                <w:rFonts w:ascii="IBM Plex Sans" w:hAnsi="IBM Plex Sans" w:cs="IBM Plex Sans"/>
                <w:b/>
                <w:i w:val="0"/>
                <w:color w:val="1F3A5F"/>
                <w:sz w:val="17"/>
              </w:rPr>
              <w:t>INTENSIDAD</w:t>
            </w:r>
          </w:p>
        </w:tc>
      </w:tr>
      <w:tr>
        <w:tc>
          <w:tcPr>
            <w:tcW w:type="dxa" w:w="2079"/>
          </w:tcPr>
          <w:p>
            <w:pPr>
              <w:spacing w:after="40"/>
            </w:pPr>
            <w:r>
              <w:rPr>
                <w:sz w:val="17"/>
              </w:rPr>
            </w:r>
            <w:r>
              <w:rPr>
                <w:rFonts w:ascii="IBM Plex Sans" w:hAnsi="IBM Plex Sans" w:cs="IBM Plex Sans"/>
                <w:b w:val="0"/>
                <w:i w:val="0"/>
                <w:color w:val="161412"/>
                <w:sz w:val="17"/>
              </w:rPr>
              <w:t>Contacto cotidiano</w:t>
            </w:r>
          </w:p>
        </w:tc>
        <w:tc>
          <w:tcPr>
            <w:tcW w:type="dxa" w:w="2079"/>
          </w:tcPr>
          <w:p>
            <w:pPr>
              <w:spacing w:after="40"/>
            </w:pPr>
            <w:r>
              <w:rPr>
                <w:sz w:val="17"/>
              </w:rPr>
            </w:r>
            <w:r>
              <w:rPr>
                <w:rFonts w:ascii="IBM Plex Sans" w:hAnsi="IBM Plex Sans" w:cs="IBM Plex Sans"/>
                <w:b w:val="0"/>
                <w:i w:val="0"/>
                <w:color w:val="161412"/>
                <w:sz w:val="17"/>
              </w:rPr>
              <w:t>Baja</w:t>
            </w:r>
          </w:p>
        </w:tc>
        <w:tc>
          <w:tcPr>
            <w:tcW w:type="dxa" w:w="2079"/>
          </w:tcPr>
          <w:p>
            <w:pPr>
              <w:spacing w:after="40"/>
            </w:pPr>
            <w:r>
              <w:rPr>
                <w:sz w:val="17"/>
              </w:rPr>
            </w:r>
            <w:r>
              <w:rPr>
                <w:rFonts w:ascii="IBM Plex Sans" w:hAnsi="IBM Plex Sans" w:cs="IBM Plex Sans"/>
                <w:b w:val="0"/>
                <w:i w:val="0"/>
                <w:color w:val="161412"/>
                <w:sz w:val="17"/>
              </w:rPr>
              <w:t>Alta</w:t>
            </w:r>
          </w:p>
        </w:tc>
        <w:tc>
          <w:tcPr>
            <w:tcW w:type="dxa" w:w="2079"/>
          </w:tcPr>
          <w:p>
            <w:pPr>
              <w:spacing w:after="40"/>
            </w:pPr>
            <w:r>
              <w:rPr>
                <w:sz w:val="17"/>
              </w:rPr>
            </w:r>
            <w:r>
              <w:rPr>
                <w:rFonts w:ascii="IBM Plex Sans" w:hAnsi="IBM Plex Sans" w:cs="IBM Plex Sans"/>
                <w:b w:val="0"/>
                <w:i w:val="0"/>
                <w:color w:val="161412"/>
                <w:sz w:val="17"/>
              </w:rPr>
              <w:t>Mínima</w:t>
            </w:r>
          </w:p>
        </w:tc>
      </w:tr>
      <w:tr>
        <w:tc>
          <w:tcPr>
            <w:tcW w:type="dxa" w:w="2079"/>
          </w:tcPr>
          <w:p>
            <w:pPr>
              <w:spacing w:after="40"/>
            </w:pPr>
            <w:r>
              <w:rPr>
                <w:sz w:val="17"/>
              </w:rPr>
            </w:r>
            <w:r>
              <w:rPr>
                <w:rFonts w:ascii="IBM Plex Sans" w:hAnsi="IBM Plex Sans" w:cs="IBM Plex Sans"/>
                <w:b w:val="0"/>
                <w:i w:val="0"/>
                <w:color w:val="161412"/>
                <w:sz w:val="17"/>
              </w:rPr>
              <w:t>Autoguardado</w:t>
            </w:r>
          </w:p>
        </w:tc>
        <w:tc>
          <w:tcPr>
            <w:tcW w:type="dxa" w:w="2079"/>
          </w:tcPr>
          <w:p>
            <w:pPr>
              <w:spacing w:after="40"/>
            </w:pPr>
            <w:r>
              <w:rPr>
                <w:sz w:val="17"/>
              </w:rPr>
            </w:r>
            <w:r>
              <w:rPr>
                <w:rFonts w:ascii="IBM Plex Sans" w:hAnsi="IBM Plex Sans" w:cs="IBM Plex Sans"/>
                <w:b w:val="0"/>
                <w:i w:val="0"/>
                <w:color w:val="161412"/>
                <w:sz w:val="17"/>
              </w:rPr>
              <w:t>Baja positiva</w:t>
            </w:r>
          </w:p>
        </w:tc>
        <w:tc>
          <w:tcPr>
            <w:tcW w:type="dxa" w:w="2079"/>
          </w:tcPr>
          <w:p>
            <w:pPr>
              <w:spacing w:after="40"/>
            </w:pPr>
            <w:r>
              <w:rPr>
                <w:sz w:val="17"/>
              </w:rPr>
            </w:r>
            <w:r>
              <w:rPr>
                <w:rFonts w:ascii="IBM Plex Sans" w:hAnsi="IBM Plex Sans" w:cs="IBM Plex Sans"/>
                <w:b w:val="0"/>
                <w:i w:val="0"/>
                <w:color w:val="161412"/>
                <w:sz w:val="17"/>
              </w:rPr>
              <w:t>Alta</w:t>
            </w:r>
          </w:p>
        </w:tc>
        <w:tc>
          <w:tcPr>
            <w:tcW w:type="dxa" w:w="2079"/>
          </w:tcPr>
          <w:p>
            <w:pPr>
              <w:spacing w:after="40"/>
            </w:pPr>
            <w:r>
              <w:rPr>
                <w:sz w:val="17"/>
              </w:rPr>
            </w:r>
            <w:r>
              <w:rPr>
                <w:rFonts w:ascii="IBM Plex Sans" w:hAnsi="IBM Plex Sans" w:cs="IBM Plex Sans"/>
                <w:b w:val="0"/>
                <w:i w:val="0"/>
                <w:color w:val="161412"/>
                <w:sz w:val="17"/>
              </w:rPr>
              <w:t>Confirmación suave</w:t>
            </w:r>
          </w:p>
        </w:tc>
      </w:tr>
      <w:tr>
        <w:tc>
          <w:tcPr>
            <w:tcW w:type="dxa" w:w="2079"/>
          </w:tcPr>
          <w:p>
            <w:pPr>
              <w:spacing w:after="40"/>
            </w:pPr>
            <w:r>
              <w:rPr>
                <w:sz w:val="17"/>
              </w:rPr>
            </w:r>
            <w:r>
              <w:rPr>
                <w:rFonts w:ascii="IBM Plex Sans" w:hAnsi="IBM Plex Sans" w:cs="IBM Plex Sans"/>
                <w:b w:val="0"/>
                <w:i w:val="0"/>
                <w:color w:val="161412"/>
                <w:sz w:val="17"/>
              </w:rPr>
              <w:t>Operación completada</w:t>
            </w:r>
          </w:p>
        </w:tc>
        <w:tc>
          <w:tcPr>
            <w:tcW w:type="dxa" w:w="2079"/>
          </w:tcPr>
          <w:p>
            <w:pPr>
              <w:spacing w:after="40"/>
            </w:pPr>
            <w:r>
              <w:rPr>
                <w:sz w:val="17"/>
              </w:rPr>
            </w:r>
            <w:r>
              <w:rPr>
                <w:rFonts w:ascii="IBM Plex Sans" w:hAnsi="IBM Plex Sans" w:cs="IBM Plex Sans"/>
                <w:b w:val="0"/>
                <w:i w:val="0"/>
                <w:color w:val="161412"/>
                <w:sz w:val="17"/>
              </w:rPr>
              <w:t>Media-alta</w:t>
            </w:r>
          </w:p>
        </w:tc>
        <w:tc>
          <w:tcPr>
            <w:tcW w:type="dxa" w:w="2079"/>
          </w:tcPr>
          <w:p>
            <w:pPr>
              <w:spacing w:after="40"/>
            </w:pPr>
            <w:r>
              <w:rPr>
                <w:sz w:val="17"/>
              </w:rPr>
            </w:r>
            <w:r>
              <w:rPr>
                <w:rFonts w:ascii="IBM Plex Sans" w:hAnsi="IBM Plex Sans" w:cs="IBM Plex Sans"/>
                <w:b w:val="0"/>
                <w:i w:val="0"/>
                <w:color w:val="161412"/>
                <w:sz w:val="17"/>
              </w:rPr>
              <w:t>Baja</w:t>
            </w:r>
          </w:p>
        </w:tc>
        <w:tc>
          <w:tcPr>
            <w:tcW w:type="dxa" w:w="2079"/>
          </w:tcPr>
          <w:p>
            <w:pPr>
              <w:spacing w:after="40"/>
            </w:pPr>
            <w:r>
              <w:rPr>
                <w:sz w:val="17"/>
              </w:rPr>
            </w:r>
            <w:r>
              <w:rPr>
                <w:rFonts w:ascii="IBM Plex Sans" w:hAnsi="IBM Plex Sans" w:cs="IBM Plex Sans"/>
                <w:b w:val="0"/>
                <w:i w:val="0"/>
                <w:color w:val="161412"/>
                <w:sz w:val="17"/>
              </w:rPr>
              <w:t>Resolución perceptible</w:t>
            </w:r>
          </w:p>
        </w:tc>
      </w:tr>
      <w:tr>
        <w:tc>
          <w:tcPr>
            <w:tcW w:type="dxa" w:w="2079"/>
          </w:tcPr>
          <w:p>
            <w:pPr>
              <w:spacing w:after="40"/>
            </w:pPr>
            <w:r>
              <w:rPr>
                <w:sz w:val="17"/>
              </w:rPr>
            </w:r>
            <w:r>
              <w:rPr>
                <w:rFonts w:ascii="IBM Plex Sans" w:hAnsi="IBM Plex Sans" w:cs="IBM Plex Sans"/>
                <w:b w:val="0"/>
                <w:i w:val="0"/>
                <w:color w:val="161412"/>
                <w:sz w:val="17"/>
              </w:rPr>
              <w:t>Amenaza activa</w:t>
            </w:r>
          </w:p>
        </w:tc>
        <w:tc>
          <w:tcPr>
            <w:tcW w:type="dxa" w:w="2079"/>
          </w:tcPr>
          <w:p>
            <w:pPr>
              <w:spacing w:after="40"/>
            </w:pPr>
            <w:r>
              <w:rPr>
                <w:sz w:val="17"/>
              </w:rPr>
            </w:r>
            <w:r>
              <w:rPr>
                <w:rFonts w:ascii="IBM Plex Sans" w:hAnsi="IBM Plex Sans" w:cs="IBM Plex Sans"/>
                <w:b w:val="0"/>
                <w:i w:val="0"/>
                <w:color w:val="161412"/>
                <w:sz w:val="17"/>
              </w:rPr>
              <w:t>Alta</w:t>
            </w:r>
          </w:p>
        </w:tc>
        <w:tc>
          <w:tcPr>
            <w:tcW w:type="dxa" w:w="2079"/>
          </w:tcPr>
          <w:p>
            <w:pPr>
              <w:spacing w:after="40"/>
            </w:pPr>
            <w:r>
              <w:rPr>
                <w:sz w:val="17"/>
              </w:rPr>
            </w:r>
            <w:r>
              <w:rPr>
                <w:rFonts w:ascii="IBM Plex Sans" w:hAnsi="IBM Plex Sans" w:cs="IBM Plex Sans"/>
                <w:b w:val="0"/>
                <w:i w:val="0"/>
                <w:color w:val="161412"/>
                <w:sz w:val="17"/>
              </w:rPr>
              <w:t>Baja</w:t>
            </w:r>
          </w:p>
        </w:tc>
        <w:tc>
          <w:tcPr>
            <w:tcW w:type="dxa" w:w="2079"/>
          </w:tcPr>
          <w:p>
            <w:pPr>
              <w:spacing w:after="40"/>
            </w:pPr>
            <w:r>
              <w:rPr>
                <w:sz w:val="17"/>
              </w:rPr>
            </w:r>
            <w:r>
              <w:rPr>
                <w:rFonts w:ascii="IBM Plex Sans" w:hAnsi="IBM Plex Sans" w:cs="IBM Plex Sans"/>
                <w:b w:val="0"/>
                <w:i w:val="0"/>
                <w:color w:val="161412"/>
                <w:sz w:val="17"/>
              </w:rPr>
              <w:t>Interrupción justificada</w:t>
            </w:r>
          </w:p>
        </w:tc>
      </w:tr>
      <w:tr>
        <w:tc>
          <w:tcPr>
            <w:tcW w:type="dxa" w:w="2079"/>
          </w:tcPr>
          <w:p>
            <w:pPr>
              <w:spacing w:after="40"/>
            </w:pPr>
            <w:r>
              <w:rPr>
                <w:sz w:val="17"/>
              </w:rPr>
            </w:r>
            <w:r>
              <w:rPr>
                <w:rFonts w:ascii="IBM Plex Sans" w:hAnsi="IBM Plex Sans" w:cs="IBM Plex Sans"/>
                <w:b w:val="0"/>
                <w:i w:val="0"/>
                <w:color w:val="161412"/>
                <w:sz w:val="17"/>
              </w:rPr>
              <w:t>Pérdida consumada</w:t>
            </w:r>
          </w:p>
        </w:tc>
        <w:tc>
          <w:tcPr>
            <w:tcW w:type="dxa" w:w="2079"/>
          </w:tcPr>
          <w:p>
            <w:pPr>
              <w:spacing w:after="40"/>
            </w:pPr>
            <w:r>
              <w:rPr>
                <w:sz w:val="17"/>
              </w:rPr>
            </w:r>
            <w:r>
              <w:rPr>
                <w:rFonts w:ascii="IBM Plex Sans" w:hAnsi="IBM Plex Sans" w:cs="IBM Plex Sans"/>
                <w:b w:val="0"/>
                <w:i w:val="0"/>
                <w:color w:val="161412"/>
                <w:sz w:val="17"/>
              </w:rPr>
              <w:t>Alta, ya ocurrida</w:t>
            </w:r>
          </w:p>
        </w:tc>
        <w:tc>
          <w:tcPr>
            <w:tcW w:type="dxa" w:w="2079"/>
          </w:tcPr>
          <w:p>
            <w:pPr>
              <w:spacing w:after="40"/>
            </w:pPr>
            <w:r>
              <w:rPr>
                <w:sz w:val="17"/>
              </w:rPr>
            </w:r>
            <w:r>
              <w:rPr>
                <w:rFonts w:ascii="IBM Plex Sans" w:hAnsi="IBM Plex Sans" w:cs="IBM Plex Sans"/>
                <w:b w:val="0"/>
                <w:i w:val="0"/>
                <w:color w:val="161412"/>
                <w:sz w:val="17"/>
              </w:rPr>
              <w:t>Baja</w:t>
            </w:r>
          </w:p>
        </w:tc>
        <w:tc>
          <w:tcPr>
            <w:tcW w:type="dxa" w:w="2079"/>
          </w:tcPr>
          <w:p>
            <w:pPr>
              <w:spacing w:after="40"/>
            </w:pPr>
            <w:r>
              <w:rPr>
                <w:sz w:val="17"/>
              </w:rPr>
            </w:r>
            <w:r>
              <w:rPr>
                <w:rFonts w:ascii="IBM Plex Sans" w:hAnsi="IBM Plex Sans" w:cs="IBM Plex Sans"/>
                <w:b w:val="0"/>
                <w:i w:val="0"/>
                <w:color w:val="161412"/>
                <w:sz w:val="17"/>
              </w:rPr>
              <w:t>Gravedad sin alarma</w:t>
            </w:r>
          </w:p>
        </w:tc>
      </w:tr>
    </w:tbl>
    <w:p>
      <w:pPr>
        <w:spacing w:before="320" w:after="40"/>
      </w:pPr>
      <w:r>
        <w:rPr>
          <w:rFonts w:ascii="IBM Plex Sans" w:hAnsi="IBM Plex Sans" w:cs="IBM Plex Sans"/>
          <w:b/>
          <w:color w:val="1F3A5F"/>
          <w:sz w:val="18"/>
        </w:rPr>
        <w:t>§ 12</w:t>
      </w:r>
    </w:p>
    <w:p>
      <w:pPr>
        <w:spacing w:after="160" w:line="240" w:lineRule="auto"/>
      </w:pPr>
      <w:r>
        <w:rPr>
          <w:rFonts w:ascii="Newsreader" w:hAnsi="Newsreader" w:cs="Newsreader"/>
          <w:color w:val="161412"/>
          <w:sz w:val="38"/>
        </w:rPr>
        <w:t>Criterio 11: asimetría significativa</w:t>
      </w:r>
    </w:p>
    <w:p>
      <w:pPr>
        <w:spacing w:after="120" w:line="320" w:lineRule="auto"/>
        <w:jc w:val="both"/>
      </w:pPr>
      <w:r>
        <w:rPr>
          <w:rFonts w:ascii="Newsreader" w:hAnsi="Newsreader" w:cs="Newsreader"/>
          <w:b w:val="0"/>
          <w:i w:val="0"/>
          <w:color w:val="161412"/>
        </w:rPr>
        <w:t xml:space="preserve">La direccionalidad importa: abrir y cerrar no son el mismo evento con el signo cambiado, ni seleccionar equivale a deshacer una selección, ni eliminar es el espejo de restaurar. La asimetría es especialmente clara en semánticas como handle, donde pick, carry y drop no son fases equivalentes.</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Una salida no es siempre una entrada invertida. Puede tener otro significado, otra energía y otra consecuencia.</w:t>
      </w:r>
    </w:p>
    <w:p>
      <w:pPr>
        <w:spacing w:before="320" w:after="40"/>
      </w:pPr>
      <w:r>
        <w:rPr>
          <w:rFonts w:ascii="IBM Plex Sans" w:hAnsi="IBM Plex Sans" w:cs="IBM Plex Sans"/>
          <w:b/>
          <w:color w:val="1F3A5F"/>
          <w:sz w:val="18"/>
        </w:rPr>
        <w:t>§ 13</w:t>
      </w:r>
    </w:p>
    <w:p>
      <w:pPr>
        <w:spacing w:after="160" w:line="240" w:lineRule="auto"/>
      </w:pPr>
      <w:r>
        <w:rPr>
          <w:rFonts w:ascii="Newsreader" w:hAnsi="Newsreader" w:cs="Newsreader"/>
          <w:color w:val="161412"/>
          <w:sz w:val="38"/>
        </w:rPr>
        <w:t>Criterio 12: sobriedad y silencio</w:t>
      </w:r>
    </w:p>
    <w:p>
      <w:pPr>
        <w:spacing w:after="120" w:line="320" w:lineRule="auto"/>
        <w:jc w:val="both"/>
      </w:pPr>
      <w:r>
        <w:rPr>
          <w:rFonts w:ascii="Newsreader" w:hAnsi="Newsreader" w:cs="Newsreader"/>
          <w:b w:val="0"/>
          <w:i w:val="0"/>
          <w:color w:val="161412"/>
        </w:rPr>
        <w:t>No todo contacto necesita sonido. No toda confirmación necesita celebración. No toda espera necesita animación constante. Un sonido agradable una vez puede volverse insoportable cincuenta veces al día.</w:t>
      </w:r>
    </w:p>
    <w:p>
      <w:pPr>
        <w:spacing w:before="200" w:after="60"/>
        <w:jc w:val="center"/>
      </w:pPr>
      <w:r>
        <w:drawing>
          <wp:inline xmlns:a="http://schemas.openxmlformats.org/drawingml/2006/main" xmlns:pic="http://schemas.openxmlformats.org/drawingml/2006/picture">
            <wp:extent cx="5029200" cy="2304002"/>
            <wp:docPr id="45" name="Picture 45"/>
            <wp:cNvGraphicFramePr>
              <a:graphicFrameLocks noChangeAspect="1"/>
            </wp:cNvGraphicFramePr>
            <a:graphic>
              <a:graphicData uri="http://schemas.openxmlformats.org/drawingml/2006/picture">
                <pic:pic>
                  <pic:nvPicPr>
                    <pic:cNvPr id="0" name="figura-7-7.png"/>
                    <pic:cNvPicPr/>
                  </pic:nvPicPr>
                  <pic:blipFill>
                    <a:blip r:embed="rId53"/>
                    <a:stretch>
                      <a:fillRect/>
                    </a:stretch>
                  </pic:blipFill>
                  <pic:spPr>
                    <a:xfrm>
                      <a:off x="0" y="0"/>
                      <a:ext cx="5029200" cy="2304002"/>
                    </a:xfrm>
                    <a:prstGeom prst="rect"/>
                  </pic:spPr>
                </pic:pic>
              </a:graphicData>
            </a:graphic>
          </wp:inline>
        </w:drawing>
      </w:r>
    </w:p>
    <w:p>
      <w:pPr>
        <w:spacing w:before="320" w:after="40"/>
      </w:pPr>
      <w:r>
        <w:rPr>
          <w:rFonts w:ascii="IBM Plex Sans" w:hAnsi="IBM Plex Sans" w:cs="IBM Plex Sans"/>
          <w:b/>
          <w:color w:val="1F3A5F"/>
          <w:sz w:val="18"/>
        </w:rPr>
        <w:t>§ 14</w:t>
      </w:r>
    </w:p>
    <w:p>
      <w:pPr>
        <w:spacing w:after="160" w:line="240" w:lineRule="auto"/>
      </w:pPr>
      <w:r>
        <w:rPr>
          <w:rFonts w:ascii="Newsreader" w:hAnsi="Newsreader" w:cs="Newsreader"/>
          <w:color w:val="161412"/>
          <w:sz w:val="38"/>
        </w:rPr>
        <w:t>Criterio 13: posibilidad de validación</w:t>
      </w:r>
    </w:p>
    <w:p>
      <w:pPr>
        <w:spacing w:after="120" w:line="320" w:lineRule="auto"/>
        <w:jc w:val="both"/>
      </w:pPr>
      <w:r>
        <w:rPr>
          <w:rFonts w:ascii="Newsreader" w:hAnsi="Newsreader" w:cs="Newsreader"/>
          <w:b w:val="0"/>
          <w:i w:val="0"/>
          <w:color w:val="161412"/>
        </w:rPr>
        <w:t>Si una semántica está bien definida, deberíamos poder comprobar si ayuda. Si retrasamos el contacto, debería disminuir la sensación de agencia. Si usamos la misma firma para contacto y consolidación, deberían aumentar las dudas sobre si el estado quedó fijado. La validación convierte la semántica en hipótesis de diseño, no en opinión estética.</w:t>
      </w:r>
    </w:p>
    <w:p>
      <w:pPr>
        <w:spacing w:before="320" w:after="40"/>
      </w:pPr>
      <w:r>
        <w:rPr>
          <w:rFonts w:ascii="IBM Plex Sans" w:hAnsi="IBM Plex Sans" w:cs="IBM Plex Sans"/>
          <w:b/>
          <w:color w:val="1F3A5F"/>
          <w:sz w:val="18"/>
        </w:rPr>
        <w:t>§ 15</w:t>
      </w:r>
    </w:p>
    <w:p>
      <w:pPr>
        <w:spacing w:after="160" w:line="240" w:lineRule="auto"/>
      </w:pPr>
      <w:r>
        <w:rPr>
          <w:rFonts w:ascii="Newsreader" w:hAnsi="Newsreader" w:cs="Newsreader"/>
          <w:color w:val="161412"/>
          <w:sz w:val="38"/>
        </w:rPr>
        <w:t>Criterio 14: compatibilidad con accesibilidad</w:t>
      </w:r>
    </w:p>
    <w:p>
      <w:pPr>
        <w:spacing w:after="120" w:line="320" w:lineRule="auto"/>
        <w:jc w:val="both"/>
      </w:pPr>
      <w:r>
        <w:rPr>
          <w:rFonts w:ascii="Newsreader" w:hAnsi="Newsreader" w:cs="Newsreader"/>
          <w:b w:val="0"/>
          <w:i w:val="0"/>
          <w:color w:val="161412"/>
        </w:rPr>
        <w:t>Si la semántica desaparece al quitar un canal, era demasiado frágil. Un error no puede depender solo del rojo. Una alerta no puede depender solo del sonido. Una manipulación no puede depender solo de sombra si el contraste es pobre.</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La accesibilidad no solo adapta la interfaz. Revela si la semántica estaba bien distribuida.</w:t>
      </w:r>
    </w:p>
    <w:p>
      <w:pPr>
        <w:spacing w:before="320" w:after="40"/>
      </w:pPr>
      <w:r>
        <w:rPr>
          <w:rFonts w:ascii="IBM Plex Sans" w:hAnsi="IBM Plex Sans" w:cs="IBM Plex Sans"/>
          <w:b/>
          <w:color w:val="1F3A5F"/>
          <w:sz w:val="18"/>
        </w:rPr>
        <w:t>§ 16</w:t>
      </w:r>
    </w:p>
    <w:p>
      <w:pPr>
        <w:spacing w:after="160" w:line="240" w:lineRule="auto"/>
      </w:pPr>
      <w:r>
        <w:rPr>
          <w:rFonts w:ascii="Newsreader" w:hAnsi="Newsreader" w:cs="Newsreader"/>
          <w:color w:val="161412"/>
          <w:sz w:val="38"/>
        </w:rPr>
        <w:t>Matriz de decisión</w:t>
      </w:r>
    </w:p>
    <w:p>
      <w:pPr>
        <w:spacing w:after="200" w:before="40"/>
      </w:pPr>
      <w:r>
        <w:rPr>
          <w:rFonts w:ascii="IBM Plex Sans" w:hAnsi="IBM Plex Sans" w:cs="IBM Plex Sans"/>
          <w:b/>
          <w:color w:val="1F3A5F"/>
          <w:sz w:val="17"/>
        </w:rPr>
        <w:t xml:space="preserve">TABLA 7.2   </w:t>
      </w:r>
      <w:r>
        <w:rPr>
          <w:rFonts w:ascii="IBM Plex Sans" w:hAnsi="IBM Plex Sans" w:cs="IBM Plex Sans"/>
          <w:color w:val="3A352F"/>
          <w:sz w:val="18"/>
        </w:rPr>
        <w:t xml:space="preserve">Matriz para aceptar una interacción semántica</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CRITERIO</w:t>
            </w:r>
          </w:p>
        </w:tc>
        <w:tc>
          <w:tcPr>
            <w:tcW w:type="dxa" w:w="2772"/>
            <w:shd w:val="clear" w:color="auto" w:fill="EAE4D8"/>
          </w:tcPr>
          <w:p>
            <w:pPr>
              <w:spacing w:after="40"/>
            </w:pPr>
            <w:r>
              <w:rPr>
                <w:sz w:val="17"/>
              </w:rPr>
            </w:r>
            <w:r>
              <w:rPr>
                <w:rFonts w:ascii="IBM Plex Sans" w:hAnsi="IBM Plex Sans" w:cs="IBM Plex Sans"/>
                <w:b/>
                <w:i w:val="0"/>
                <w:color w:val="1F3A5F"/>
                <w:sz w:val="17"/>
              </w:rPr>
              <w:t>PREGUNTA</w:t>
            </w:r>
          </w:p>
        </w:tc>
        <w:tc>
          <w:tcPr>
            <w:tcW w:type="dxa" w:w="2772"/>
            <w:shd w:val="clear" w:color="auto" w:fill="EAE4D8"/>
          </w:tcPr>
          <w:p>
            <w:pPr>
              <w:spacing w:after="40"/>
            </w:pPr>
            <w:r>
              <w:rPr>
                <w:sz w:val="17"/>
              </w:rPr>
            </w:r>
            <w:r>
              <w:rPr>
                <w:rFonts w:ascii="IBM Plex Sans" w:hAnsi="IBM Plex Sans" w:cs="IBM Plex Sans"/>
                <w:b/>
                <w:i w:val="0"/>
                <w:color w:val="1F3A5F"/>
                <w:sz w:val="17"/>
              </w:rPr>
              <w:t>SI LA RESPUESTA ES NO…</w:t>
            </w:r>
          </w:p>
        </w:tc>
      </w:tr>
      <w:tr>
        <w:tc>
          <w:tcPr>
            <w:tcW w:type="dxa" w:w="2772"/>
          </w:tcPr>
          <w:p>
            <w:pPr>
              <w:spacing w:after="40"/>
            </w:pPr>
            <w:r>
              <w:rPr>
                <w:sz w:val="17"/>
              </w:rPr>
            </w:r>
            <w:r>
              <w:rPr>
                <w:rFonts w:ascii="IBM Plex Sans" w:hAnsi="IBM Plex Sans" w:cs="IBM Plex Sans"/>
                <w:b w:val="0"/>
                <w:i w:val="0"/>
                <w:color w:val="161412"/>
                <w:sz w:val="17"/>
              </w:rPr>
              <w:t>Relevancia</w:t>
            </w:r>
          </w:p>
        </w:tc>
        <w:tc>
          <w:tcPr>
            <w:tcW w:type="dxa" w:w="2772"/>
          </w:tcPr>
          <w:p>
            <w:pPr>
              <w:spacing w:after="40"/>
            </w:pPr>
            <w:r>
              <w:rPr>
                <w:sz w:val="17"/>
              </w:rPr>
            </w:r>
            <w:r>
              <w:rPr>
                <w:rFonts w:ascii="IBM Plex Sans" w:hAnsi="IBM Plex Sans" w:cs="IBM Plex Sans"/>
                <w:b w:val="0"/>
                <w:i w:val="0"/>
                <w:color w:val="161412"/>
                <w:sz w:val="17"/>
              </w:rPr>
              <w:t>¿Afecta a acción, atención o estado?</w:t>
            </w:r>
          </w:p>
        </w:tc>
        <w:tc>
          <w:tcPr>
            <w:tcW w:type="dxa" w:w="2772"/>
          </w:tcPr>
          <w:p>
            <w:pPr>
              <w:spacing w:after="40"/>
            </w:pPr>
            <w:r>
              <w:rPr>
                <w:sz w:val="17"/>
              </w:rPr>
            </w:r>
            <w:r>
              <w:rPr>
                <w:rFonts w:ascii="IBM Plex Sans" w:hAnsi="IBM Plex Sans" w:cs="IBM Plex Sans"/>
                <w:b w:val="0"/>
                <w:i w:val="0"/>
                <w:color w:val="161412"/>
                <w:sz w:val="17"/>
              </w:rPr>
              <w:t>Es variación local</w:t>
            </w:r>
          </w:p>
        </w:tc>
      </w:tr>
      <w:tr>
        <w:tc>
          <w:tcPr>
            <w:tcW w:type="dxa" w:w="2772"/>
          </w:tcPr>
          <w:p>
            <w:pPr>
              <w:spacing w:after="40"/>
            </w:pPr>
            <w:r>
              <w:rPr>
                <w:sz w:val="17"/>
              </w:rPr>
            </w:r>
            <w:r>
              <w:rPr>
                <w:rFonts w:ascii="IBM Plex Sans" w:hAnsi="IBM Plex Sans" w:cs="IBM Plex Sans"/>
                <w:b w:val="0"/>
                <w:i w:val="0"/>
                <w:color w:val="161412"/>
                <w:sz w:val="17"/>
              </w:rPr>
              <w:t>Recurrencia</w:t>
            </w:r>
          </w:p>
        </w:tc>
        <w:tc>
          <w:tcPr>
            <w:tcW w:type="dxa" w:w="2772"/>
          </w:tcPr>
          <w:p>
            <w:pPr>
              <w:spacing w:after="40"/>
            </w:pPr>
            <w:r>
              <w:rPr>
                <w:sz w:val="17"/>
              </w:rPr>
            </w:r>
            <w:r>
              <w:rPr>
                <w:rFonts w:ascii="IBM Plex Sans" w:hAnsi="IBM Plex Sans" w:cs="IBM Plex Sans"/>
                <w:b w:val="0"/>
                <w:i w:val="0"/>
                <w:color w:val="161412"/>
                <w:sz w:val="17"/>
              </w:rPr>
              <w:t>¿Aparece en distintos contextos?</w:t>
            </w:r>
          </w:p>
        </w:tc>
        <w:tc>
          <w:tcPr>
            <w:tcW w:type="dxa" w:w="2772"/>
          </w:tcPr>
          <w:p>
            <w:pPr>
              <w:spacing w:after="40"/>
            </w:pPr>
            <w:r>
              <w:rPr>
                <w:sz w:val="17"/>
              </w:rPr>
            </w:r>
            <w:r>
              <w:rPr>
                <w:rFonts w:ascii="IBM Plex Sans" w:hAnsi="IBM Plex Sans" w:cs="IBM Plex Sans"/>
                <w:b w:val="0"/>
                <w:i w:val="0"/>
                <w:color w:val="161412"/>
                <w:sz w:val="17"/>
              </w:rPr>
              <w:t>Es caso específico</w:t>
            </w:r>
          </w:p>
        </w:tc>
      </w:tr>
      <w:tr>
        <w:tc>
          <w:tcPr>
            <w:tcW w:type="dxa" w:w="2772"/>
          </w:tcPr>
          <w:p>
            <w:pPr>
              <w:spacing w:after="40"/>
            </w:pPr>
            <w:r>
              <w:rPr>
                <w:sz w:val="17"/>
              </w:rPr>
            </w:r>
            <w:r>
              <w:rPr>
                <w:rFonts w:ascii="IBM Plex Sans" w:hAnsi="IBM Plex Sans" w:cs="IBM Plex Sans"/>
                <w:b w:val="0"/>
                <w:i w:val="0"/>
                <w:color w:val="161412"/>
                <w:sz w:val="17"/>
              </w:rPr>
              <w:t>Diferenciabilidad</w:t>
            </w:r>
          </w:p>
        </w:tc>
        <w:tc>
          <w:tcPr>
            <w:tcW w:type="dxa" w:w="2772"/>
          </w:tcPr>
          <w:p>
            <w:pPr>
              <w:spacing w:after="40"/>
            </w:pPr>
            <w:r>
              <w:rPr>
                <w:sz w:val="17"/>
              </w:rPr>
            </w:r>
            <w:r>
              <w:rPr>
                <w:rFonts w:ascii="IBM Plex Sans" w:hAnsi="IBM Plex Sans" w:cs="IBM Plex Sans"/>
                <w:b w:val="0"/>
                <w:i w:val="0"/>
                <w:color w:val="161412"/>
                <w:sz w:val="17"/>
              </w:rPr>
              <w:t>¿Se distingue perceptivamente?</w:t>
            </w:r>
          </w:p>
        </w:tc>
        <w:tc>
          <w:tcPr>
            <w:tcW w:type="dxa" w:w="2772"/>
          </w:tcPr>
          <w:p>
            <w:pPr>
              <w:spacing w:after="40"/>
            </w:pPr>
            <w:r>
              <w:rPr>
                <w:sz w:val="17"/>
              </w:rPr>
            </w:r>
            <w:r>
              <w:rPr>
                <w:rFonts w:ascii="IBM Plex Sans" w:hAnsi="IBM Plex Sans" w:cs="IBM Plex Sans"/>
                <w:b w:val="0"/>
                <w:i w:val="0"/>
                <w:color w:val="161412"/>
                <w:sz w:val="17"/>
              </w:rPr>
              <w:t>Se fusiona con otra</w:t>
            </w:r>
          </w:p>
        </w:tc>
      </w:tr>
      <w:tr>
        <w:tc>
          <w:tcPr>
            <w:tcW w:type="dxa" w:w="2772"/>
          </w:tcPr>
          <w:p>
            <w:pPr>
              <w:spacing w:after="40"/>
            </w:pPr>
            <w:r>
              <w:rPr>
                <w:sz w:val="17"/>
              </w:rPr>
            </w:r>
            <w:r>
              <w:rPr>
                <w:rFonts w:ascii="IBM Plex Sans" w:hAnsi="IBM Plex Sans" w:cs="IBM Plex Sans"/>
                <w:b w:val="0"/>
                <w:i w:val="0"/>
                <w:color w:val="161412"/>
                <w:sz w:val="17"/>
              </w:rPr>
              <w:t>Estabilidad</w:t>
            </w:r>
          </w:p>
        </w:tc>
        <w:tc>
          <w:tcPr>
            <w:tcW w:type="dxa" w:w="2772"/>
          </w:tcPr>
          <w:p>
            <w:pPr>
              <w:spacing w:after="40"/>
            </w:pPr>
            <w:r>
              <w:rPr>
                <w:sz w:val="17"/>
              </w:rPr>
            </w:r>
            <w:r>
              <w:rPr>
                <w:rFonts w:ascii="IBM Plex Sans" w:hAnsi="IBM Plex Sans" w:cs="IBM Plex Sans"/>
                <w:b w:val="0"/>
                <w:i w:val="0"/>
                <w:color w:val="161412"/>
                <w:sz w:val="17"/>
              </w:rPr>
              <w:t>¿Mantiene significado bajo variación?</w:t>
            </w:r>
          </w:p>
        </w:tc>
        <w:tc>
          <w:tcPr>
            <w:tcW w:type="dxa" w:w="2772"/>
          </w:tcPr>
          <w:p>
            <w:pPr>
              <w:spacing w:after="40"/>
            </w:pPr>
            <w:r>
              <w:rPr>
                <w:sz w:val="17"/>
              </w:rPr>
            </w:r>
            <w:r>
              <w:rPr>
                <w:rFonts w:ascii="IBM Plex Sans" w:hAnsi="IBM Plex Sans" w:cs="IBM Plex Sans"/>
                <w:b w:val="0"/>
                <w:i w:val="0"/>
                <w:color w:val="161412"/>
                <w:sz w:val="17"/>
              </w:rPr>
              <w:t>Es receta o efecto</w:t>
            </w:r>
          </w:p>
        </w:tc>
      </w:tr>
      <w:tr>
        <w:tc>
          <w:tcPr>
            <w:tcW w:type="dxa" w:w="2772"/>
          </w:tcPr>
          <w:p>
            <w:pPr>
              <w:spacing w:after="40"/>
            </w:pPr>
            <w:r>
              <w:rPr>
                <w:sz w:val="17"/>
              </w:rPr>
            </w:r>
            <w:r>
              <w:rPr>
                <w:rFonts w:ascii="IBM Plex Sans" w:hAnsi="IBM Plex Sans" w:cs="IBM Plex Sans"/>
                <w:b w:val="0"/>
                <w:i w:val="0"/>
                <w:color w:val="161412"/>
                <w:sz w:val="17"/>
              </w:rPr>
              <w:t>Elasticidad</w:t>
            </w:r>
          </w:p>
        </w:tc>
        <w:tc>
          <w:tcPr>
            <w:tcW w:type="dxa" w:w="2772"/>
          </w:tcPr>
          <w:p>
            <w:pPr>
              <w:spacing w:after="40"/>
            </w:pPr>
            <w:r>
              <w:rPr>
                <w:sz w:val="17"/>
              </w:rPr>
            </w:r>
            <w:r>
              <w:rPr>
                <w:rFonts w:ascii="IBM Plex Sans" w:hAnsi="IBM Plex Sans" w:cs="IBM Plex Sans"/>
                <w:b w:val="0"/>
                <w:i w:val="0"/>
                <w:color w:val="161412"/>
                <w:sz w:val="17"/>
              </w:rPr>
              <w:t>¿Puede adaptarse a plataformas?</w:t>
            </w:r>
          </w:p>
        </w:tc>
        <w:tc>
          <w:tcPr>
            <w:tcW w:type="dxa" w:w="2772"/>
          </w:tcPr>
          <w:p>
            <w:pPr>
              <w:spacing w:after="40"/>
            </w:pPr>
            <w:r>
              <w:rPr>
                <w:sz w:val="17"/>
              </w:rPr>
            </w:r>
            <w:r>
              <w:rPr>
                <w:rFonts w:ascii="IBM Plex Sans" w:hAnsi="IBM Plex Sans" w:cs="IBM Plex Sans"/>
                <w:b w:val="0"/>
                <w:i w:val="0"/>
                <w:color w:val="161412"/>
                <w:sz w:val="17"/>
              </w:rPr>
              <w:t>Es demasiado rígida</w:t>
            </w:r>
          </w:p>
        </w:tc>
      </w:tr>
      <w:tr>
        <w:tc>
          <w:tcPr>
            <w:tcW w:type="dxa" w:w="2772"/>
          </w:tcPr>
          <w:p>
            <w:pPr>
              <w:spacing w:after="40"/>
            </w:pPr>
            <w:r>
              <w:rPr>
                <w:sz w:val="17"/>
              </w:rPr>
            </w:r>
            <w:r>
              <w:rPr>
                <w:rFonts w:ascii="IBM Plex Sans" w:hAnsi="IBM Plex Sans" w:cs="IBM Plex Sans"/>
                <w:b w:val="0"/>
                <w:i w:val="0"/>
                <w:color w:val="161412"/>
                <w:sz w:val="17"/>
              </w:rPr>
              <w:t>Economía</w:t>
            </w:r>
          </w:p>
        </w:tc>
        <w:tc>
          <w:tcPr>
            <w:tcW w:type="dxa" w:w="2772"/>
          </w:tcPr>
          <w:p>
            <w:pPr>
              <w:spacing w:after="40"/>
            </w:pPr>
            <w:r>
              <w:rPr>
                <w:sz w:val="17"/>
              </w:rPr>
            </w:r>
            <w:r>
              <w:rPr>
                <w:rFonts w:ascii="IBM Plex Sans" w:hAnsi="IBM Plex Sans" w:cs="IBM Plex Sans"/>
                <w:b w:val="0"/>
                <w:i w:val="0"/>
                <w:color w:val="161412"/>
                <w:sz w:val="17"/>
              </w:rPr>
              <w:t>¿Reduce ambigüedad?</w:t>
            </w:r>
          </w:p>
        </w:tc>
        <w:tc>
          <w:tcPr>
            <w:tcW w:type="dxa" w:w="2772"/>
          </w:tcPr>
          <w:p>
            <w:pPr>
              <w:spacing w:after="40"/>
            </w:pPr>
            <w:r>
              <w:rPr>
                <w:sz w:val="17"/>
              </w:rPr>
            </w:r>
            <w:r>
              <w:rPr>
                <w:rFonts w:ascii="IBM Plex Sans" w:hAnsi="IBM Plex Sans" w:cs="IBM Plex Sans"/>
                <w:b w:val="0"/>
                <w:i w:val="0"/>
                <w:color w:val="161412"/>
                <w:sz w:val="17"/>
              </w:rPr>
              <w:t>Añade ruido taxonómico</w:t>
            </w:r>
          </w:p>
        </w:tc>
      </w:tr>
      <w:tr>
        <w:tc>
          <w:tcPr>
            <w:tcW w:type="dxa" w:w="2772"/>
          </w:tcPr>
          <w:p>
            <w:pPr>
              <w:spacing w:after="40"/>
            </w:pPr>
            <w:r>
              <w:rPr>
                <w:sz w:val="17"/>
              </w:rPr>
            </w:r>
            <w:r>
              <w:rPr>
                <w:rFonts w:ascii="IBM Plex Sans" w:hAnsi="IBM Plex Sans" w:cs="IBM Plex Sans"/>
                <w:b w:val="0"/>
                <w:i w:val="0"/>
                <w:color w:val="161412"/>
                <w:sz w:val="17"/>
              </w:rPr>
              <w:t>Transversalidad</w:t>
            </w:r>
          </w:p>
        </w:tc>
        <w:tc>
          <w:tcPr>
            <w:tcW w:type="dxa" w:w="2772"/>
          </w:tcPr>
          <w:p>
            <w:pPr>
              <w:spacing w:after="40"/>
            </w:pPr>
            <w:r>
              <w:rPr>
                <w:sz w:val="17"/>
              </w:rPr>
            </w:r>
            <w:r>
              <w:rPr>
                <w:rFonts w:ascii="IBM Plex Sans" w:hAnsi="IBM Plex Sans" w:cs="IBM Plex Sans"/>
                <w:b w:val="0"/>
                <w:i w:val="0"/>
                <w:color w:val="161412"/>
                <w:sz w:val="17"/>
              </w:rPr>
              <w:t>¿Atraviesa componentes?</w:t>
            </w:r>
          </w:p>
        </w:tc>
        <w:tc>
          <w:tcPr>
            <w:tcW w:type="dxa" w:w="2772"/>
          </w:tcPr>
          <w:p>
            <w:pPr>
              <w:spacing w:after="40"/>
            </w:pPr>
            <w:r>
              <w:rPr>
                <w:sz w:val="17"/>
              </w:rPr>
            </w:r>
            <w:r>
              <w:rPr>
                <w:rFonts w:ascii="IBM Plex Sans" w:hAnsi="IBM Plex Sans" w:cs="IBM Plex Sans"/>
                <w:b w:val="0"/>
                <w:i w:val="0"/>
                <w:color w:val="161412"/>
                <w:sz w:val="17"/>
              </w:rPr>
              <w:t>Es patrón local</w:t>
            </w:r>
          </w:p>
        </w:tc>
      </w:tr>
      <w:tr>
        <w:tc>
          <w:tcPr>
            <w:tcW w:type="dxa" w:w="2772"/>
          </w:tcPr>
          <w:p>
            <w:pPr>
              <w:spacing w:after="40"/>
            </w:pPr>
            <w:r>
              <w:rPr>
                <w:sz w:val="17"/>
              </w:rPr>
            </w:r>
            <w:r>
              <w:rPr>
                <w:rFonts w:ascii="IBM Plex Sans" w:hAnsi="IBM Plex Sans" w:cs="IBM Plex Sans"/>
                <w:b w:val="0"/>
                <w:i w:val="0"/>
                <w:color w:val="161412"/>
                <w:sz w:val="17"/>
              </w:rPr>
              <w:t>Multicanalidad</w:t>
            </w:r>
          </w:p>
        </w:tc>
        <w:tc>
          <w:tcPr>
            <w:tcW w:type="dxa" w:w="2772"/>
          </w:tcPr>
          <w:p>
            <w:pPr>
              <w:spacing w:after="40"/>
            </w:pPr>
            <w:r>
              <w:rPr>
                <w:sz w:val="17"/>
              </w:rPr>
            </w:r>
            <w:r>
              <w:rPr>
                <w:rFonts w:ascii="IBM Plex Sans" w:hAnsi="IBM Plex Sans" w:cs="IBM Plex Sans"/>
                <w:b w:val="0"/>
                <w:i w:val="0"/>
                <w:color w:val="161412"/>
                <w:sz w:val="17"/>
              </w:rPr>
              <w:t>¿Puede migrar entre canales?</w:t>
            </w:r>
          </w:p>
        </w:tc>
        <w:tc>
          <w:tcPr>
            <w:tcW w:type="dxa" w:w="2772"/>
          </w:tcPr>
          <w:p>
            <w:pPr>
              <w:spacing w:after="40"/>
            </w:pPr>
            <w:r>
              <w:rPr>
                <w:sz w:val="17"/>
              </w:rPr>
            </w:r>
            <w:r>
              <w:rPr>
                <w:rFonts w:ascii="IBM Plex Sans" w:hAnsi="IBM Plex Sans" w:cs="IBM Plex Sans"/>
                <w:b w:val="0"/>
                <w:i w:val="0"/>
                <w:color w:val="161412"/>
                <w:sz w:val="17"/>
              </w:rPr>
              <w:t>Es frágil</w:t>
            </w:r>
          </w:p>
        </w:tc>
      </w:tr>
      <w:tr>
        <w:tc>
          <w:tcPr>
            <w:tcW w:type="dxa" w:w="2772"/>
          </w:tcPr>
          <w:p>
            <w:pPr>
              <w:spacing w:after="40"/>
            </w:pPr>
            <w:r>
              <w:rPr>
                <w:sz w:val="17"/>
              </w:rPr>
            </w:r>
            <w:r>
              <w:rPr>
                <w:rFonts w:ascii="IBM Plex Sans" w:hAnsi="IBM Plex Sans" w:cs="IBM Plex Sans"/>
                <w:b w:val="0"/>
                <w:i w:val="0"/>
                <w:color w:val="161412"/>
                <w:sz w:val="17"/>
              </w:rPr>
              <w:t>Composición</w:t>
            </w:r>
          </w:p>
        </w:tc>
        <w:tc>
          <w:tcPr>
            <w:tcW w:type="dxa" w:w="2772"/>
          </w:tcPr>
          <w:p>
            <w:pPr>
              <w:spacing w:after="40"/>
            </w:pPr>
            <w:r>
              <w:rPr>
                <w:sz w:val="17"/>
              </w:rPr>
            </w:r>
            <w:r>
              <w:rPr>
                <w:rFonts w:ascii="IBM Plex Sans" w:hAnsi="IBM Plex Sans" w:cs="IBM Plex Sans"/>
                <w:b w:val="0"/>
                <w:i w:val="0"/>
                <w:color w:val="161412"/>
                <w:sz w:val="17"/>
              </w:rPr>
              <w:t>¿Se combina sin confusión?</w:t>
            </w:r>
          </w:p>
        </w:tc>
        <w:tc>
          <w:tcPr>
            <w:tcW w:type="dxa" w:w="2772"/>
          </w:tcPr>
          <w:p>
            <w:pPr>
              <w:spacing w:after="40"/>
            </w:pPr>
            <w:r>
              <w:rPr>
                <w:sz w:val="17"/>
              </w:rPr>
            </w:r>
            <w:r>
              <w:rPr>
                <w:rFonts w:ascii="IBM Plex Sans" w:hAnsi="IBM Plex Sans" w:cs="IBM Plex Sans"/>
                <w:b w:val="0"/>
                <w:i w:val="0"/>
                <w:color w:val="161412"/>
                <w:sz w:val="17"/>
              </w:rPr>
              <w:t>Necesita mejores fronteras</w:t>
            </w:r>
          </w:p>
        </w:tc>
      </w:tr>
      <w:tr>
        <w:tc>
          <w:tcPr>
            <w:tcW w:type="dxa" w:w="2772"/>
          </w:tcPr>
          <w:p>
            <w:pPr>
              <w:spacing w:after="40"/>
            </w:pPr>
            <w:r>
              <w:rPr>
                <w:sz w:val="17"/>
              </w:rPr>
            </w:r>
            <w:r>
              <w:rPr>
                <w:rFonts w:ascii="IBM Plex Sans" w:hAnsi="IBM Plex Sans" w:cs="IBM Plex Sans"/>
                <w:b w:val="0"/>
                <w:i w:val="0"/>
                <w:color w:val="161412"/>
                <w:sz w:val="17"/>
              </w:rPr>
              <w:t>Proporción</w:t>
            </w:r>
          </w:p>
        </w:tc>
        <w:tc>
          <w:tcPr>
            <w:tcW w:type="dxa" w:w="2772"/>
          </w:tcPr>
          <w:p>
            <w:pPr>
              <w:spacing w:after="40"/>
            </w:pPr>
            <w:r>
              <w:rPr>
                <w:sz w:val="17"/>
              </w:rPr>
            </w:r>
            <w:r>
              <w:rPr>
                <w:rFonts w:ascii="IBM Plex Sans" w:hAnsi="IBM Plex Sans" w:cs="IBM Plex Sans"/>
                <w:b w:val="0"/>
                <w:i w:val="0"/>
                <w:color w:val="161412"/>
                <w:sz w:val="17"/>
              </w:rPr>
              <w:t>¿Intensidad corresponde al evento?</w:t>
            </w:r>
          </w:p>
        </w:tc>
        <w:tc>
          <w:tcPr>
            <w:tcW w:type="dxa" w:w="2772"/>
          </w:tcPr>
          <w:p>
            <w:pPr>
              <w:spacing w:after="40"/>
            </w:pPr>
            <w:r>
              <w:rPr>
                <w:sz w:val="17"/>
              </w:rPr>
            </w:r>
            <w:r>
              <w:rPr>
                <w:rFonts w:ascii="IBM Plex Sans" w:hAnsi="IBM Plex Sans" w:cs="IBM Plex Sans"/>
                <w:b w:val="0"/>
                <w:i w:val="0"/>
                <w:color w:val="161412"/>
                <w:sz w:val="17"/>
              </w:rPr>
              <w:t>Puede fatigar o trivializar</w:t>
            </w:r>
          </w:p>
        </w:tc>
      </w:tr>
      <w:tr>
        <w:tc>
          <w:tcPr>
            <w:tcW w:type="dxa" w:w="2772"/>
          </w:tcPr>
          <w:p>
            <w:pPr>
              <w:spacing w:after="40"/>
            </w:pPr>
            <w:r>
              <w:rPr>
                <w:sz w:val="17"/>
              </w:rPr>
            </w:r>
            <w:r>
              <w:rPr>
                <w:rFonts w:ascii="IBM Plex Sans" w:hAnsi="IBM Plex Sans" w:cs="IBM Plex Sans"/>
                <w:b w:val="0"/>
                <w:i w:val="0"/>
                <w:color w:val="161412"/>
                <w:sz w:val="17"/>
              </w:rPr>
              <w:t>Sobriedad</w:t>
            </w:r>
          </w:p>
        </w:tc>
        <w:tc>
          <w:tcPr>
            <w:tcW w:type="dxa" w:w="2772"/>
          </w:tcPr>
          <w:p>
            <w:pPr>
              <w:spacing w:after="40"/>
            </w:pPr>
            <w:r>
              <w:rPr>
                <w:sz w:val="17"/>
              </w:rPr>
            </w:r>
            <w:r>
              <w:rPr>
                <w:rFonts w:ascii="IBM Plex Sans" w:hAnsi="IBM Plex Sans" w:cs="IBM Plex Sans"/>
                <w:b w:val="0"/>
                <w:i w:val="0"/>
                <w:color w:val="161412"/>
                <w:sz w:val="17"/>
              </w:rPr>
              <w:t>¿Sabe cuándo callar?</w:t>
            </w:r>
          </w:p>
        </w:tc>
        <w:tc>
          <w:tcPr>
            <w:tcW w:type="dxa" w:w="2772"/>
          </w:tcPr>
          <w:p>
            <w:pPr>
              <w:spacing w:after="40"/>
            </w:pPr>
            <w:r>
              <w:rPr>
                <w:sz w:val="17"/>
              </w:rPr>
            </w:r>
            <w:r>
              <w:rPr>
                <w:rFonts w:ascii="IBM Plex Sans" w:hAnsi="IBM Plex Sans" w:cs="IBM Plex Sans"/>
                <w:b w:val="0"/>
                <w:i w:val="0"/>
                <w:color w:val="161412"/>
                <w:sz w:val="17"/>
              </w:rPr>
              <w:t>Puede sobreestimular</w:t>
            </w:r>
          </w:p>
        </w:tc>
      </w:tr>
      <w:tr>
        <w:tc>
          <w:tcPr>
            <w:tcW w:type="dxa" w:w="2772"/>
          </w:tcPr>
          <w:p>
            <w:pPr>
              <w:spacing w:after="40"/>
            </w:pPr>
            <w:r>
              <w:rPr>
                <w:sz w:val="17"/>
              </w:rPr>
            </w:r>
            <w:r>
              <w:rPr>
                <w:rFonts w:ascii="IBM Plex Sans" w:hAnsi="IBM Plex Sans" w:cs="IBM Plex Sans"/>
                <w:b w:val="0"/>
                <w:i w:val="0"/>
                <w:color w:val="161412"/>
                <w:sz w:val="17"/>
              </w:rPr>
              <w:t>Validación</w:t>
            </w:r>
          </w:p>
        </w:tc>
        <w:tc>
          <w:tcPr>
            <w:tcW w:type="dxa" w:w="2772"/>
          </w:tcPr>
          <w:p>
            <w:pPr>
              <w:spacing w:after="40"/>
            </w:pPr>
            <w:r>
              <w:rPr>
                <w:sz w:val="17"/>
              </w:rPr>
            </w:r>
            <w:r>
              <w:rPr>
                <w:rFonts w:ascii="IBM Plex Sans" w:hAnsi="IBM Plex Sans" w:cs="IBM Plex Sans"/>
                <w:b w:val="0"/>
                <w:i w:val="0"/>
                <w:color w:val="161412"/>
                <w:sz w:val="17"/>
              </w:rPr>
              <w:t>¿Produce predicciones observables?</w:t>
            </w:r>
          </w:p>
        </w:tc>
        <w:tc>
          <w:tcPr>
            <w:tcW w:type="dxa" w:w="2772"/>
          </w:tcPr>
          <w:p>
            <w:pPr>
              <w:spacing w:after="40"/>
            </w:pPr>
            <w:r>
              <w:rPr>
                <w:sz w:val="17"/>
              </w:rPr>
            </w:r>
            <w:r>
              <w:rPr>
                <w:rFonts w:ascii="IBM Plex Sans" w:hAnsi="IBM Plex Sans" w:cs="IBM Plex Sans"/>
                <w:b w:val="0"/>
                <w:i w:val="0"/>
                <w:color w:val="161412"/>
                <w:sz w:val="17"/>
              </w:rPr>
              <w:t>Es opinión difícil de evaluar</w:t>
            </w:r>
          </w:p>
        </w:tc>
      </w:tr>
      <w:tr>
        <w:tc>
          <w:tcPr>
            <w:tcW w:type="dxa" w:w="2772"/>
          </w:tcPr>
          <w:p>
            <w:pPr>
              <w:spacing w:after="40"/>
            </w:pPr>
            <w:r>
              <w:rPr>
                <w:sz w:val="17"/>
              </w:rPr>
            </w:r>
            <w:r>
              <w:rPr>
                <w:rFonts w:ascii="IBM Plex Sans" w:hAnsi="IBM Plex Sans" w:cs="IBM Plex Sans"/>
                <w:b w:val="0"/>
                <w:i w:val="0"/>
                <w:color w:val="161412"/>
                <w:sz w:val="17"/>
              </w:rPr>
              <w:t>Accesibilidad</w:t>
            </w:r>
          </w:p>
        </w:tc>
        <w:tc>
          <w:tcPr>
            <w:tcW w:type="dxa" w:w="2772"/>
          </w:tcPr>
          <w:p>
            <w:pPr>
              <w:spacing w:after="40"/>
            </w:pPr>
            <w:r>
              <w:rPr>
                <w:sz w:val="17"/>
              </w:rPr>
            </w:r>
            <w:r>
              <w:rPr>
                <w:rFonts w:ascii="IBM Plex Sans" w:hAnsi="IBM Plex Sans" w:cs="IBM Plex Sans"/>
                <w:b w:val="0"/>
                <w:i w:val="0"/>
                <w:color w:val="161412"/>
                <w:sz w:val="17"/>
              </w:rPr>
              <w:t>¿Sobrevive a reducción de canal?</w:t>
            </w:r>
          </w:p>
        </w:tc>
        <w:tc>
          <w:tcPr>
            <w:tcW w:type="dxa" w:w="2772"/>
          </w:tcPr>
          <w:p>
            <w:pPr>
              <w:spacing w:after="40"/>
            </w:pPr>
            <w:r>
              <w:rPr>
                <w:sz w:val="17"/>
              </w:rPr>
            </w:r>
            <w:r>
              <w:rPr>
                <w:rFonts w:ascii="IBM Plex Sans" w:hAnsi="IBM Plex Sans" w:cs="IBM Plex Sans"/>
                <w:b w:val="0"/>
                <w:i w:val="0"/>
                <w:color w:val="161412"/>
                <w:sz w:val="17"/>
              </w:rPr>
              <w:t>No está completa</w:t>
            </w:r>
          </w:p>
        </w:tc>
      </w:tr>
    </w:tbl>
    <w:p>
      <w:pPr>
        <w:spacing w:before="320" w:after="40"/>
      </w:pPr>
      <w:r>
        <w:rPr>
          <w:rFonts w:ascii="IBM Plex Sans" w:hAnsi="IBM Plex Sans" w:cs="IBM Plex Sans"/>
          <w:b/>
          <w:color w:val="1F3A5F"/>
          <w:sz w:val="18"/>
        </w:rPr>
        <w:t>§ 17</w:t>
      </w:r>
    </w:p>
    <w:p>
      <w:pPr>
        <w:spacing w:after="160" w:line="240" w:lineRule="auto"/>
      </w:pPr>
      <w:r>
        <w:rPr>
          <w:rFonts w:ascii="Newsreader" w:hAnsi="Newsreader" w:cs="Newsreader"/>
          <w:color w:val="161412"/>
          <w:sz w:val="38"/>
        </w:rPr>
        <w:t>Tres ejemplos</w:t>
      </w:r>
    </w:p>
    <w:p>
      <w:pPr>
        <w:spacing w:after="120" w:line="320" w:lineRule="auto"/>
        <w:jc w:val="both"/>
      </w:pPr>
      <w:r>
        <w:rPr>
          <w:rFonts w:ascii="Newsreader" w:hAnsi="Newsreader" w:cs="Newsreader"/>
          <w:b w:val="0"/>
          <w:i w:val="0"/>
          <w:color w:val="161412"/>
        </w:rPr>
        <w:t>Selection: sí merece semántica, como commit.select. Fija estado persistente, tiene recurrencia alta, se diferencia de contacto, acepta intent.</w:t>
      </w:r>
    </w:p>
    <w:p>
      <w:pPr>
        <w:spacing w:after="120" w:line="320" w:lineRule="auto"/>
        <w:jc w:val="both"/>
      </w:pPr>
      <w:r>
        <w:rPr>
          <w:rFonts w:ascii="Newsreader" w:hAnsi="Newsreader" w:cs="Newsreader"/>
          <w:b w:val="0"/>
          <w:i w:val="0"/>
          <w:color w:val="161412"/>
        </w:rPr>
        <w:t>Hover: no como semántica propia. Estado de disponibilidad con relevancia operativa limitada, salvo que revele evento.</w:t>
      </w:r>
    </w:p>
    <w:p>
      <w:pPr>
        <w:spacing w:after="120" w:line="320" w:lineRule="auto"/>
        <w:jc w:val="both"/>
      </w:pPr>
      <w:r>
        <w:rPr>
          <w:rFonts w:ascii="Newsreader" w:hAnsi="Newsreader" w:cs="Newsreader"/>
          <w:b w:val="0"/>
          <w:i w:val="0"/>
          <w:color w:val="161412"/>
        </w:rPr>
        <w:t>Manipulation: sí, como handle. Evento continuo irreducible con estructura pick/carry/drop, alta transversalidad y multicanalidad.</w:t>
      </w:r>
    </w:p>
    <w:p>
      <w:pPr>
        <w:spacing w:before="200" w:after="60"/>
        <w:jc w:val="center"/>
      </w:pPr>
      <w:r>
        <w:drawing>
          <wp:inline xmlns:a="http://schemas.openxmlformats.org/drawingml/2006/main" xmlns:pic="http://schemas.openxmlformats.org/drawingml/2006/picture">
            <wp:extent cx="5029200" cy="2376297"/>
            <wp:docPr id="46" name="Picture 46"/>
            <wp:cNvGraphicFramePr>
              <a:graphicFrameLocks noChangeAspect="1"/>
            </wp:cNvGraphicFramePr>
            <a:graphic>
              <a:graphicData uri="http://schemas.openxmlformats.org/drawingml/2006/picture">
                <pic:pic>
                  <pic:nvPicPr>
                    <pic:cNvPr id="0" name="figura-7-8.png"/>
                    <pic:cNvPicPr/>
                  </pic:nvPicPr>
                  <pic:blipFill>
                    <a:blip r:embed="rId54"/>
                    <a:stretch>
                      <a:fillRect/>
                    </a:stretch>
                  </pic:blipFill>
                  <pic:spPr>
                    <a:xfrm>
                      <a:off x="0" y="0"/>
                      <a:ext cx="5029200" cy="2376297"/>
                    </a:xfrm>
                    <a:prstGeom prst="rect"/>
                  </pic:spPr>
                </pic:pic>
              </a:graphicData>
            </a:graphic>
          </wp:inline>
        </w:drawing>
      </w:r>
    </w:p>
    <w:p>
      <w:pPr>
        <w:spacing w:before="320" w:after="40"/>
      </w:pPr>
      <w:r>
        <w:rPr>
          <w:rFonts w:ascii="IBM Plex Sans" w:hAnsi="IBM Plex Sans" w:cs="IBM Plex Sans"/>
          <w:b/>
          <w:color w:val="1F3A5F"/>
          <w:sz w:val="18"/>
        </w:rPr>
        <w:t>§ 18</w:t>
      </w:r>
    </w:p>
    <w:p>
      <w:pPr>
        <w:spacing w:after="160" w:line="240" w:lineRule="auto"/>
      </w:pPr>
      <w:r>
        <w:rPr>
          <w:rFonts w:ascii="Newsreader" w:hAnsi="Newsreader" w:cs="Newsreader"/>
          <w:color w:val="161412"/>
          <w:sz w:val="38"/>
        </w:rPr>
        <w:t>Resumen operativo</w:t>
      </w:r>
    </w:p>
    <w:p>
      <w:pPr>
        <w:spacing w:after="120" w:line="320" w:lineRule="auto"/>
        <w:jc w:val="both"/>
      </w:pPr>
      <w:r>
        <w:rPr>
          <w:rFonts w:ascii="Newsreader" w:hAnsi="Newsreader" w:cs="Newsreader"/>
          <w:b w:val="0"/>
          <w:i w:val="0"/>
          <w:color w:val="161412"/>
        </w:rPr>
        <w:t>Una diferencia debe convertirse en interacción semántica solo cuando ayuda de forma recurrente, perceptible y proporcional a comprender un evento operativo.</w:t>
      </w:r>
    </w:p>
    <w:p>
      <w:pPr>
        <w:spacing w:before="320" w:after="40"/>
      </w:pPr>
      <w:r>
        <w:rPr>
          <w:rFonts w:ascii="IBM Plex Sans" w:hAnsi="IBM Plex Sans" w:cs="IBM Plex Sans"/>
          <w:b/>
          <w:color w:val="1F3A5F"/>
          <w:sz w:val="18"/>
        </w:rPr>
        <w:t>§ 19</w:t>
      </w:r>
    </w:p>
    <w:p>
      <w:pPr>
        <w:spacing w:after="160" w:line="240" w:lineRule="auto"/>
      </w:pPr>
      <w:r>
        <w:rPr>
          <w:rFonts w:ascii="Newsreader" w:hAnsi="Newsreader" w:cs="Newsreader"/>
          <w:color w:val="161412"/>
          <w:sz w:val="38"/>
        </w:rPr>
        <w:t>Síntesis</w:t>
      </w:r>
    </w:p>
    <w:p>
      <w:pPr>
        <w:spacing w:after="200" w:before="40"/>
      </w:pPr>
      <w:r>
        <w:rPr>
          <w:rFonts w:ascii="IBM Plex Sans" w:hAnsi="IBM Plex Sans" w:cs="IBM Plex Sans"/>
          <w:b/>
          <w:color w:val="1F3A5F"/>
          <w:sz w:val="17"/>
        </w:rPr>
        <w:t xml:space="preserve">TABLA 7.3   </w:t>
      </w:r>
      <w:r>
        <w:rPr>
          <w:rFonts w:ascii="IBM Plex Sans" w:hAnsi="IBM Plex Sans" w:cs="IBM Plex Sans"/>
          <w:color w:val="3A352F"/>
          <w:sz w:val="18"/>
        </w:rPr>
        <w:t xml:space="preserve">Síntesis de criterios</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CRITERIO</w:t>
            </w:r>
          </w:p>
        </w:tc>
        <w:tc>
          <w:tcPr>
            <w:tcW w:type="dxa" w:w="4158"/>
            <w:shd w:val="clear" w:color="auto" w:fill="EAE4D8"/>
          </w:tcPr>
          <w:p>
            <w:pPr>
              <w:spacing w:after="40"/>
            </w:pPr>
            <w:r>
              <w:rPr>
                <w:sz w:val="17"/>
              </w:rPr>
            </w:r>
            <w:r>
              <w:rPr>
                <w:rFonts w:ascii="IBM Plex Sans" w:hAnsi="IBM Plex Sans" w:cs="IBM Plex Sans"/>
                <w:b/>
                <w:i w:val="0"/>
                <w:color w:val="1F3A5F"/>
                <w:sz w:val="17"/>
              </w:rPr>
              <w:t>FUNCIÓN</w:t>
            </w:r>
          </w:p>
        </w:tc>
      </w:tr>
      <w:tr>
        <w:tc>
          <w:tcPr>
            <w:tcW w:type="dxa" w:w="4158"/>
          </w:tcPr>
          <w:p>
            <w:pPr>
              <w:spacing w:after="40"/>
            </w:pPr>
            <w:r>
              <w:rPr>
                <w:sz w:val="17"/>
              </w:rPr>
            </w:r>
            <w:r>
              <w:rPr>
                <w:rFonts w:ascii="IBM Plex Sans" w:hAnsi="IBM Plex Sans" w:cs="IBM Plex Sans"/>
                <w:b w:val="0"/>
                <w:i w:val="0"/>
                <w:color w:val="161412"/>
                <w:sz w:val="17"/>
              </w:rPr>
              <w:t>Relevancia operativa</w:t>
            </w:r>
          </w:p>
        </w:tc>
        <w:tc>
          <w:tcPr>
            <w:tcW w:type="dxa" w:w="4158"/>
          </w:tcPr>
          <w:p>
            <w:pPr>
              <w:spacing w:after="40"/>
            </w:pPr>
            <w:r>
              <w:rPr>
                <w:sz w:val="17"/>
              </w:rPr>
            </w:r>
            <w:r>
              <w:rPr>
                <w:rFonts w:ascii="IBM Plex Sans" w:hAnsi="IBM Plex Sans" w:cs="IBM Plex Sans"/>
                <w:b w:val="0"/>
                <w:i w:val="0"/>
                <w:color w:val="161412"/>
                <w:sz w:val="17"/>
              </w:rPr>
              <w:t>Asegura que la diferencia importa</w:t>
            </w:r>
          </w:p>
        </w:tc>
      </w:tr>
      <w:tr>
        <w:tc>
          <w:tcPr>
            <w:tcW w:type="dxa" w:w="4158"/>
          </w:tcPr>
          <w:p>
            <w:pPr>
              <w:spacing w:after="40"/>
            </w:pPr>
            <w:r>
              <w:rPr>
                <w:sz w:val="17"/>
              </w:rPr>
            </w:r>
            <w:r>
              <w:rPr>
                <w:rFonts w:ascii="IBM Plex Sans" w:hAnsi="IBM Plex Sans" w:cs="IBM Plex Sans"/>
                <w:b w:val="0"/>
                <w:i w:val="0"/>
                <w:color w:val="161412"/>
                <w:sz w:val="17"/>
              </w:rPr>
              <w:t>Recurrencia</w:t>
            </w:r>
          </w:p>
        </w:tc>
        <w:tc>
          <w:tcPr>
            <w:tcW w:type="dxa" w:w="4158"/>
          </w:tcPr>
          <w:p>
            <w:pPr>
              <w:spacing w:after="40"/>
            </w:pPr>
            <w:r>
              <w:rPr>
                <w:sz w:val="17"/>
              </w:rPr>
            </w:r>
            <w:r>
              <w:rPr>
                <w:rFonts w:ascii="IBM Plex Sans" w:hAnsi="IBM Plex Sans" w:cs="IBM Plex Sans"/>
                <w:b w:val="0"/>
                <w:i w:val="0"/>
                <w:color w:val="161412"/>
                <w:sz w:val="17"/>
              </w:rPr>
              <w:t>Evita categorías demasiado locales</w:t>
            </w:r>
          </w:p>
        </w:tc>
      </w:tr>
      <w:tr>
        <w:tc>
          <w:tcPr>
            <w:tcW w:type="dxa" w:w="4158"/>
          </w:tcPr>
          <w:p>
            <w:pPr>
              <w:spacing w:after="40"/>
            </w:pPr>
            <w:r>
              <w:rPr>
                <w:sz w:val="17"/>
              </w:rPr>
            </w:r>
            <w:r>
              <w:rPr>
                <w:rFonts w:ascii="IBM Plex Sans" w:hAnsi="IBM Plex Sans" w:cs="IBM Plex Sans"/>
                <w:b w:val="0"/>
                <w:i w:val="0"/>
                <w:color w:val="161412"/>
                <w:sz w:val="17"/>
              </w:rPr>
              <w:t>Diferenciabilidad</w:t>
            </w:r>
          </w:p>
        </w:tc>
        <w:tc>
          <w:tcPr>
            <w:tcW w:type="dxa" w:w="4158"/>
          </w:tcPr>
          <w:p>
            <w:pPr>
              <w:spacing w:after="40"/>
            </w:pPr>
            <w:r>
              <w:rPr>
                <w:sz w:val="17"/>
              </w:rPr>
            </w:r>
            <w:r>
              <w:rPr>
                <w:rFonts w:ascii="IBM Plex Sans" w:hAnsi="IBM Plex Sans" w:cs="IBM Plex Sans"/>
                <w:b w:val="0"/>
                <w:i w:val="0"/>
                <w:color w:val="161412"/>
                <w:sz w:val="17"/>
              </w:rPr>
              <w:t>Garantiza que pueda percibirse</w:t>
            </w:r>
          </w:p>
        </w:tc>
      </w:tr>
      <w:tr>
        <w:tc>
          <w:tcPr>
            <w:tcW w:type="dxa" w:w="4158"/>
          </w:tcPr>
          <w:p>
            <w:pPr>
              <w:spacing w:after="40"/>
            </w:pPr>
            <w:r>
              <w:rPr>
                <w:sz w:val="17"/>
              </w:rPr>
            </w:r>
            <w:r>
              <w:rPr>
                <w:rFonts w:ascii="IBM Plex Sans" w:hAnsi="IBM Plex Sans" w:cs="IBM Plex Sans"/>
                <w:b w:val="0"/>
                <w:i w:val="0"/>
                <w:color w:val="161412"/>
                <w:sz w:val="17"/>
              </w:rPr>
              <w:t>Estabilidad</w:t>
            </w:r>
          </w:p>
        </w:tc>
        <w:tc>
          <w:tcPr>
            <w:tcW w:type="dxa" w:w="4158"/>
          </w:tcPr>
          <w:p>
            <w:pPr>
              <w:spacing w:after="40"/>
            </w:pPr>
            <w:r>
              <w:rPr>
                <w:sz w:val="17"/>
              </w:rPr>
            </w:r>
            <w:r>
              <w:rPr>
                <w:rFonts w:ascii="IBM Plex Sans" w:hAnsi="IBM Plex Sans" w:cs="IBM Plex Sans"/>
                <w:b w:val="0"/>
                <w:i w:val="0"/>
                <w:color w:val="161412"/>
                <w:sz w:val="17"/>
              </w:rPr>
              <w:t>Permite aprendizaje</w:t>
            </w:r>
          </w:p>
        </w:tc>
      </w:tr>
      <w:tr>
        <w:tc>
          <w:tcPr>
            <w:tcW w:type="dxa" w:w="4158"/>
          </w:tcPr>
          <w:p>
            <w:pPr>
              <w:spacing w:after="40"/>
            </w:pPr>
            <w:r>
              <w:rPr>
                <w:sz w:val="17"/>
              </w:rPr>
            </w:r>
            <w:r>
              <w:rPr>
                <w:rFonts w:ascii="IBM Plex Sans" w:hAnsi="IBM Plex Sans" w:cs="IBM Plex Sans"/>
                <w:b w:val="0"/>
                <w:i w:val="0"/>
                <w:color w:val="161412"/>
                <w:sz w:val="17"/>
              </w:rPr>
              <w:t>Elasticidad</w:t>
            </w:r>
          </w:p>
        </w:tc>
        <w:tc>
          <w:tcPr>
            <w:tcW w:type="dxa" w:w="4158"/>
          </w:tcPr>
          <w:p>
            <w:pPr>
              <w:spacing w:after="40"/>
            </w:pPr>
            <w:r>
              <w:rPr>
                <w:sz w:val="17"/>
              </w:rPr>
            </w:r>
            <w:r>
              <w:rPr>
                <w:rFonts w:ascii="IBM Plex Sans" w:hAnsi="IBM Plex Sans" w:cs="IBM Plex Sans"/>
                <w:b w:val="0"/>
                <w:i w:val="0"/>
                <w:color w:val="161412"/>
                <w:sz w:val="17"/>
              </w:rPr>
              <w:t>Permite adaptación</w:t>
            </w:r>
          </w:p>
        </w:tc>
      </w:tr>
      <w:tr>
        <w:tc>
          <w:tcPr>
            <w:tcW w:type="dxa" w:w="4158"/>
          </w:tcPr>
          <w:p>
            <w:pPr>
              <w:spacing w:after="40"/>
            </w:pPr>
            <w:r>
              <w:rPr>
                <w:sz w:val="17"/>
              </w:rPr>
            </w:r>
            <w:r>
              <w:rPr>
                <w:rFonts w:ascii="IBM Plex Sans" w:hAnsi="IBM Plex Sans" w:cs="IBM Plex Sans"/>
                <w:b w:val="0"/>
                <w:i w:val="0"/>
                <w:color w:val="161412"/>
                <w:sz w:val="17"/>
              </w:rPr>
              <w:t>Economía cognitiva</w:t>
            </w:r>
          </w:p>
        </w:tc>
        <w:tc>
          <w:tcPr>
            <w:tcW w:type="dxa" w:w="4158"/>
          </w:tcPr>
          <w:p>
            <w:pPr>
              <w:spacing w:after="40"/>
            </w:pPr>
            <w:r>
              <w:rPr>
                <w:sz w:val="17"/>
              </w:rPr>
            </w:r>
            <w:r>
              <w:rPr>
                <w:rFonts w:ascii="IBM Plex Sans" w:hAnsi="IBM Plex Sans" w:cs="IBM Plex Sans"/>
                <w:b w:val="0"/>
                <w:i w:val="0"/>
                <w:color w:val="161412"/>
                <w:sz w:val="17"/>
              </w:rPr>
              <w:t>Evita ruido taxonómico</w:t>
            </w:r>
          </w:p>
        </w:tc>
      </w:tr>
      <w:tr>
        <w:tc>
          <w:tcPr>
            <w:tcW w:type="dxa" w:w="4158"/>
          </w:tcPr>
          <w:p>
            <w:pPr>
              <w:spacing w:after="40"/>
            </w:pPr>
            <w:r>
              <w:rPr>
                <w:sz w:val="17"/>
              </w:rPr>
            </w:r>
            <w:r>
              <w:rPr>
                <w:rFonts w:ascii="IBM Plex Sans" w:hAnsi="IBM Plex Sans" w:cs="IBM Plex Sans"/>
                <w:b w:val="0"/>
                <w:i w:val="0"/>
                <w:color w:val="161412"/>
                <w:sz w:val="17"/>
              </w:rPr>
              <w:t>Transversalidad</w:t>
            </w:r>
          </w:p>
        </w:tc>
        <w:tc>
          <w:tcPr>
            <w:tcW w:type="dxa" w:w="4158"/>
          </w:tcPr>
          <w:p>
            <w:pPr>
              <w:spacing w:after="40"/>
            </w:pPr>
            <w:r>
              <w:rPr>
                <w:sz w:val="17"/>
              </w:rPr>
            </w:r>
            <w:r>
              <w:rPr>
                <w:rFonts w:ascii="IBM Plex Sans" w:hAnsi="IBM Plex Sans" w:cs="IBM Plex Sans"/>
                <w:b w:val="0"/>
                <w:i w:val="0"/>
                <w:color w:val="161412"/>
                <w:sz w:val="17"/>
              </w:rPr>
              <w:t>Separa semántica de componente</w:t>
            </w:r>
          </w:p>
        </w:tc>
      </w:tr>
      <w:tr>
        <w:tc>
          <w:tcPr>
            <w:tcW w:type="dxa" w:w="4158"/>
          </w:tcPr>
          <w:p>
            <w:pPr>
              <w:spacing w:after="40"/>
            </w:pPr>
            <w:r>
              <w:rPr>
                <w:sz w:val="17"/>
              </w:rPr>
            </w:r>
            <w:r>
              <w:rPr>
                <w:rFonts w:ascii="IBM Plex Sans" w:hAnsi="IBM Plex Sans" w:cs="IBM Plex Sans"/>
                <w:b w:val="0"/>
                <w:i w:val="0"/>
                <w:color w:val="161412"/>
                <w:sz w:val="17"/>
              </w:rPr>
              <w:t>Multicanalidad</w:t>
            </w:r>
          </w:p>
        </w:tc>
        <w:tc>
          <w:tcPr>
            <w:tcW w:type="dxa" w:w="4158"/>
          </w:tcPr>
          <w:p>
            <w:pPr>
              <w:spacing w:after="40"/>
            </w:pPr>
            <w:r>
              <w:rPr>
                <w:sz w:val="17"/>
              </w:rPr>
            </w:r>
            <w:r>
              <w:rPr>
                <w:rFonts w:ascii="IBM Plex Sans" w:hAnsi="IBM Plex Sans" w:cs="IBM Plex Sans"/>
                <w:b w:val="0"/>
                <w:i w:val="0"/>
                <w:color w:val="161412"/>
                <w:sz w:val="17"/>
              </w:rPr>
              <w:t>Evita fragilidad de canal único</w:t>
            </w:r>
          </w:p>
        </w:tc>
      </w:tr>
      <w:tr>
        <w:tc>
          <w:tcPr>
            <w:tcW w:type="dxa" w:w="4158"/>
          </w:tcPr>
          <w:p>
            <w:pPr>
              <w:spacing w:after="40"/>
            </w:pPr>
            <w:r>
              <w:rPr>
                <w:sz w:val="17"/>
              </w:rPr>
            </w:r>
            <w:r>
              <w:rPr>
                <w:rFonts w:ascii="IBM Plex Sans" w:hAnsi="IBM Plex Sans" w:cs="IBM Plex Sans"/>
                <w:b w:val="0"/>
                <w:i w:val="0"/>
                <w:color w:val="161412"/>
                <w:sz w:val="17"/>
              </w:rPr>
              <w:t>Composición</w:t>
            </w:r>
          </w:p>
        </w:tc>
        <w:tc>
          <w:tcPr>
            <w:tcW w:type="dxa" w:w="4158"/>
          </w:tcPr>
          <w:p>
            <w:pPr>
              <w:spacing w:after="40"/>
            </w:pPr>
            <w:r>
              <w:rPr>
                <w:sz w:val="17"/>
              </w:rPr>
            </w:r>
            <w:r>
              <w:rPr>
                <w:rFonts w:ascii="IBM Plex Sans" w:hAnsi="IBM Plex Sans" w:cs="IBM Plex Sans"/>
                <w:b w:val="0"/>
                <w:i w:val="0"/>
                <w:color w:val="161412"/>
                <w:sz w:val="17"/>
              </w:rPr>
              <w:t>Permite secuencias complejas</w:t>
            </w:r>
          </w:p>
        </w:tc>
      </w:tr>
      <w:tr>
        <w:tc>
          <w:tcPr>
            <w:tcW w:type="dxa" w:w="4158"/>
          </w:tcPr>
          <w:p>
            <w:pPr>
              <w:spacing w:after="40"/>
            </w:pPr>
            <w:r>
              <w:rPr>
                <w:sz w:val="17"/>
              </w:rPr>
            </w:r>
            <w:r>
              <w:rPr>
                <w:rFonts w:ascii="IBM Plex Sans" w:hAnsi="IBM Plex Sans" w:cs="IBM Plex Sans"/>
                <w:b w:val="0"/>
                <w:i w:val="0"/>
                <w:color w:val="161412"/>
                <w:sz w:val="17"/>
              </w:rPr>
              <w:t>Proporción</w:t>
            </w:r>
          </w:p>
        </w:tc>
        <w:tc>
          <w:tcPr>
            <w:tcW w:type="dxa" w:w="4158"/>
          </w:tcPr>
          <w:p>
            <w:pPr>
              <w:spacing w:after="40"/>
            </w:pPr>
            <w:r>
              <w:rPr>
                <w:sz w:val="17"/>
              </w:rPr>
            </w:r>
            <w:r>
              <w:rPr>
                <w:rFonts w:ascii="IBM Plex Sans" w:hAnsi="IBM Plex Sans" w:cs="IBM Plex Sans"/>
                <w:b w:val="0"/>
                <w:i w:val="0"/>
                <w:color w:val="161412"/>
                <w:sz w:val="17"/>
              </w:rPr>
              <w:t>Calibra intensidad</w:t>
            </w:r>
          </w:p>
        </w:tc>
      </w:tr>
      <w:tr>
        <w:tc>
          <w:tcPr>
            <w:tcW w:type="dxa" w:w="4158"/>
          </w:tcPr>
          <w:p>
            <w:pPr>
              <w:spacing w:after="40"/>
            </w:pPr>
            <w:r>
              <w:rPr>
                <w:sz w:val="17"/>
              </w:rPr>
            </w:r>
            <w:r>
              <w:rPr>
                <w:rFonts w:ascii="IBM Plex Sans" w:hAnsi="IBM Plex Sans" w:cs="IBM Plex Sans"/>
                <w:b w:val="0"/>
                <w:i w:val="0"/>
                <w:color w:val="161412"/>
                <w:sz w:val="17"/>
              </w:rPr>
              <w:t>Sobriedad</w:t>
            </w:r>
          </w:p>
        </w:tc>
        <w:tc>
          <w:tcPr>
            <w:tcW w:type="dxa" w:w="4158"/>
          </w:tcPr>
          <w:p>
            <w:pPr>
              <w:spacing w:after="40"/>
            </w:pPr>
            <w:r>
              <w:rPr>
                <w:sz w:val="17"/>
              </w:rPr>
            </w:r>
            <w:r>
              <w:rPr>
                <w:rFonts w:ascii="IBM Plex Sans" w:hAnsi="IBM Plex Sans" w:cs="IBM Plex Sans"/>
                <w:b w:val="0"/>
                <w:i w:val="0"/>
                <w:color w:val="161412"/>
                <w:sz w:val="17"/>
              </w:rPr>
              <w:t>Permite callar</w:t>
            </w:r>
          </w:p>
        </w:tc>
      </w:tr>
      <w:tr>
        <w:tc>
          <w:tcPr>
            <w:tcW w:type="dxa" w:w="4158"/>
          </w:tcPr>
          <w:p>
            <w:pPr>
              <w:spacing w:after="40"/>
            </w:pPr>
            <w:r>
              <w:rPr>
                <w:sz w:val="17"/>
              </w:rPr>
            </w:r>
            <w:r>
              <w:rPr>
                <w:rFonts w:ascii="IBM Plex Sans" w:hAnsi="IBM Plex Sans" w:cs="IBM Plex Sans"/>
                <w:b w:val="0"/>
                <w:i w:val="0"/>
                <w:color w:val="161412"/>
                <w:sz w:val="17"/>
              </w:rPr>
              <w:t>Validación</w:t>
            </w:r>
          </w:p>
        </w:tc>
        <w:tc>
          <w:tcPr>
            <w:tcW w:type="dxa" w:w="4158"/>
          </w:tcPr>
          <w:p>
            <w:pPr>
              <w:spacing w:after="40"/>
            </w:pPr>
            <w:r>
              <w:rPr>
                <w:sz w:val="17"/>
              </w:rPr>
            </w:r>
            <w:r>
              <w:rPr>
                <w:rFonts w:ascii="IBM Plex Sans" w:hAnsi="IBM Plex Sans" w:cs="IBM Plex Sans"/>
                <w:b w:val="0"/>
                <w:i w:val="0"/>
                <w:color w:val="161412"/>
                <w:sz w:val="17"/>
              </w:rPr>
              <w:t>Convierte la semántica en hipótesis comprobable</w:t>
            </w:r>
          </w:p>
        </w:tc>
      </w:tr>
      <w:tr>
        <w:tc>
          <w:tcPr>
            <w:tcW w:type="dxa" w:w="4158"/>
          </w:tcPr>
          <w:p>
            <w:pPr>
              <w:spacing w:after="40"/>
            </w:pPr>
            <w:r>
              <w:rPr>
                <w:sz w:val="17"/>
              </w:rPr>
            </w:r>
            <w:r>
              <w:rPr>
                <w:rFonts w:ascii="IBM Plex Sans" w:hAnsi="IBM Plex Sans" w:cs="IBM Plex Sans"/>
                <w:b w:val="0"/>
                <w:i w:val="0"/>
                <w:color w:val="161412"/>
                <w:sz w:val="17"/>
              </w:rPr>
              <w:t>Accesibilidad</w:t>
            </w:r>
          </w:p>
        </w:tc>
        <w:tc>
          <w:tcPr>
            <w:tcW w:type="dxa" w:w="4158"/>
          </w:tcPr>
          <w:p>
            <w:pPr>
              <w:spacing w:after="40"/>
            </w:pPr>
            <w:r>
              <w:rPr>
                <w:sz w:val="17"/>
              </w:rPr>
            </w:r>
            <w:r>
              <w:rPr>
                <w:rFonts w:ascii="IBM Plex Sans" w:hAnsi="IBM Plex Sans" w:cs="IBM Plex Sans"/>
                <w:b w:val="0"/>
                <w:i w:val="0"/>
                <w:color w:val="161412"/>
                <w:sz w:val="17"/>
              </w:rPr>
              <w:t>Asegura distribución robusta del significado</w:t>
            </w:r>
          </w:p>
        </w:tc>
      </w:tr>
    </w:tbl>
    <w:p>
      <w:pPr>
        <w:spacing w:after="120" w:line="320" w:lineRule="auto"/>
        <w:jc w:val="both"/>
      </w:pPr>
      <w:r>
        <w:rPr>
          <w:rFonts w:ascii="Newsreader" w:hAnsi="Newsreader" w:cs="Newsreader"/>
          <w:b w:val="0"/>
          <w:i w:val="0"/>
          <w:color w:val="161412"/>
        </w:rPr>
        <w:t>Una interacción semántica no se acepta porque sea posible. Se acepta porque es necesaria.</w:t>
      </w:r>
    </w:p>
    <w:p>
      <w:pPr>
        <w:spacing w:after="120" w:line="320" w:lineRule="auto"/>
        <w:jc w:val="both"/>
      </w:pPr>
      <w:r>
        <w:rPr>
          <w:rFonts w:ascii="Newsreader" w:hAnsi="Newsreader" w:cs="Newsreader"/>
          <w:b w:val="0"/>
          <w:i w:val="0"/>
          <w:color w:val="161412"/>
        </w:rPr>
        <w:t>El siguiente capítulo dará el paso que estos criterios preparan: ¿qué familias de evento sobreviven a estos criterios y merecen formar parte de la gramática fundamental de la interfaz?</w:t>
      </w:r>
    </w:p>
    <w:p>
      <w:pPr>
        <w:spacing w:after="80"/>
      </w:pPr>
    </w:p>
    <w:p>
      <w:pPr>
        <w:spacing w:after="80"/>
      </w:pPr>
    </w:p>
    <w:p>
      <w:pPr>
        <w:spacing w:after="80"/>
      </w:pPr>
    </w:p>
    <w:p>
      <w:r>
        <w:br w:type="page"/>
      </w:r>
    </w:p>
    <w:p>
      <w:pPr>
        <w:spacing w:after="40"/>
      </w:pPr>
      <w:r>
        <w:rPr>
          <w:rFonts w:ascii="IBM Plex Sans" w:hAnsi="IBM Plex Sans" w:cs="IBM Plex Sans"/>
          <w:b/>
          <w:color w:val="1F3A5F"/>
          <w:sz w:val="18"/>
        </w:rPr>
        <w:t>CAPÍTULO 8</w:t>
      </w:r>
    </w:p>
    <w:p>
      <w:pPr>
        <w:spacing w:after="80" w:line="240" w:lineRule="auto"/>
      </w:pPr>
      <w:r>
        <w:rPr>
          <w:rFonts w:ascii="IBM Plex Sans" w:hAnsi="IBM Plex Sans" w:cs="IBM Plex Sans"/>
          <w:color w:val="161412"/>
          <w:sz w:val="220"/>
        </w:rPr>
        <w:t>08</w:t>
      </w:r>
    </w:p>
    <w:p>
      <w:pPr>
        <w:spacing w:after="60" w:line="240" w:lineRule="auto"/>
      </w:pPr>
      <w:r>
        <w:rPr>
          <w:rFonts w:ascii="Newsreader" w:hAnsi="Newsreader" w:cs="Newsreader"/>
          <w:color w:val="161412"/>
          <w:sz w:val="60"/>
        </w:rPr>
        <w:t>De las clases de evento a las familias semánticas</w:t>
      </w:r>
    </w:p>
    <w:p>
      <w:pPr>
        <w:spacing w:after="280"/>
      </w:pPr>
      <w:r>
        <w:rPr>
          <w:rFonts w:ascii="IBM Plex Sans" w:hAnsi="IBM Plex Sans" w:cs="IBM Plex Sans"/>
          <w:color w:val="6A635A"/>
          <w:sz w:val="26"/>
        </w:rPr>
        <w:t>Cómo reducir sin empobrecer</w:t>
      </w:r>
    </w:p>
    <w:p>
      <w:pPr>
        <w:pBdr>
          <w:bottom w:val="single" w:sz="4" w:space="4" w:color="1F3A5F"/>
        </w:pBdr>
      </w:pP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¿Cómo se reduce un campo abierto de eventos a unas pocas familias sin perder las diferencias que importan?</w:t>
      </w:r>
    </w:p>
    <w:p>
      <w:pPr>
        <w:spacing w:after="120" w:line="320" w:lineRule="auto"/>
        <w:jc w:val="both"/>
      </w:pPr>
      <w:r>
        <w:rPr>
          <w:rFonts w:ascii="Newsreader" w:hAnsi="Newsreader" w:cs="Newsreader"/>
          <w:b w:val="0"/>
          <w:i w:val="0"/>
          <w:color w:val="161412"/>
        </w:rPr>
        <w:t xml:space="preserve">Los capítulos anteriores han construido ya las piezas necesarias. Este capítulo aplica los criterios del capítulo anterior. La pregunta ya no es qué es una interacción semántica, sino: ¿qué familias de evento sobreviven cuando aplicamos esos criterios?</w:t>
      </w:r>
    </w:p>
    <w:p>
      <w:pPr>
        <w:spacing w:after="120" w:line="320" w:lineRule="auto"/>
        <w:jc w:val="both"/>
      </w:pPr>
      <w:r>
        <w:rPr>
          <w:rFonts w:ascii="Newsreader" w:hAnsi="Newsreader" w:cs="Newsreader"/>
          <w:b w:val="0"/>
          <w:i w:val="0"/>
          <w:color w:val="161412"/>
        </w:rPr>
        <w:t xml:space="preserve">La respuesta que propone este libro es una reducción desde un campo exploratorio amplio hacia ocho familias fundamentales: contact, commit, signal, handle, emerge, shift, sustain, delegate. Esta reducción no busca empobrecer el sistema. Busca conservar las diferencias esenciales sin convertir cada matiz en categoría raíz.</w:t>
      </w:r>
    </w:p>
    <w:p>
      <w:pPr>
        <w:spacing w:after="120" w:line="320" w:lineRule="auto"/>
        <w:jc w:val="both"/>
      </w:pPr>
      <w:r>
        <w:rPr>
          <w:rFonts w:ascii="Newsreader" w:hAnsi="Newsreader" w:cs="Newsreader"/>
          <w:b w:val="0"/>
          <w:i w:val="0"/>
          <w:color w:val="161412"/>
        </w:rPr>
        <w:t xml:space="preserve">Estas familias no son categorías de diseño. Son categorías perceptivas. Cada una se apoya en una forma distinta de organizar la experiencia: contact se apoya en agencia y causalidad inmediata; commit, en cierre cognitivo y memoria de estado; signal, en atención y saliencia; handle, en acción corporal y manipulación; emerge, en figura/fondo y presencia; shift, en cambio de contexto de trabajo; sustain, en continuidad temporal y reducción de incertidumbre; delegate, en atribución de agencia y autoría compartida.</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Las familias no salen de componentes. Salen de preguntas perceptivas recurrentes.</w:t>
      </w:r>
    </w:p>
    <w:p>
      <w:pPr>
        <w:spacing w:before="200" w:after="60"/>
        <w:jc w:val="center"/>
      </w:pPr>
      <w:r>
        <w:drawing>
          <wp:inline xmlns:a="http://schemas.openxmlformats.org/drawingml/2006/main" xmlns:pic="http://schemas.openxmlformats.org/drawingml/2006/picture">
            <wp:extent cx="5029200" cy="2794349"/>
            <wp:docPr id="47" name="Picture 47"/>
            <wp:cNvGraphicFramePr>
              <a:graphicFrameLocks noChangeAspect="1"/>
            </wp:cNvGraphicFramePr>
            <a:graphic>
              <a:graphicData uri="http://schemas.openxmlformats.org/drawingml/2006/picture">
                <pic:pic>
                  <pic:nvPicPr>
                    <pic:cNvPr id="0" name="figura-8-1.png"/>
                    <pic:cNvPicPr/>
                  </pic:nvPicPr>
                  <pic:blipFill>
                    <a:blip r:embed="rId55"/>
                    <a:stretch>
                      <a:fillRect/>
                    </a:stretch>
                  </pic:blipFill>
                  <pic:spPr>
                    <a:xfrm>
                      <a:off x="0" y="0"/>
                      <a:ext cx="5029200" cy="2794349"/>
                    </a:xfrm>
                    <a:prstGeom prst="rect"/>
                  </pic:spPr>
                </pic:pic>
              </a:graphicData>
            </a:graphic>
          </wp:inline>
        </w:drawing>
      </w:r>
    </w:p>
    <w:p>
      <w:pPr>
        <w:spacing w:before="320" w:after="40"/>
      </w:pPr>
      <w:r>
        <w:rPr>
          <w:rFonts w:ascii="IBM Plex Sans" w:hAnsi="IBM Plex Sans" w:cs="IBM Plex Sans"/>
          <w:b/>
          <w:color w:val="1F3A5F"/>
          <w:sz w:val="18"/>
        </w:rPr>
        <w:t xml:space="preserve">§ 1</w:t>
      </w:r>
    </w:p>
    <w:p>
      <w:pPr>
        <w:spacing w:after="160" w:line="240" w:lineRule="auto"/>
      </w:pPr>
      <w:r>
        <w:rPr>
          <w:rFonts w:ascii="Newsreader" w:hAnsi="Newsreader" w:cs="Newsreader"/>
          <w:color w:val="161412"/>
          <w:sz w:val="38"/>
        </w:rPr>
        <w:t xml:space="preserve">De una lista exploratoria a una gramática manejable</w:t>
      </w:r>
    </w:p>
    <w:p>
      <w:pPr>
        <w:spacing w:after="120" w:line="320" w:lineRule="auto"/>
        <w:jc w:val="both"/>
      </w:pPr>
      <w:r>
        <w:rPr>
          <w:rFonts w:ascii="Newsreader" w:hAnsi="Newsreader" w:cs="Newsreader"/>
          <w:b w:val="0"/>
          <w:i w:val="0"/>
          <w:color w:val="161412"/>
        </w:rPr>
        <w:t xml:space="preserve">En los primeros borradores aparecía una lista amplia de trece semánticas. Esa lista cumplió una función necesaria: abrir el campo y mostrar que la interfaz contiene tipos de cambio muy distintos. Pero una lista exploratoria no es todavía una gramática madura. La reducción debe hacerse separando niveles: no todo debe ser familia. Algunas diferencias pertenecen al verbo, a la fase, al intent o a la realización.</w:t>
      </w:r>
    </w:p>
    <w:p>
      <w:pPr>
        <w:spacing w:after="200" w:before="40"/>
      </w:pPr>
      <w:r>
        <w:rPr>
          <w:rFonts w:ascii="IBM Plex Sans" w:hAnsi="IBM Plex Sans" w:cs="IBM Plex Sans"/>
          <w:b/>
          <w:color w:val="1F3A5F"/>
          <w:sz w:val="17"/>
        </w:rPr>
        <w:t xml:space="preserve">TABLA 8.1   </w:t>
      </w:r>
      <w:r>
        <w:rPr>
          <w:rFonts w:ascii="IBM Plex Sans" w:hAnsi="IBM Plex Sans" w:cs="IBM Plex Sans"/>
          <w:color w:val="3A352F"/>
          <w:sz w:val="18"/>
        </w:rPr>
        <w:t xml:space="preserve">Niveles de la gramática</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NIVEL</w:t>
            </w:r>
          </w:p>
        </w:tc>
        <w:tc>
          <w:tcPr>
            <w:tcW w:type="dxa" w:w="2772"/>
            <w:shd w:val="clear" w:color="auto" w:fill="EAE4D8"/>
          </w:tcPr>
          <w:p>
            <w:pPr>
              <w:spacing w:after="40"/>
            </w:pPr>
            <w:r>
              <w:rPr>
                <w:sz w:val="17"/>
              </w:rPr>
            </w:r>
            <w:r>
              <w:rPr>
                <w:rFonts w:ascii="IBM Plex Sans" w:hAnsi="IBM Plex Sans" w:cs="IBM Plex Sans"/>
                <w:b/>
                <w:i w:val="0"/>
                <w:color w:val="1F3A5F"/>
                <w:sz w:val="17"/>
              </w:rPr>
              <w:t>PREGUNTA</w:t>
            </w:r>
          </w:p>
        </w:tc>
        <w:tc>
          <w:tcPr>
            <w:tcW w:type="dxa" w:w="2772"/>
            <w:shd w:val="clear" w:color="auto" w:fill="EAE4D8"/>
          </w:tcPr>
          <w:p>
            <w:pPr>
              <w:spacing w:after="40"/>
            </w:pPr>
            <w:r>
              <w:rPr>
                <w:sz w:val="17"/>
              </w:rPr>
            </w:r>
            <w:r>
              <w:rPr>
                <w:rFonts w:ascii="IBM Plex Sans" w:hAnsi="IBM Plex Sans" w:cs="IBM Plex Sans"/>
                <w:b/>
                <w:i w:val="0"/>
                <w:color w:val="1F3A5F"/>
                <w:sz w:val="17"/>
              </w:rPr>
              <w:t>EJEMPLO</w:t>
            </w:r>
          </w:p>
        </w:tc>
      </w:tr>
      <w:tr>
        <w:tc>
          <w:tcPr>
            <w:tcW w:type="dxa" w:w="2772"/>
          </w:tcPr>
          <w:p>
            <w:pPr>
              <w:spacing w:after="40"/>
            </w:pPr>
            <w:r>
              <w:rPr>
                <w:sz w:val="17"/>
              </w:rPr>
            </w:r>
            <w:r>
              <w:rPr>
                <w:rFonts w:ascii="IBM Plex Sans" w:hAnsi="IBM Plex Sans" w:cs="IBM Plex Sans"/>
                <w:b w:val="0"/>
                <w:i w:val="0"/>
                <w:color w:val="161412"/>
                <w:sz w:val="17"/>
              </w:rPr>
              <w:t>Familia</w:t>
            </w:r>
          </w:p>
        </w:tc>
        <w:tc>
          <w:tcPr>
            <w:tcW w:type="dxa" w:w="2772"/>
          </w:tcPr>
          <w:p>
            <w:pPr>
              <w:spacing w:after="40"/>
            </w:pPr>
            <w:r>
              <w:rPr>
                <w:sz w:val="17"/>
              </w:rPr>
            </w:r>
            <w:r>
              <w:rPr>
                <w:rFonts w:ascii="IBM Plex Sans" w:hAnsi="IBM Plex Sans" w:cs="IBM Plex Sans"/>
                <w:b w:val="0"/>
                <w:i w:val="0"/>
                <w:color w:val="161412"/>
                <w:sz w:val="17"/>
              </w:rPr>
              <w:t>¿Qué clase perceptiva de evento es?</w:t>
            </w:r>
          </w:p>
        </w:tc>
        <w:tc>
          <w:tcPr>
            <w:tcW w:type="dxa" w:w="2772"/>
          </w:tcPr>
          <w:p>
            <w:pPr>
              <w:spacing w:after="40"/>
            </w:pPr>
            <w:r>
              <w:rPr>
                <w:sz w:val="17"/>
              </w:rPr>
            </w:r>
            <w:r>
              <w:rPr>
                <w:rFonts w:ascii="IBM Plex Sans" w:hAnsi="IBM Plex Sans" w:cs="IBM Plex Sans"/>
                <w:b w:val="0"/>
                <w:i w:val="0"/>
                <w:color w:val="161412"/>
                <w:sz w:val="17"/>
              </w:rPr>
              <w:t>contact, commit, signal</w:t>
            </w:r>
          </w:p>
        </w:tc>
      </w:tr>
      <w:tr>
        <w:tc>
          <w:tcPr>
            <w:tcW w:type="dxa" w:w="2772"/>
          </w:tcPr>
          <w:p>
            <w:pPr>
              <w:spacing w:after="40"/>
            </w:pPr>
            <w:r>
              <w:rPr>
                <w:sz w:val="17"/>
              </w:rPr>
            </w:r>
            <w:r>
              <w:rPr>
                <w:rFonts w:ascii="IBM Plex Sans" w:hAnsi="IBM Plex Sans" w:cs="IBM Plex Sans"/>
                <w:b w:val="0"/>
                <w:i w:val="0"/>
                <w:color w:val="161412"/>
                <w:sz w:val="17"/>
              </w:rPr>
              <w:t>Verbo</w:t>
            </w:r>
          </w:p>
        </w:tc>
        <w:tc>
          <w:tcPr>
            <w:tcW w:type="dxa" w:w="2772"/>
          </w:tcPr>
          <w:p>
            <w:pPr>
              <w:spacing w:after="40"/>
            </w:pPr>
            <w:r>
              <w:rPr>
                <w:sz w:val="17"/>
              </w:rPr>
            </w:r>
            <w:r>
              <w:rPr>
                <w:rFonts w:ascii="IBM Plex Sans" w:hAnsi="IBM Plex Sans" w:cs="IBM Plex Sans"/>
                <w:b w:val="0"/>
                <w:i w:val="0"/>
                <w:color w:val="161412"/>
                <w:sz w:val="17"/>
              </w:rPr>
              <w:t>¿Qué ocurrió concretamente?</w:t>
            </w:r>
          </w:p>
        </w:tc>
        <w:tc>
          <w:tcPr>
            <w:tcW w:type="dxa" w:w="2772"/>
          </w:tcPr>
          <w:p>
            <w:pPr>
              <w:spacing w:after="40"/>
            </w:pPr>
            <w:r>
              <w:rPr>
                <w:sz w:val="17"/>
              </w:rPr>
            </w:r>
            <w:r>
              <w:rPr>
                <w:rFonts w:ascii="IBM Plex Sans" w:hAnsi="IBM Plex Sans" w:cs="IBM Plex Sans"/>
                <w:b w:val="0"/>
                <w:i w:val="0"/>
                <w:color w:val="161412"/>
                <w:sz w:val="17"/>
              </w:rPr>
              <w:t>select, delete, notify, expand</w:t>
            </w:r>
          </w:p>
        </w:tc>
      </w:tr>
      <w:tr>
        <w:tc>
          <w:tcPr>
            <w:tcW w:type="dxa" w:w="2772"/>
          </w:tcPr>
          <w:p>
            <w:pPr>
              <w:spacing w:after="40"/>
            </w:pPr>
            <w:r>
              <w:rPr>
                <w:sz w:val="17"/>
              </w:rPr>
            </w:r>
            <w:r>
              <w:rPr>
                <w:rFonts w:ascii="IBM Plex Sans" w:hAnsi="IBM Plex Sans" w:cs="IBM Plex Sans"/>
                <w:b w:val="0"/>
                <w:i w:val="0"/>
                <w:color w:val="161412"/>
                <w:sz w:val="17"/>
              </w:rPr>
              <w:t>Fase</w:t>
            </w:r>
          </w:p>
        </w:tc>
        <w:tc>
          <w:tcPr>
            <w:tcW w:type="dxa" w:w="2772"/>
          </w:tcPr>
          <w:p>
            <w:pPr>
              <w:spacing w:after="40"/>
            </w:pPr>
            <w:r>
              <w:rPr>
                <w:sz w:val="17"/>
              </w:rPr>
            </w:r>
            <w:r>
              <w:rPr>
                <w:rFonts w:ascii="IBM Plex Sans" w:hAnsi="IBM Plex Sans" w:cs="IBM Plex Sans"/>
                <w:b w:val="0"/>
                <w:i w:val="0"/>
                <w:color w:val="161412"/>
                <w:sz w:val="17"/>
              </w:rPr>
              <w:t>¿En qué momento temporal está?</w:t>
            </w:r>
          </w:p>
        </w:tc>
        <w:tc>
          <w:tcPr>
            <w:tcW w:type="dxa" w:w="2772"/>
          </w:tcPr>
          <w:p>
            <w:pPr>
              <w:spacing w:after="40"/>
            </w:pPr>
            <w:r>
              <w:rPr>
                <w:sz w:val="17"/>
              </w:rPr>
            </w:r>
            <w:r>
              <w:rPr>
                <w:rFonts w:ascii="IBM Plex Sans" w:hAnsi="IBM Plex Sans" w:cs="IBM Plex Sans"/>
                <w:b w:val="0"/>
                <w:i w:val="0"/>
                <w:color w:val="161412"/>
                <w:sz w:val="17"/>
              </w:rPr>
              <w:t>enter, exit, pick, carry, drop</w:t>
            </w:r>
          </w:p>
        </w:tc>
      </w:tr>
      <w:tr>
        <w:tc>
          <w:tcPr>
            <w:tcW w:type="dxa" w:w="2772"/>
          </w:tcPr>
          <w:p>
            <w:pPr>
              <w:spacing w:after="40"/>
            </w:pPr>
            <w:r>
              <w:rPr>
                <w:sz w:val="17"/>
              </w:rPr>
            </w:r>
            <w:r>
              <w:rPr>
                <w:rFonts w:ascii="IBM Plex Sans" w:hAnsi="IBM Plex Sans" w:cs="IBM Plex Sans"/>
                <w:b w:val="0"/>
                <w:i w:val="0"/>
                <w:color w:val="161412"/>
                <w:sz w:val="17"/>
              </w:rPr>
              <w:t>Intent</w:t>
            </w:r>
          </w:p>
        </w:tc>
        <w:tc>
          <w:tcPr>
            <w:tcW w:type="dxa" w:w="2772"/>
          </w:tcPr>
          <w:p>
            <w:pPr>
              <w:spacing w:after="40"/>
            </w:pPr>
            <w:r>
              <w:rPr>
                <w:sz w:val="17"/>
              </w:rPr>
            </w:r>
            <w:r>
              <w:rPr>
                <w:rFonts w:ascii="IBM Plex Sans" w:hAnsi="IBM Plex Sans" w:cs="IBM Plex Sans"/>
                <w:b w:val="0"/>
                <w:i w:val="0"/>
                <w:color w:val="161412"/>
                <w:sz w:val="17"/>
              </w:rPr>
              <w:t>¿Cómo se evalúa, si procede?</w:t>
            </w:r>
          </w:p>
        </w:tc>
        <w:tc>
          <w:tcPr>
            <w:tcW w:type="dxa" w:w="2772"/>
          </w:tcPr>
          <w:p>
            <w:pPr>
              <w:spacing w:after="40"/>
            </w:pPr>
            <w:r>
              <w:rPr>
                <w:sz w:val="17"/>
              </w:rPr>
            </w:r>
            <w:r>
              <w:rPr>
                <w:rFonts w:ascii="IBM Plex Sans" w:hAnsi="IBM Plex Sans" w:cs="IBM Plex Sans"/>
                <w:b w:val="0"/>
                <w:i w:val="0"/>
                <w:color w:val="161412"/>
                <w:sz w:val="17"/>
              </w:rPr>
              <w:t>neutral, affirm, fulfill, risk, threat, loss</w:t>
            </w:r>
          </w:p>
        </w:tc>
      </w:tr>
      <w:tr>
        <w:tc>
          <w:tcPr>
            <w:tcW w:type="dxa" w:w="2772"/>
          </w:tcPr>
          <w:p>
            <w:pPr>
              <w:spacing w:after="40"/>
            </w:pPr>
            <w:r>
              <w:rPr>
                <w:sz w:val="17"/>
              </w:rPr>
            </w:r>
            <w:r>
              <w:rPr>
                <w:rFonts w:ascii="IBM Plex Sans" w:hAnsi="IBM Plex Sans" w:cs="IBM Plex Sans"/>
                <w:b w:val="0"/>
                <w:i w:val="0"/>
                <w:color w:val="161412"/>
                <w:sz w:val="17"/>
              </w:rPr>
              <w:t>Realización</w:t>
            </w:r>
          </w:p>
        </w:tc>
        <w:tc>
          <w:tcPr>
            <w:tcW w:type="dxa" w:w="2772"/>
          </w:tcPr>
          <w:p>
            <w:pPr>
              <w:spacing w:after="40"/>
            </w:pPr>
            <w:r>
              <w:rPr>
                <w:sz w:val="17"/>
              </w:rPr>
            </w:r>
            <w:r>
              <w:rPr>
                <w:rFonts w:ascii="IBM Plex Sans" w:hAnsi="IBM Plex Sans" w:cs="IBM Plex Sans"/>
                <w:b w:val="0"/>
                <w:i w:val="0"/>
                <w:color w:val="161412"/>
                <w:sz w:val="17"/>
              </w:rPr>
              <w:t>¿Por qué canales se expresa?</w:t>
            </w:r>
          </w:p>
        </w:tc>
        <w:tc>
          <w:tcPr>
            <w:tcW w:type="dxa" w:w="2772"/>
          </w:tcPr>
          <w:p>
            <w:pPr>
              <w:spacing w:after="40"/>
            </w:pPr>
            <w:r>
              <w:rPr>
                <w:sz w:val="17"/>
              </w:rPr>
            </w:r>
            <w:r>
              <w:rPr>
                <w:rFonts w:ascii="IBM Plex Sans" w:hAnsi="IBM Plex Sans" w:cs="IBM Plex Sans"/>
                <w:b w:val="0"/>
                <w:i w:val="0"/>
                <w:color w:val="161412"/>
                <w:sz w:val="17"/>
              </w:rPr>
              <w:t>motion, sonido, color, presencia, háptica</w:t>
            </w:r>
          </w:p>
        </w:tc>
      </w:tr>
    </w:tbl>
    <w:p>
      <w:pPr>
        <w:spacing w:before="200" w:after="60"/>
        <w:jc w:val="center"/>
      </w:pPr>
      <w:r>
        <w:drawing>
          <wp:inline xmlns:a="http://schemas.openxmlformats.org/drawingml/2006/main" xmlns:pic="http://schemas.openxmlformats.org/drawingml/2006/picture">
            <wp:extent cx="5029200" cy="2652903"/>
            <wp:docPr id="48" name="Picture 48"/>
            <wp:cNvGraphicFramePr>
              <a:graphicFrameLocks noChangeAspect="1"/>
            </wp:cNvGraphicFramePr>
            <a:graphic>
              <a:graphicData uri="http://schemas.openxmlformats.org/drawingml/2006/picture">
                <pic:pic>
                  <pic:nvPicPr>
                    <pic:cNvPr id="0" name="figura-8-2.png"/>
                    <pic:cNvPicPr/>
                  </pic:nvPicPr>
                  <pic:blipFill>
                    <a:blip r:embed="rId56"/>
                    <a:stretch>
                      <a:fillRect/>
                    </a:stretch>
                  </pic:blipFill>
                  <pic:spPr>
                    <a:xfrm>
                      <a:off x="0" y="0"/>
                      <a:ext cx="5029200" cy="2652903"/>
                    </a:xfrm>
                    <a:prstGeom prst="rect"/>
                  </pic:spPr>
                </pic:pic>
              </a:graphicData>
            </a:graphic>
          </wp:inline>
        </w:drawing>
      </w:r>
    </w:p>
    <w:p>
      <w:pPr>
        <w:spacing w:before="320" w:after="40"/>
      </w:pPr>
      <w:r>
        <w:rPr>
          <w:rFonts w:ascii="IBM Plex Sans" w:hAnsi="IBM Plex Sans" w:cs="IBM Plex Sans"/>
          <w:b/>
          <w:color w:val="1F3A5F"/>
          <w:sz w:val="18"/>
        </w:rPr>
        <w:t xml:space="preserve">§ 2</w:t>
      </w:r>
    </w:p>
    <w:p>
      <w:pPr>
        <w:spacing w:after="160" w:line="240" w:lineRule="auto"/>
      </w:pPr>
      <w:r>
        <w:rPr>
          <w:rFonts w:ascii="Newsreader" w:hAnsi="Newsreader" w:cs="Newsreader"/>
          <w:color w:val="161412"/>
          <w:sz w:val="38"/>
        </w:rPr>
        <w:t xml:space="preserve">Las ocho preguntas fundamentales</w:t>
      </w:r>
    </w:p>
    <w:p>
      <w:pPr>
        <w:spacing w:after="120" w:line="320" w:lineRule="auto"/>
        <w:jc w:val="both"/>
      </w:pPr>
      <w:r>
        <w:rPr>
          <w:rFonts w:ascii="Newsreader" w:hAnsi="Newsreader" w:cs="Newsreader"/>
          <w:b w:val="0"/>
          <w:i w:val="0"/>
          <w:color w:val="161412"/>
        </w:rPr>
        <w:t xml:space="preserve">Aplicando los criterios aparece una estructura compacta de ocho preguntas perceptivas. No son preguntas que el usuario formule verbalmente. Son preguntas operativas que la interfaz debe responder.</w:t>
      </w:r>
    </w:p>
    <w:p>
      <w:pPr>
        <w:spacing w:after="120" w:line="320" w:lineRule="auto"/>
        <w:jc w:val="both"/>
      </w:pPr>
      <w:r>
        <w:rPr>
          <w:rFonts w:ascii="Newsreader" w:hAnsi="Newsreader" w:cs="Newsreader"/>
          <w:b w:val="0"/>
          <w:i w:val="0"/>
          <w:color w:val="161412"/>
        </w:rPr>
        <w:t xml:space="preserve">Las familias semánticas no forman una jerarquía moral. Distinguen funciones perceptivas.</w:t>
      </w:r>
    </w:p>
    <w:p>
      <w:pPr>
        <w:spacing w:before="200" w:after="60"/>
        <w:jc w:val="center"/>
      </w:pPr>
      <w:r>
        <w:drawing>
          <wp:inline xmlns:a="http://schemas.openxmlformats.org/drawingml/2006/main" xmlns:pic="http://schemas.openxmlformats.org/drawingml/2006/picture">
            <wp:extent cx="5029200" cy="3212402"/>
            <wp:docPr id="49" name="Picture 49"/>
            <wp:cNvGraphicFramePr>
              <a:graphicFrameLocks noChangeAspect="1"/>
            </wp:cNvGraphicFramePr>
            <a:graphic>
              <a:graphicData uri="http://schemas.openxmlformats.org/drawingml/2006/picture">
                <pic:pic>
                  <pic:nvPicPr>
                    <pic:cNvPr id="0" name="figura-8-3.png"/>
                    <pic:cNvPicPr/>
                  </pic:nvPicPr>
                  <pic:blipFill>
                    <a:blip r:embed="rId57"/>
                    <a:stretch>
                      <a:fillRect/>
                    </a:stretch>
                  </pic:blipFill>
                  <pic:spPr>
                    <a:xfrm>
                      <a:off x="0" y="0"/>
                      <a:ext cx="5029200" cy="3212402"/>
                    </a:xfrm>
                    <a:prstGeom prst="rect"/>
                  </pic:spPr>
                </pic:pic>
              </a:graphicData>
            </a:graphic>
          </wp:inline>
        </w:drawing>
      </w:r>
    </w:p>
    <w:p>
      <w:pPr>
        <w:spacing w:before="320" w:after="40"/>
      </w:pPr>
      <w:r>
        <w:rPr>
          <w:rFonts w:ascii="IBM Plex Sans" w:hAnsi="IBM Plex Sans" w:cs="IBM Plex Sans"/>
          <w:b/>
          <w:color w:val="1F3A5F"/>
          <w:sz w:val="18"/>
        </w:rPr>
        <w:t xml:space="preserve">§ 3</w:t>
      </w:r>
    </w:p>
    <w:p>
      <w:pPr>
        <w:spacing w:after="160" w:line="240" w:lineRule="auto"/>
      </w:pPr>
      <w:r>
        <w:rPr>
          <w:rFonts w:ascii="Newsreader" w:hAnsi="Newsreader" w:cs="Newsreader"/>
          <w:color w:val="161412"/>
          <w:sz w:val="38"/>
        </w:rPr>
        <w:t xml:space="preserve">Las ocho familias fundamentales</w:t>
      </w:r>
    </w:p>
    <w:p>
      <w:pPr>
        <w:spacing w:before="240" w:after="100"/>
      </w:pPr>
      <w:r>
        <w:rPr>
          <w:rFonts w:ascii="Newsreader" w:hAnsi="Newsreader" w:cs="Newsreader"/>
          <w:i/>
          <w:color w:val="1F3A5F"/>
          <w:sz w:val="28"/>
        </w:rPr>
        <w:t xml:space="preserve">contact</w:t>
      </w:r>
    </w:p>
    <w:p>
      <w:pPr>
        <w:spacing w:after="120" w:line="320" w:lineRule="auto"/>
        <w:jc w:val="both"/>
      </w:pPr>
      <w:r>
        <w:rPr>
          <w:rFonts w:ascii="Newsreader" w:hAnsi="Newsreader" w:cs="Newsreader"/>
          <w:b w:val="0"/>
          <w:i w:val="0"/>
          <w:color w:val="161412"/>
        </w:rPr>
        <w:t xml:space="preserve">Comunica que una acción directa del usuario ha sido registrada. ¿El sistema ha sentido mi acción? No comunica todavía resultado ni estado persistente: comunica que la acción y su respuesta forman un solo gesto. Aquí se reubica la antigua semántica feedback. Ejemplos: contact.press, contact.release, contact.activate.</w:t>
      </w:r>
    </w:p>
    <w:p>
      <w:pPr>
        <w:spacing w:before="240" w:after="100"/>
      </w:pPr>
      <w:r>
        <w:rPr>
          <w:rFonts w:ascii="Newsreader" w:hAnsi="Newsreader" w:cs="Newsreader"/>
          <w:i/>
          <w:color w:val="1F3A5F"/>
          <w:sz w:val="28"/>
        </w:rPr>
        <w:t xml:space="preserve">commit</w:t>
      </w:r>
    </w:p>
    <w:p>
      <w:pPr>
        <w:spacing w:after="120" w:line="320" w:lineRule="auto"/>
        <w:jc w:val="both"/>
      </w:pPr>
      <w:r>
        <w:rPr>
          <w:rFonts w:ascii="Newsreader" w:hAnsi="Newsreader" w:cs="Newsreader"/>
          <w:b w:val="0"/>
          <w:i w:val="0"/>
          <w:color w:val="161412"/>
        </w:rPr>
        <w:t xml:space="preserve">Comunica que algo ha quedado fijado, resuelto o establecido. ¿Esto ha quedado fijado? Aquí entran selección, confirmación, guardado, cancelación, fallo, eliminación, restauración, culminación o pérdida consumada. Es una de las familias más claramente evaluables.</w:t>
      </w:r>
    </w:p>
    <w:p>
      <w:pPr>
        <w:spacing w:before="240" w:after="100"/>
      </w:pPr>
      <w:r>
        <w:rPr>
          <w:rFonts w:ascii="Newsreader" w:hAnsi="Newsreader" w:cs="Newsreader"/>
          <w:i/>
          <w:color w:val="1F3A5F"/>
          <w:sz w:val="28"/>
        </w:rPr>
        <w:t xml:space="preserve">signal</w:t>
      </w:r>
    </w:p>
    <w:p>
      <w:pPr>
        <w:spacing w:after="120" w:line="320" w:lineRule="auto"/>
        <w:jc w:val="both"/>
      </w:pPr>
      <w:r>
        <w:rPr>
          <w:rFonts w:ascii="Newsreader" w:hAnsi="Newsreader" w:cs="Newsreader"/>
          <w:b w:val="0"/>
          <w:i w:val="0"/>
          <w:color w:val="161412"/>
        </w:rPr>
        <w:t xml:space="preserve">Comunica que el sistema inicia una señal para orientar la atención. ¿Algo reclama mi atención? No todas las señales son alertas: también hay anuncios, recordatorios, hints, badges y énfasis. Acepta intent plenamente.</w:t>
      </w:r>
    </w:p>
    <w:p>
      <w:pPr>
        <w:spacing w:before="240" w:after="100"/>
      </w:pPr>
      <w:r>
        <w:rPr>
          <w:rFonts w:ascii="Newsreader" w:hAnsi="Newsreader" w:cs="Newsreader"/>
          <w:i/>
          <w:color w:val="1F3A5F"/>
          <w:sz w:val="28"/>
        </w:rPr>
        <w:t xml:space="preserve">handle</w:t>
      </w:r>
    </w:p>
    <w:p>
      <w:pPr>
        <w:spacing w:after="120" w:line="320" w:lineRule="auto"/>
        <w:jc w:val="both"/>
      </w:pPr>
      <w:r>
        <w:rPr>
          <w:rFonts w:ascii="Newsreader" w:hAnsi="Newsreader" w:cs="Newsreader"/>
          <w:b w:val="0"/>
          <w:i w:val="0"/>
          <w:color w:val="161412"/>
        </w:rPr>
        <w:t xml:space="preserve">Comunica manipulación directa de un objeto. ¿Estoy controlando directamente este objeto? Tiene estructura temporal propia: pick → carry → drop. El carry es estructural y neutro; la evaluación aparece sobre todo en el drop.</w:t>
      </w:r>
    </w:p>
    <w:p>
      <w:pPr>
        <w:spacing w:before="240" w:after="100"/>
      </w:pPr>
      <w:r>
        <w:rPr>
          <w:rFonts w:ascii="Newsreader" w:hAnsi="Newsreader" w:cs="Newsreader"/>
          <w:i/>
          <w:color w:val="1F3A5F"/>
          <w:sz w:val="28"/>
        </w:rPr>
        <w:t xml:space="preserve">emerge</w:t>
      </w:r>
    </w:p>
    <w:p>
      <w:pPr>
        <w:spacing w:after="120" w:line="320" w:lineRule="auto"/>
        <w:jc w:val="both"/>
      </w:pPr>
      <w:r>
        <w:rPr>
          <w:rFonts w:ascii="Newsreader" w:hAnsi="Newsreader" w:cs="Newsreader"/>
          <w:b w:val="0"/>
          <w:i w:val="0"/>
          <w:color w:val="161412"/>
        </w:rPr>
        <w:t xml:space="preserve">Comunica aparición, retirada o disponibilidad en el campo perceptivo. ¿Algo ha entrado o salido del campo? Normalmente no acepta intent: una aparición no es buena o mala por aparecer. Lo evaluable puede estar dentro de lo que aparece.</w:t>
      </w:r>
    </w:p>
    <w:p>
      <w:pPr>
        <w:spacing w:before="240" w:after="100"/>
      </w:pPr>
      <w:r>
        <w:rPr>
          <w:rFonts w:ascii="Newsreader" w:hAnsi="Newsreader" w:cs="Newsreader"/>
          <w:i/>
          <w:color w:val="1F3A5F"/>
          <w:sz w:val="28"/>
        </w:rPr>
        <w:t xml:space="preserve">shift</w:t>
      </w:r>
    </w:p>
    <w:p>
      <w:pPr>
        <w:spacing w:after="120" w:line="320" w:lineRule="auto"/>
        <w:jc w:val="both"/>
      </w:pPr>
      <w:r>
        <w:rPr>
          <w:rFonts w:ascii="Newsreader" w:hAnsi="Newsreader" w:cs="Newsreader"/>
          <w:b w:val="0"/>
          <w:i w:val="0"/>
          <w:color w:val="161412"/>
        </w:rPr>
        <w:t xml:space="preserve">Comunica cambio de contexto. ¿Sigo en el mismo marco o ha cambiado el régimen? Cambiar de vista, de modo, avanzar en un wizard o entrar en edición reorganiza el marco desde el que se interpreta la interfaz. Normalmente no acepta intent.</w:t>
      </w:r>
    </w:p>
    <w:p>
      <w:pPr>
        <w:spacing w:before="240" w:after="100"/>
      </w:pPr>
      <w:r>
        <w:rPr>
          <w:rFonts w:ascii="Newsreader" w:hAnsi="Newsreader" w:cs="Newsreader"/>
          <w:i/>
          <w:color w:val="1F3A5F"/>
          <w:sz w:val="28"/>
        </w:rPr>
        <w:t xml:space="preserve">sustain</w:t>
      </w:r>
    </w:p>
    <w:p>
      <w:pPr>
        <w:spacing w:after="120" w:line="320" w:lineRule="auto"/>
        <w:jc w:val="both"/>
      </w:pPr>
      <w:r>
        <w:rPr>
          <w:rFonts w:ascii="Newsreader" w:hAnsi="Newsreader" w:cs="Newsreader"/>
          <w:b w:val="0"/>
          <w:i w:val="0"/>
          <w:color w:val="161412"/>
        </w:rPr>
        <w:t xml:space="preserve">Comunica continuidad operativa. ¿Esto sigue ocurriendo? No comunica resultado: comunica que una operación sigue viva. Si un proceso se vuelve problemático, lo más limpio es componer sustain.progress con signal.warn + risk, en lugar de convertir todo el proceso en evento evaluativo.</w:t>
      </w:r>
    </w:p>
    <w:p>
      <w:pPr>
        <w:spacing w:before="240" w:after="100"/>
      </w:pPr>
      <w:r>
        <w:rPr>
          <w:rFonts w:ascii="Newsreader" w:hAnsi="Newsreader" w:cs="Newsreader"/>
          <w:i/>
          <w:color w:val="1F3A5F"/>
          <w:sz w:val="28"/>
        </w:rPr>
        <w:t xml:space="preserve">delegate</w:t>
      </w:r>
    </w:p>
    <w:p>
      <w:pPr>
        <w:spacing w:after="120" w:line="320" w:lineRule="auto"/>
        <w:jc w:val="both"/>
      </w:pPr>
      <w:r>
        <w:rPr>
          <w:rFonts w:ascii="Newsreader" w:hAnsi="Newsreader" w:cs="Newsreader"/>
          <w:b w:val="0"/>
          <w:i w:val="0"/>
          <w:color w:val="161412"/>
        </w:rPr>
        <w:t xml:space="preserve">Comunica que cambia quién lleva la iniciativa o quién ejecuta la acción. ¿Actúo yo, actúa el sistema, o compartimos la acción? No comunica resultado ni urgencia por sí misma: el intent llega cuando la acción delegada produce una consecuencia. Aquí entran sugerir, planificar, autorizar, actuar por el usuario, esperar revisión, escalar y devolver el control. Su problema propio es la autoría legible: que se perciba quién acaba de actuar.</w:t>
      </w:r>
    </w:p>
    <w:p>
      <w:pPr>
        <w:spacing w:after="200" w:before="40"/>
      </w:pPr>
      <w:r>
        <w:rPr>
          <w:rFonts w:ascii="IBM Plex Sans" w:hAnsi="IBM Plex Sans" w:cs="IBM Plex Sans"/>
          <w:b/>
          <w:color w:val="1F3A5F"/>
          <w:sz w:val="17"/>
        </w:rPr>
        <w:t xml:space="preserve">TABLA 8.2   </w:t>
      </w:r>
      <w:r>
        <w:rPr>
          <w:rFonts w:ascii="IBM Plex Sans" w:hAnsi="IBM Plex Sans" w:cs="IBM Plex Sans"/>
          <w:color w:val="3A352F"/>
          <w:sz w:val="18"/>
        </w:rPr>
        <w:t xml:space="preserve">Las ocho familias fundamentales</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1663"/>
        <w:gridCol w:w="1663"/>
        <w:gridCol w:w="1663"/>
        <w:gridCol w:w="1663"/>
        <w:gridCol w:w="1663"/>
      </w:tblGrid>
      <w:tr>
        <w:tc>
          <w:tcPr>
            <w:tcW w:type="dxa" w:w="1663"/>
            <w:shd w:val="clear" w:color="auto" w:fill="EAE4D8"/>
          </w:tcPr>
          <w:p>
            <w:pPr>
              <w:spacing w:after="40"/>
            </w:pPr>
            <w:r>
              <w:rPr>
                <w:sz w:val="17"/>
              </w:rPr>
            </w:r>
            <w:r>
              <w:rPr>
                <w:rFonts w:ascii="IBM Plex Sans" w:hAnsi="IBM Plex Sans" w:cs="IBM Plex Sans"/>
                <w:b/>
                <w:i w:val="0"/>
                <w:color w:val="1F3A5F"/>
                <w:sz w:val="17"/>
              </w:rPr>
              <w:t>FAMILIA</w:t>
            </w:r>
          </w:p>
        </w:tc>
        <w:tc>
          <w:tcPr>
            <w:tcW w:type="dxa" w:w="1663"/>
            <w:shd w:val="clear" w:color="auto" w:fill="EAE4D8"/>
          </w:tcPr>
          <w:p>
            <w:pPr>
              <w:spacing w:after="40"/>
            </w:pPr>
            <w:r>
              <w:rPr>
                <w:sz w:val="17"/>
              </w:rPr>
            </w:r>
            <w:r>
              <w:rPr>
                <w:rFonts w:ascii="IBM Plex Sans" w:hAnsi="IBM Plex Sans" w:cs="IBM Plex Sans"/>
                <w:b/>
                <w:i w:val="0"/>
                <w:color w:val="1F3A5F"/>
                <w:sz w:val="17"/>
              </w:rPr>
              <w:t>PREGUNTA</w:t>
            </w:r>
          </w:p>
        </w:tc>
        <w:tc>
          <w:tcPr>
            <w:tcW w:type="dxa" w:w="1663"/>
            <w:shd w:val="clear" w:color="auto" w:fill="EAE4D8"/>
          </w:tcPr>
          <w:p>
            <w:pPr>
              <w:spacing w:after="40"/>
            </w:pPr>
            <w:r>
              <w:rPr>
                <w:sz w:val="17"/>
              </w:rPr>
            </w:r>
            <w:r>
              <w:rPr>
                <w:rFonts w:ascii="IBM Plex Sans" w:hAnsi="IBM Plex Sans" w:cs="IBM Plex Sans"/>
                <w:b/>
                <w:i w:val="0"/>
                <w:color w:val="1F3A5F"/>
                <w:sz w:val="17"/>
              </w:rPr>
              <w:t>QUÉ COMUNICA</w:t>
            </w:r>
          </w:p>
        </w:tc>
        <w:tc>
          <w:tcPr>
            <w:tcW w:type="dxa" w:w="1663"/>
            <w:shd w:val="clear" w:color="auto" w:fill="EAE4D8"/>
          </w:tcPr>
          <w:p>
            <w:pPr>
              <w:spacing w:after="40"/>
            </w:pPr>
            <w:r>
              <w:rPr>
                <w:sz w:val="17"/>
              </w:rPr>
            </w:r>
            <w:r>
              <w:rPr>
                <w:rFonts w:ascii="IBM Plex Sans" w:hAnsi="IBM Plex Sans" w:cs="IBM Plex Sans"/>
                <w:b/>
                <w:i w:val="0"/>
                <w:color w:val="1F3A5F"/>
                <w:sz w:val="17"/>
              </w:rPr>
              <w:t>TEMPORALIDAD</w:t>
            </w:r>
          </w:p>
        </w:tc>
        <w:tc>
          <w:tcPr>
            <w:tcW w:type="dxa" w:w="1663"/>
            <w:shd w:val="clear" w:color="auto" w:fill="EAE4D8"/>
          </w:tcPr>
          <w:p>
            <w:pPr>
              <w:spacing w:after="40"/>
            </w:pPr>
            <w:r>
              <w:rPr>
                <w:sz w:val="17"/>
              </w:rPr>
            </w:r>
            <w:r>
              <w:rPr>
                <w:rFonts w:ascii="IBM Plex Sans" w:hAnsi="IBM Plex Sans" w:cs="IBM Plex Sans"/>
                <w:b/>
                <w:i w:val="0"/>
                <w:color w:val="1F3A5F"/>
                <w:sz w:val="17"/>
              </w:rPr>
              <w:t>INTENT</w:t>
            </w:r>
          </w:p>
        </w:tc>
      </w:tr>
      <w:tr>
        <w:tc>
          <w:tcPr>
            <w:tcW w:type="dxa" w:w="1663"/>
          </w:tcPr>
          <w:p>
            <w:pPr>
              <w:spacing w:after="40"/>
            </w:pPr>
            <w:r>
              <w:rPr>
                <w:sz w:val="17"/>
              </w:rPr>
            </w:r>
            <w:r>
              <w:rPr>
                <w:rFonts w:ascii="IBM Plex Sans" w:hAnsi="IBM Plex Sans" w:cs="IBM Plex Sans"/>
                <w:b w:val="0"/>
                <w:i w:val="0"/>
                <w:color w:val="161412"/>
                <w:sz w:val="17"/>
              </w:rPr>
              <w:t>contact</w:t>
            </w:r>
          </w:p>
        </w:tc>
        <w:tc>
          <w:tcPr>
            <w:tcW w:type="dxa" w:w="1663"/>
          </w:tcPr>
          <w:p>
            <w:pPr>
              <w:spacing w:after="40"/>
            </w:pPr>
            <w:r>
              <w:rPr>
                <w:sz w:val="17"/>
              </w:rPr>
            </w:r>
            <w:r>
              <w:rPr>
                <w:rFonts w:ascii="IBM Plex Sans" w:hAnsi="IBM Plex Sans" w:cs="IBM Plex Sans"/>
                <w:b w:val="0"/>
                <w:i w:val="0"/>
                <w:color w:val="161412"/>
                <w:sz w:val="17"/>
              </w:rPr>
              <w:t>¿me ha sentido?</w:t>
            </w:r>
          </w:p>
        </w:tc>
        <w:tc>
          <w:tcPr>
            <w:tcW w:type="dxa" w:w="1663"/>
          </w:tcPr>
          <w:p>
            <w:pPr>
              <w:spacing w:after="40"/>
            </w:pPr>
            <w:r>
              <w:rPr>
                <w:sz w:val="17"/>
              </w:rPr>
            </w:r>
            <w:r>
              <w:rPr>
                <w:rFonts w:ascii="IBM Plex Sans" w:hAnsi="IBM Plex Sans" w:cs="IBM Plex Sans"/>
                <w:b w:val="0"/>
                <w:i w:val="0"/>
                <w:color w:val="161412"/>
                <w:sz w:val="17"/>
              </w:rPr>
              <w:t>Registro de acción</w:t>
            </w:r>
          </w:p>
        </w:tc>
        <w:tc>
          <w:tcPr>
            <w:tcW w:type="dxa" w:w="1663"/>
          </w:tcPr>
          <w:p>
            <w:pPr>
              <w:spacing w:after="40"/>
            </w:pPr>
            <w:r>
              <w:rPr>
                <w:sz w:val="17"/>
              </w:rPr>
            </w:r>
            <w:r>
              <w:rPr>
                <w:rFonts w:ascii="IBM Plex Sans" w:hAnsi="IBM Plex Sans" w:cs="IBM Plex Sans"/>
                <w:b w:val="0"/>
                <w:i w:val="0"/>
                <w:color w:val="161412"/>
                <w:sz w:val="17"/>
              </w:rPr>
              <w:t>Puntual</w:t>
            </w:r>
          </w:p>
        </w:tc>
        <w:tc>
          <w:tcPr>
            <w:tcW w:type="dxa" w:w="1663"/>
          </w:tcPr>
          <w:p>
            <w:pPr>
              <w:spacing w:after="40"/>
            </w:pPr>
            <w:r>
              <w:rPr>
                <w:sz w:val="17"/>
              </w:rPr>
            </w:r>
            <w:r>
              <w:rPr>
                <w:rFonts w:ascii="IBM Plex Sans" w:hAnsi="IBM Plex Sans" w:cs="IBM Plex Sans"/>
                <w:b w:val="0"/>
                <w:i w:val="0"/>
                <w:color w:val="161412"/>
                <w:sz w:val="17"/>
              </w:rPr>
              <w:t>Leve</w:t>
            </w:r>
          </w:p>
        </w:tc>
      </w:tr>
      <w:tr>
        <w:tc>
          <w:tcPr>
            <w:tcW w:type="dxa" w:w="1663"/>
          </w:tcPr>
          <w:p>
            <w:pPr>
              <w:spacing w:after="40"/>
            </w:pPr>
            <w:r>
              <w:rPr>
                <w:sz w:val="17"/>
              </w:rPr>
            </w:r>
            <w:r>
              <w:rPr>
                <w:rFonts w:ascii="IBM Plex Sans" w:hAnsi="IBM Plex Sans" w:cs="IBM Plex Sans"/>
                <w:b w:val="0"/>
                <w:i w:val="0"/>
                <w:color w:val="161412"/>
                <w:sz w:val="17"/>
              </w:rPr>
              <w:t>commit</w:t>
            </w:r>
          </w:p>
        </w:tc>
        <w:tc>
          <w:tcPr>
            <w:tcW w:type="dxa" w:w="1663"/>
          </w:tcPr>
          <w:p>
            <w:pPr>
              <w:spacing w:after="40"/>
            </w:pPr>
            <w:r>
              <w:rPr>
                <w:sz w:val="17"/>
              </w:rPr>
            </w:r>
            <w:r>
              <w:rPr>
                <w:rFonts w:ascii="IBM Plex Sans" w:hAnsi="IBM Plex Sans" w:cs="IBM Plex Sans"/>
                <w:b w:val="0"/>
                <w:i w:val="0"/>
                <w:color w:val="161412"/>
                <w:sz w:val="17"/>
              </w:rPr>
              <w:t>¿quedó fijado?</w:t>
            </w:r>
          </w:p>
        </w:tc>
        <w:tc>
          <w:tcPr>
            <w:tcW w:type="dxa" w:w="1663"/>
          </w:tcPr>
          <w:p>
            <w:pPr>
              <w:spacing w:after="40"/>
            </w:pPr>
            <w:r>
              <w:rPr>
                <w:sz w:val="17"/>
              </w:rPr>
            </w:r>
            <w:r>
              <w:rPr>
                <w:rFonts w:ascii="IBM Plex Sans" w:hAnsi="IBM Plex Sans" w:cs="IBM Plex Sans"/>
                <w:b w:val="0"/>
                <w:i w:val="0"/>
                <w:color w:val="161412"/>
                <w:sz w:val="17"/>
              </w:rPr>
              <w:t>Estado o consecuencia</w:t>
            </w:r>
          </w:p>
        </w:tc>
        <w:tc>
          <w:tcPr>
            <w:tcW w:type="dxa" w:w="1663"/>
          </w:tcPr>
          <w:p>
            <w:pPr>
              <w:spacing w:after="40"/>
            </w:pPr>
            <w:r>
              <w:rPr>
                <w:sz w:val="17"/>
              </w:rPr>
            </w:r>
            <w:r>
              <w:rPr>
                <w:rFonts w:ascii="IBM Plex Sans" w:hAnsi="IBM Plex Sans" w:cs="IBM Plex Sans"/>
                <w:b w:val="0"/>
                <w:i w:val="0"/>
                <w:color w:val="161412"/>
                <w:sz w:val="17"/>
              </w:rPr>
              <w:t>Resolutiva</w:t>
            </w:r>
          </w:p>
        </w:tc>
        <w:tc>
          <w:tcPr>
            <w:tcW w:type="dxa" w:w="1663"/>
          </w:tcPr>
          <w:p>
            <w:pPr>
              <w:spacing w:after="40"/>
            </w:pPr>
            <w:r>
              <w:rPr>
                <w:sz w:val="17"/>
              </w:rPr>
            </w:r>
            <w:r>
              <w:rPr>
                <w:rFonts w:ascii="IBM Plex Sans" w:hAnsi="IBM Plex Sans" w:cs="IBM Plex Sans"/>
                <w:b w:val="0"/>
                <w:i w:val="0"/>
                <w:color w:val="161412"/>
                <w:sz w:val="17"/>
              </w:rPr>
              <w:t>Sí</w:t>
            </w:r>
          </w:p>
        </w:tc>
      </w:tr>
      <w:tr>
        <w:tc>
          <w:tcPr>
            <w:tcW w:type="dxa" w:w="1663"/>
          </w:tcPr>
          <w:p>
            <w:pPr>
              <w:spacing w:after="40"/>
            </w:pPr>
            <w:r>
              <w:rPr>
                <w:sz w:val="17"/>
              </w:rPr>
            </w:r>
            <w:r>
              <w:rPr>
                <w:rFonts w:ascii="IBM Plex Sans" w:hAnsi="IBM Plex Sans" w:cs="IBM Plex Sans"/>
                <w:b w:val="0"/>
                <w:i w:val="0"/>
                <w:color w:val="161412"/>
                <w:sz w:val="17"/>
              </w:rPr>
              <w:t>signal</w:t>
            </w:r>
          </w:p>
        </w:tc>
        <w:tc>
          <w:tcPr>
            <w:tcW w:type="dxa" w:w="1663"/>
          </w:tcPr>
          <w:p>
            <w:pPr>
              <w:spacing w:after="40"/>
            </w:pPr>
            <w:r>
              <w:rPr>
                <w:sz w:val="17"/>
              </w:rPr>
            </w:r>
            <w:r>
              <w:rPr>
                <w:rFonts w:ascii="IBM Plex Sans" w:hAnsi="IBM Plex Sans" w:cs="IBM Plex Sans"/>
                <w:b w:val="0"/>
                <w:i w:val="0"/>
                <w:color w:val="161412"/>
                <w:sz w:val="17"/>
              </w:rPr>
              <w:t>¿debo atender?</w:t>
            </w:r>
          </w:p>
        </w:tc>
        <w:tc>
          <w:tcPr>
            <w:tcW w:type="dxa" w:w="1663"/>
          </w:tcPr>
          <w:p>
            <w:pPr>
              <w:spacing w:after="40"/>
            </w:pPr>
            <w:r>
              <w:rPr>
                <w:sz w:val="17"/>
              </w:rPr>
            </w:r>
            <w:r>
              <w:rPr>
                <w:rFonts w:ascii="IBM Plex Sans" w:hAnsi="IBM Plex Sans" w:cs="IBM Plex Sans"/>
                <w:b w:val="0"/>
                <w:i w:val="0"/>
                <w:color w:val="161412"/>
                <w:sz w:val="17"/>
              </w:rPr>
              <w:t>Mensaje del sistema</w:t>
            </w:r>
          </w:p>
        </w:tc>
        <w:tc>
          <w:tcPr>
            <w:tcW w:type="dxa" w:w="1663"/>
          </w:tcPr>
          <w:p>
            <w:pPr>
              <w:spacing w:after="40"/>
            </w:pPr>
            <w:r>
              <w:rPr>
                <w:sz w:val="17"/>
              </w:rPr>
            </w:r>
            <w:r>
              <w:rPr>
                <w:rFonts w:ascii="IBM Plex Sans" w:hAnsi="IBM Plex Sans" w:cs="IBM Plex Sans"/>
                <w:b w:val="0"/>
                <w:i w:val="0"/>
                <w:color w:val="161412"/>
                <w:sz w:val="17"/>
              </w:rPr>
              <w:t>Entrada + persist.</w:t>
            </w:r>
          </w:p>
        </w:tc>
        <w:tc>
          <w:tcPr>
            <w:tcW w:type="dxa" w:w="1663"/>
          </w:tcPr>
          <w:p>
            <w:pPr>
              <w:spacing w:after="40"/>
            </w:pPr>
            <w:r>
              <w:rPr>
                <w:sz w:val="17"/>
              </w:rPr>
            </w:r>
            <w:r>
              <w:rPr>
                <w:rFonts w:ascii="IBM Plex Sans" w:hAnsi="IBM Plex Sans" w:cs="IBM Plex Sans"/>
                <w:b w:val="0"/>
                <w:i w:val="0"/>
                <w:color w:val="161412"/>
                <w:sz w:val="17"/>
              </w:rPr>
              <w:t>Sí</w:t>
            </w:r>
          </w:p>
        </w:tc>
      </w:tr>
      <w:tr>
        <w:tc>
          <w:tcPr>
            <w:tcW w:type="dxa" w:w="1663"/>
          </w:tcPr>
          <w:p>
            <w:pPr>
              <w:spacing w:after="40"/>
            </w:pPr>
            <w:r>
              <w:rPr>
                <w:sz w:val="17"/>
              </w:rPr>
            </w:r>
            <w:r>
              <w:rPr>
                <w:rFonts w:ascii="IBM Plex Sans" w:hAnsi="IBM Plex Sans" w:cs="IBM Plex Sans"/>
                <w:b w:val="0"/>
                <w:i w:val="0"/>
                <w:color w:val="161412"/>
                <w:sz w:val="17"/>
              </w:rPr>
              <w:t>handle</w:t>
            </w:r>
          </w:p>
        </w:tc>
        <w:tc>
          <w:tcPr>
            <w:tcW w:type="dxa" w:w="1663"/>
          </w:tcPr>
          <w:p>
            <w:pPr>
              <w:spacing w:after="40"/>
            </w:pPr>
            <w:r>
              <w:rPr>
                <w:sz w:val="17"/>
              </w:rPr>
            </w:r>
            <w:r>
              <w:rPr>
                <w:rFonts w:ascii="IBM Plex Sans" w:hAnsi="IBM Plex Sans" w:cs="IBM Plex Sans"/>
                <w:b w:val="0"/>
                <w:i w:val="0"/>
                <w:color w:val="161412"/>
                <w:sz w:val="17"/>
              </w:rPr>
              <w:t>¿lo controlo?</w:t>
            </w:r>
          </w:p>
        </w:tc>
        <w:tc>
          <w:tcPr>
            <w:tcW w:type="dxa" w:w="1663"/>
          </w:tcPr>
          <w:p>
            <w:pPr>
              <w:spacing w:after="40"/>
            </w:pPr>
            <w:r>
              <w:rPr>
                <w:sz w:val="17"/>
              </w:rPr>
            </w:r>
            <w:r>
              <w:rPr>
                <w:rFonts w:ascii="IBM Plex Sans" w:hAnsi="IBM Plex Sans" w:cs="IBM Plex Sans"/>
                <w:b w:val="0"/>
                <w:i w:val="0"/>
                <w:color w:val="161412"/>
                <w:sz w:val="17"/>
              </w:rPr>
              <w:t>Manipulación directa</w:t>
            </w:r>
          </w:p>
        </w:tc>
        <w:tc>
          <w:tcPr>
            <w:tcW w:type="dxa" w:w="1663"/>
          </w:tcPr>
          <w:p>
            <w:pPr>
              <w:spacing w:after="40"/>
            </w:pPr>
            <w:r>
              <w:rPr>
                <w:sz w:val="17"/>
              </w:rPr>
            </w:r>
            <w:r>
              <w:rPr>
                <w:rFonts w:ascii="IBM Plex Sans" w:hAnsi="IBM Plex Sans" w:cs="IBM Plex Sans"/>
                <w:b w:val="0"/>
                <w:i w:val="0"/>
                <w:color w:val="161412"/>
                <w:sz w:val="17"/>
              </w:rPr>
              <w:t>pick/carry/drop</w:t>
            </w:r>
          </w:p>
        </w:tc>
        <w:tc>
          <w:tcPr>
            <w:tcW w:type="dxa" w:w="1663"/>
          </w:tcPr>
          <w:p>
            <w:pPr>
              <w:spacing w:after="40"/>
            </w:pPr>
            <w:r>
              <w:rPr>
                <w:sz w:val="17"/>
              </w:rPr>
            </w:r>
            <w:r>
              <w:rPr>
                <w:rFonts w:ascii="IBM Plex Sans" w:hAnsi="IBM Plex Sans" w:cs="IBM Plex Sans"/>
                <w:b w:val="0"/>
                <w:i w:val="0"/>
                <w:color w:val="161412"/>
                <w:sz w:val="17"/>
              </w:rPr>
              <w:t>En drop</w:t>
            </w:r>
          </w:p>
        </w:tc>
      </w:tr>
      <w:tr>
        <w:tc>
          <w:tcPr>
            <w:tcW w:type="dxa" w:w="1663"/>
          </w:tcPr>
          <w:p>
            <w:pPr>
              <w:spacing w:after="40"/>
            </w:pPr>
            <w:r>
              <w:rPr>
                <w:sz w:val="17"/>
              </w:rPr>
            </w:r>
            <w:r>
              <w:rPr>
                <w:rFonts w:ascii="IBM Plex Sans" w:hAnsi="IBM Plex Sans" w:cs="IBM Plex Sans"/>
                <w:b w:val="0"/>
                <w:i w:val="0"/>
                <w:color w:val="161412"/>
                <w:sz w:val="17"/>
              </w:rPr>
              <w:t>emerge</w:t>
            </w:r>
          </w:p>
        </w:tc>
        <w:tc>
          <w:tcPr>
            <w:tcW w:type="dxa" w:w="1663"/>
          </w:tcPr>
          <w:p>
            <w:pPr>
              <w:spacing w:after="40"/>
            </w:pPr>
            <w:r>
              <w:rPr>
                <w:sz w:val="17"/>
              </w:rPr>
            </w:r>
            <w:r>
              <w:rPr>
                <w:rFonts w:ascii="IBM Plex Sans" w:hAnsi="IBM Plex Sans" w:cs="IBM Plex Sans"/>
                <w:b w:val="0"/>
                <w:i w:val="0"/>
                <w:color w:val="161412"/>
                <w:sz w:val="17"/>
              </w:rPr>
              <w:t>¿apareció?</w:t>
            </w:r>
          </w:p>
        </w:tc>
        <w:tc>
          <w:tcPr>
            <w:tcW w:type="dxa" w:w="1663"/>
          </w:tcPr>
          <w:p>
            <w:pPr>
              <w:spacing w:after="40"/>
            </w:pPr>
            <w:r>
              <w:rPr>
                <w:sz w:val="17"/>
              </w:rPr>
            </w:r>
            <w:r>
              <w:rPr>
                <w:rFonts w:ascii="IBM Plex Sans" w:hAnsi="IBM Plex Sans" w:cs="IBM Plex Sans"/>
                <w:b w:val="0"/>
                <w:i w:val="0"/>
                <w:color w:val="161412"/>
                <w:sz w:val="17"/>
              </w:rPr>
              <w:t>Presencia/disponibilidad</w:t>
            </w:r>
          </w:p>
        </w:tc>
        <w:tc>
          <w:tcPr>
            <w:tcW w:type="dxa" w:w="1663"/>
          </w:tcPr>
          <w:p>
            <w:pPr>
              <w:spacing w:after="40"/>
            </w:pPr>
            <w:r>
              <w:rPr>
                <w:sz w:val="17"/>
              </w:rPr>
            </w:r>
            <w:r>
              <w:rPr>
                <w:rFonts w:ascii="IBM Plex Sans" w:hAnsi="IBM Plex Sans" w:cs="IBM Plex Sans"/>
                <w:b w:val="0"/>
                <w:i w:val="0"/>
                <w:color w:val="161412"/>
                <w:sz w:val="17"/>
              </w:rPr>
              <w:t>enter/exit</w:t>
            </w:r>
          </w:p>
        </w:tc>
        <w:tc>
          <w:tcPr>
            <w:tcW w:type="dxa" w:w="1663"/>
          </w:tcPr>
          <w:p>
            <w:pPr>
              <w:spacing w:after="40"/>
            </w:pPr>
            <w:r>
              <w:rPr>
                <w:sz w:val="17"/>
              </w:rPr>
            </w:r>
            <w:r>
              <w:rPr>
                <w:rFonts w:ascii="IBM Plex Sans" w:hAnsi="IBM Plex Sans" w:cs="IBM Plex Sans"/>
                <w:b w:val="0"/>
                <w:i w:val="0"/>
                <w:color w:val="161412"/>
                <w:sz w:val="17"/>
              </w:rPr>
              <w:t>Normalmente no</w:t>
            </w:r>
          </w:p>
        </w:tc>
      </w:tr>
      <w:tr>
        <w:tc>
          <w:tcPr>
            <w:tcW w:type="dxa" w:w="1663"/>
          </w:tcPr>
          <w:p>
            <w:pPr>
              <w:spacing w:after="40"/>
            </w:pPr>
            <w:r>
              <w:rPr>
                <w:sz w:val="17"/>
              </w:rPr>
            </w:r>
            <w:r>
              <w:rPr>
                <w:rFonts w:ascii="IBM Plex Sans" w:hAnsi="IBM Plex Sans" w:cs="IBM Plex Sans"/>
                <w:b w:val="0"/>
                <w:i w:val="0"/>
                <w:color w:val="161412"/>
                <w:sz w:val="17"/>
              </w:rPr>
              <w:t>shift</w:t>
            </w:r>
          </w:p>
        </w:tc>
        <w:tc>
          <w:tcPr>
            <w:tcW w:type="dxa" w:w="1663"/>
          </w:tcPr>
          <w:p>
            <w:pPr>
              <w:spacing w:after="40"/>
            </w:pPr>
            <w:r>
              <w:rPr>
                <w:sz w:val="17"/>
              </w:rPr>
            </w:r>
            <w:r>
              <w:rPr>
                <w:rFonts w:ascii="IBM Plex Sans" w:hAnsi="IBM Plex Sans" w:cs="IBM Plex Sans"/>
                <w:b w:val="0"/>
                <w:i w:val="0"/>
                <w:color w:val="161412"/>
                <w:sz w:val="17"/>
              </w:rPr>
              <w:t>¿cambió el marco?</w:t>
            </w:r>
          </w:p>
        </w:tc>
        <w:tc>
          <w:tcPr>
            <w:tcW w:type="dxa" w:w="1663"/>
          </w:tcPr>
          <w:p>
            <w:pPr>
              <w:spacing w:after="40"/>
            </w:pPr>
            <w:r>
              <w:rPr>
                <w:sz w:val="17"/>
              </w:rPr>
            </w:r>
            <w:r>
              <w:rPr>
                <w:rFonts w:ascii="IBM Plex Sans" w:hAnsi="IBM Plex Sans" w:cs="IBM Plex Sans"/>
                <w:b w:val="0"/>
                <w:i w:val="0"/>
                <w:color w:val="161412"/>
                <w:sz w:val="17"/>
              </w:rPr>
              <w:t>Cambio de régimen</w:t>
            </w:r>
          </w:p>
        </w:tc>
        <w:tc>
          <w:tcPr>
            <w:tcW w:type="dxa" w:w="1663"/>
          </w:tcPr>
          <w:p>
            <w:pPr>
              <w:spacing w:after="40"/>
            </w:pPr>
            <w:r>
              <w:rPr>
                <w:sz w:val="17"/>
              </w:rPr>
            </w:r>
            <w:r>
              <w:rPr>
                <w:rFonts w:ascii="IBM Plex Sans" w:hAnsi="IBM Plex Sans" w:cs="IBM Plex Sans"/>
                <w:b w:val="0"/>
                <w:i w:val="0"/>
                <w:color w:val="161412"/>
                <w:sz w:val="17"/>
              </w:rPr>
              <w:t>leave/arrive</w:t>
            </w:r>
          </w:p>
        </w:tc>
        <w:tc>
          <w:tcPr>
            <w:tcW w:type="dxa" w:w="1663"/>
          </w:tcPr>
          <w:p>
            <w:pPr>
              <w:spacing w:after="40"/>
            </w:pPr>
            <w:r>
              <w:rPr>
                <w:sz w:val="17"/>
              </w:rPr>
            </w:r>
            <w:r>
              <w:rPr>
                <w:rFonts w:ascii="IBM Plex Sans" w:hAnsi="IBM Plex Sans" w:cs="IBM Plex Sans"/>
                <w:b w:val="0"/>
                <w:i w:val="0"/>
                <w:color w:val="161412"/>
                <w:sz w:val="17"/>
              </w:rPr>
              <w:t>Normalmente no</w:t>
            </w:r>
          </w:p>
        </w:tc>
      </w:tr>
      <w:tr>
        <w:tc>
          <w:tcPr>
            <w:tcW w:type="dxa" w:w="1663"/>
          </w:tcPr>
          <w:p>
            <w:pPr>
              <w:spacing w:after="40"/>
            </w:pPr>
            <w:r>
              <w:rPr>
                <w:sz w:val="17"/>
              </w:rPr>
            </w:r>
            <w:r>
              <w:rPr>
                <w:rFonts w:ascii="IBM Plex Sans" w:hAnsi="IBM Plex Sans" w:cs="IBM Plex Sans"/>
                <w:b w:val="0"/>
                <w:i w:val="0"/>
                <w:color w:val="161412"/>
                <w:sz w:val="17"/>
              </w:rPr>
              <w:t>sustain</w:t>
            </w:r>
          </w:p>
        </w:tc>
        <w:tc>
          <w:tcPr>
            <w:tcW w:type="dxa" w:w="1663"/>
          </w:tcPr>
          <w:p>
            <w:pPr>
              <w:spacing w:after="40"/>
            </w:pPr>
            <w:r>
              <w:rPr>
                <w:sz w:val="17"/>
              </w:rPr>
            </w:r>
            <w:r>
              <w:rPr>
                <w:rFonts w:ascii="IBM Plex Sans" w:hAnsi="IBM Plex Sans" w:cs="IBM Plex Sans"/>
                <w:b w:val="0"/>
                <w:i w:val="0"/>
                <w:color w:val="161412"/>
                <w:sz w:val="17"/>
              </w:rPr>
              <w:t>¿sigue?</w:t>
            </w:r>
          </w:p>
        </w:tc>
        <w:tc>
          <w:tcPr>
            <w:tcW w:type="dxa" w:w="1663"/>
          </w:tcPr>
          <w:p>
            <w:pPr>
              <w:spacing w:after="40"/>
            </w:pPr>
            <w:r>
              <w:rPr>
                <w:sz w:val="17"/>
              </w:rPr>
            </w:r>
            <w:r>
              <w:rPr>
                <w:rFonts w:ascii="IBM Plex Sans" w:hAnsi="IBM Plex Sans" w:cs="IBM Plex Sans"/>
                <w:b w:val="0"/>
                <w:i w:val="0"/>
                <w:color w:val="161412"/>
                <w:sz w:val="17"/>
              </w:rPr>
              <w:t>Continuidad de proceso</w:t>
            </w:r>
          </w:p>
        </w:tc>
        <w:tc>
          <w:tcPr>
            <w:tcW w:type="dxa" w:w="1663"/>
          </w:tcPr>
          <w:p>
            <w:pPr>
              <w:spacing w:after="40"/>
            </w:pPr>
            <w:r>
              <w:rPr>
                <w:sz w:val="17"/>
              </w:rPr>
            </w:r>
            <w:r>
              <w:rPr>
                <w:rFonts w:ascii="IBM Plex Sans" w:hAnsi="IBM Plex Sans" w:cs="IBM Plex Sans"/>
                <w:b w:val="0"/>
                <w:i w:val="0"/>
                <w:color w:val="161412"/>
                <w:sz w:val="17"/>
              </w:rPr>
              <w:t>start/progress/end</w:t>
            </w:r>
          </w:p>
        </w:tc>
        <w:tc>
          <w:tcPr>
            <w:tcW w:type="dxa" w:w="1663"/>
          </w:tcPr>
          <w:p>
            <w:pPr>
              <w:spacing w:after="40"/>
            </w:pPr>
            <w:r>
              <w:rPr>
                <w:sz w:val="17"/>
              </w:rPr>
            </w:r>
            <w:r>
              <w:rPr>
                <w:rFonts w:ascii="IBM Plex Sans" w:hAnsi="IBM Plex Sans" w:cs="IBM Plex Sans"/>
                <w:b w:val="0"/>
                <w:i w:val="0"/>
                <w:color w:val="161412"/>
                <w:sz w:val="17"/>
              </w:rPr>
              <w:t>Normalmente no</w:t>
            </w:r>
          </w:p>
        </w:tc>
      </w:tr>
    </w:tbl>
    <w:p>
      <w:pPr>
        <w:spacing w:before="320" w:after="40"/>
      </w:pPr>
      <w:r>
        <w:rPr>
          <w:rFonts w:ascii="IBM Plex Sans" w:hAnsi="IBM Plex Sans" w:cs="IBM Plex Sans"/>
          <w:b/>
          <w:color w:val="1F3A5F"/>
          <w:sz w:val="18"/>
        </w:rPr>
        <w:t xml:space="preserve">§ 4</w:t>
      </w:r>
    </w:p>
    <w:p>
      <w:pPr>
        <w:spacing w:after="160" w:line="240" w:lineRule="auto"/>
      </w:pPr>
      <w:r>
        <w:rPr>
          <w:rFonts w:ascii="Newsreader" w:hAnsi="Newsreader" w:cs="Newsreader"/>
          <w:color w:val="161412"/>
          <w:sz w:val="38"/>
        </w:rPr>
        <w:t xml:space="preserve">Lo que se pierde y lo que se conserva</w:t>
      </w:r>
    </w:p>
    <w:p>
      <w:pPr>
        <w:spacing w:after="120" w:line="320" w:lineRule="auto"/>
        <w:jc w:val="both"/>
      </w:pPr>
      <w:r>
        <w:rPr>
          <w:rFonts w:ascii="Newsreader" w:hAnsi="Newsreader" w:cs="Newsreader"/>
          <w:b w:val="0"/>
          <w:i w:val="0"/>
          <w:color w:val="161412"/>
        </w:rPr>
        <w:t xml:space="preserve">La reducción no elimina las semánticas exploratorias. Las reubica.</w:t>
      </w:r>
    </w:p>
    <w:p>
      <w:pPr>
        <w:spacing w:after="200" w:before="40"/>
      </w:pPr>
      <w:r>
        <w:rPr>
          <w:rFonts w:ascii="IBM Plex Sans" w:hAnsi="IBM Plex Sans" w:cs="IBM Plex Sans"/>
          <w:b/>
          <w:color w:val="1F3A5F"/>
          <w:sz w:val="17"/>
        </w:rPr>
        <w:t xml:space="preserve">TABLA 8.3   </w:t>
      </w:r>
      <w:r>
        <w:rPr>
          <w:rFonts w:ascii="IBM Plex Sans" w:hAnsi="IBM Plex Sans" w:cs="IBM Plex Sans"/>
          <w:color w:val="3A352F"/>
          <w:sz w:val="18"/>
        </w:rPr>
        <w:t xml:space="preserve">Reubicación de las semánticas exploratorias</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SEMÁNTICA EXPLORATORIA</w:t>
            </w:r>
          </w:p>
        </w:tc>
        <w:tc>
          <w:tcPr>
            <w:tcW w:type="dxa" w:w="4158"/>
            <w:shd w:val="clear" w:color="auto" w:fill="EAE4D8"/>
          </w:tcPr>
          <w:p>
            <w:pPr>
              <w:spacing w:after="40"/>
            </w:pPr>
            <w:r>
              <w:rPr>
                <w:sz w:val="17"/>
              </w:rPr>
            </w:r>
            <w:r>
              <w:rPr>
                <w:rFonts w:ascii="IBM Plex Sans" w:hAnsi="IBM Plex Sans" w:cs="IBM Plex Sans"/>
                <w:b/>
                <w:i w:val="0"/>
                <w:color w:val="1F3A5F"/>
                <w:sz w:val="17"/>
              </w:rPr>
              <w:t>REUBICACIÓN EN FAMILIAS</w:t>
            </w:r>
          </w:p>
        </w:tc>
      </w:tr>
      <w:tr>
        <w:tc>
          <w:tcPr>
            <w:tcW w:type="dxa" w:w="4158"/>
          </w:tcPr>
          <w:p>
            <w:pPr>
              <w:spacing w:after="40"/>
            </w:pPr>
            <w:r>
              <w:rPr>
                <w:sz w:val="17"/>
              </w:rPr>
            </w:r>
            <w:r>
              <w:rPr>
                <w:rFonts w:ascii="IBM Plex Sans" w:hAnsi="IBM Plex Sans" w:cs="IBM Plex Sans"/>
                <w:b w:val="0"/>
                <w:i w:val="0"/>
                <w:color w:val="161412"/>
                <w:sz w:val="17"/>
              </w:rPr>
              <w:t>feedback</w:t>
            </w:r>
          </w:p>
        </w:tc>
        <w:tc>
          <w:tcPr>
            <w:tcW w:type="dxa" w:w="4158"/>
          </w:tcPr>
          <w:p>
            <w:pPr>
              <w:spacing w:after="40"/>
            </w:pPr>
            <w:r>
              <w:rPr>
                <w:sz w:val="17"/>
              </w:rPr>
            </w:r>
            <w:r>
              <w:rPr>
                <w:rFonts w:ascii="IBM Plex Sans" w:hAnsi="IBM Plex Sans" w:cs="IBM Plex Sans"/>
                <w:b w:val="0"/>
                <w:i w:val="0"/>
                <w:color w:val="161412"/>
                <w:sz w:val="17"/>
              </w:rPr>
              <w:t>contact</w:t>
            </w:r>
          </w:p>
        </w:tc>
      </w:tr>
      <w:tr>
        <w:tc>
          <w:tcPr>
            <w:tcW w:type="dxa" w:w="4158"/>
          </w:tcPr>
          <w:p>
            <w:pPr>
              <w:spacing w:after="40"/>
            </w:pPr>
            <w:r>
              <w:rPr>
                <w:sz w:val="17"/>
              </w:rPr>
            </w:r>
            <w:r>
              <w:rPr>
                <w:rFonts w:ascii="IBM Plex Sans" w:hAnsi="IBM Plex Sans" w:cs="IBM Plex Sans"/>
                <w:b w:val="0"/>
                <w:i w:val="0"/>
                <w:color w:val="161412"/>
                <w:sz w:val="17"/>
              </w:rPr>
              <w:t>selection</w:t>
            </w:r>
          </w:p>
        </w:tc>
        <w:tc>
          <w:tcPr>
            <w:tcW w:type="dxa" w:w="4158"/>
          </w:tcPr>
          <w:p>
            <w:pPr>
              <w:spacing w:after="40"/>
            </w:pPr>
            <w:r>
              <w:rPr>
                <w:sz w:val="17"/>
              </w:rPr>
            </w:r>
            <w:r>
              <w:rPr>
                <w:rFonts w:ascii="IBM Plex Sans" w:hAnsi="IBM Plex Sans" w:cs="IBM Plex Sans"/>
                <w:b w:val="0"/>
                <w:i w:val="0"/>
                <w:color w:val="161412"/>
                <w:sz w:val="17"/>
              </w:rPr>
              <w:t>commit.select</w:t>
            </w:r>
          </w:p>
        </w:tc>
      </w:tr>
      <w:tr>
        <w:tc>
          <w:tcPr>
            <w:tcW w:type="dxa" w:w="4158"/>
          </w:tcPr>
          <w:p>
            <w:pPr>
              <w:spacing w:after="40"/>
            </w:pPr>
            <w:r>
              <w:rPr>
                <w:sz w:val="17"/>
              </w:rPr>
            </w:r>
            <w:r>
              <w:rPr>
                <w:rFonts w:ascii="IBM Plex Sans" w:hAnsi="IBM Plex Sans" w:cs="IBM Plex Sans"/>
                <w:b w:val="0"/>
                <w:i w:val="0"/>
                <w:color w:val="161412"/>
                <w:sz w:val="17"/>
              </w:rPr>
              <w:t>completion</w:t>
            </w:r>
          </w:p>
        </w:tc>
        <w:tc>
          <w:tcPr>
            <w:tcW w:type="dxa" w:w="4158"/>
          </w:tcPr>
          <w:p>
            <w:pPr>
              <w:spacing w:after="40"/>
            </w:pPr>
            <w:r>
              <w:rPr>
                <w:sz w:val="17"/>
              </w:rPr>
            </w:r>
            <w:r>
              <w:rPr>
                <w:rFonts w:ascii="IBM Plex Sans" w:hAnsi="IBM Plex Sans" w:cs="IBM Plex Sans"/>
                <w:b w:val="0"/>
                <w:i w:val="0"/>
                <w:color w:val="161412"/>
                <w:sz w:val="17"/>
              </w:rPr>
              <w:t>commit.complete + fulfill</w:t>
            </w:r>
          </w:p>
        </w:tc>
      </w:tr>
      <w:tr>
        <w:tc>
          <w:tcPr>
            <w:tcW w:type="dxa" w:w="4158"/>
          </w:tcPr>
          <w:p>
            <w:pPr>
              <w:spacing w:after="40"/>
            </w:pPr>
            <w:r>
              <w:rPr>
                <w:sz w:val="17"/>
              </w:rPr>
            </w:r>
            <w:r>
              <w:rPr>
                <w:rFonts w:ascii="IBM Plex Sans" w:hAnsi="IBM Plex Sans" w:cs="IBM Plex Sans"/>
                <w:b w:val="0"/>
                <w:i w:val="0"/>
                <w:color w:val="161412"/>
                <w:sz w:val="17"/>
              </w:rPr>
              <w:t>destruction</w:t>
            </w:r>
          </w:p>
        </w:tc>
        <w:tc>
          <w:tcPr>
            <w:tcW w:type="dxa" w:w="4158"/>
          </w:tcPr>
          <w:p>
            <w:pPr>
              <w:spacing w:after="40"/>
            </w:pPr>
            <w:r>
              <w:rPr>
                <w:sz w:val="17"/>
              </w:rPr>
            </w:r>
            <w:r>
              <w:rPr>
                <w:rFonts w:ascii="IBM Plex Sans" w:hAnsi="IBM Plex Sans" w:cs="IBM Plex Sans"/>
                <w:b w:val="0"/>
                <w:i w:val="0"/>
                <w:color w:val="161412"/>
                <w:sz w:val="17"/>
              </w:rPr>
              <w:t>commit.delete + loss</w:t>
            </w:r>
          </w:p>
        </w:tc>
      </w:tr>
      <w:tr>
        <w:tc>
          <w:tcPr>
            <w:tcW w:type="dxa" w:w="4158"/>
          </w:tcPr>
          <w:p>
            <w:pPr>
              <w:spacing w:after="40"/>
            </w:pPr>
            <w:r>
              <w:rPr>
                <w:sz w:val="17"/>
              </w:rPr>
            </w:r>
            <w:r>
              <w:rPr>
                <w:rFonts w:ascii="IBM Plex Sans" w:hAnsi="IBM Plex Sans" w:cs="IBM Plex Sans"/>
                <w:b w:val="0"/>
                <w:i w:val="0"/>
                <w:color w:val="161412"/>
                <w:sz w:val="17"/>
              </w:rPr>
              <w:t>notification</w:t>
            </w:r>
          </w:p>
        </w:tc>
        <w:tc>
          <w:tcPr>
            <w:tcW w:type="dxa" w:w="4158"/>
          </w:tcPr>
          <w:p>
            <w:pPr>
              <w:spacing w:after="40"/>
            </w:pPr>
            <w:r>
              <w:rPr>
                <w:sz w:val="17"/>
              </w:rPr>
            </w:r>
            <w:r>
              <w:rPr>
                <w:rFonts w:ascii="IBM Plex Sans" w:hAnsi="IBM Plex Sans" w:cs="IBM Plex Sans"/>
                <w:b w:val="0"/>
                <w:i w:val="0"/>
                <w:color w:val="161412"/>
                <w:sz w:val="17"/>
              </w:rPr>
              <w:t>signal.notify</w:t>
            </w:r>
          </w:p>
        </w:tc>
      </w:tr>
      <w:tr>
        <w:tc>
          <w:tcPr>
            <w:tcW w:type="dxa" w:w="4158"/>
          </w:tcPr>
          <w:p>
            <w:pPr>
              <w:spacing w:after="40"/>
            </w:pPr>
            <w:r>
              <w:rPr>
                <w:sz w:val="17"/>
              </w:rPr>
            </w:r>
            <w:r>
              <w:rPr>
                <w:rFonts w:ascii="IBM Plex Sans" w:hAnsi="IBM Plex Sans" w:cs="IBM Plex Sans"/>
                <w:b w:val="0"/>
                <w:i w:val="0"/>
                <w:color w:val="161412"/>
                <w:sz w:val="17"/>
              </w:rPr>
              <w:t>attention</w:t>
            </w:r>
          </w:p>
        </w:tc>
        <w:tc>
          <w:tcPr>
            <w:tcW w:type="dxa" w:w="4158"/>
          </w:tcPr>
          <w:p>
            <w:pPr>
              <w:spacing w:after="40"/>
            </w:pPr>
            <w:r>
              <w:rPr>
                <w:sz w:val="17"/>
              </w:rPr>
            </w:r>
            <w:r>
              <w:rPr>
                <w:rFonts w:ascii="IBM Plex Sans" w:hAnsi="IBM Plex Sans" w:cs="IBM Plex Sans"/>
                <w:b w:val="0"/>
                <w:i w:val="0"/>
                <w:color w:val="161412"/>
                <w:sz w:val="17"/>
              </w:rPr>
              <w:t>signal.alert / signal.warn</w:t>
            </w:r>
          </w:p>
        </w:tc>
      </w:tr>
      <w:tr>
        <w:tc>
          <w:tcPr>
            <w:tcW w:type="dxa" w:w="4158"/>
          </w:tcPr>
          <w:p>
            <w:pPr>
              <w:spacing w:after="40"/>
            </w:pPr>
            <w:r>
              <w:rPr>
                <w:sz w:val="17"/>
              </w:rPr>
            </w:r>
            <w:r>
              <w:rPr>
                <w:rFonts w:ascii="IBM Plex Sans" w:hAnsi="IBM Plex Sans" w:cs="IBM Plex Sans"/>
                <w:b w:val="0"/>
                <w:i w:val="0"/>
                <w:color w:val="161412"/>
                <w:sz w:val="17"/>
              </w:rPr>
              <w:t>emphasis</w:t>
            </w:r>
          </w:p>
        </w:tc>
        <w:tc>
          <w:tcPr>
            <w:tcW w:type="dxa" w:w="4158"/>
          </w:tcPr>
          <w:p>
            <w:pPr>
              <w:spacing w:after="40"/>
            </w:pPr>
            <w:r>
              <w:rPr>
                <w:sz w:val="17"/>
              </w:rPr>
            </w:r>
            <w:r>
              <w:rPr>
                <w:rFonts w:ascii="IBM Plex Sans" w:hAnsi="IBM Plex Sans" w:cs="IBM Plex Sans"/>
                <w:b w:val="0"/>
                <w:i w:val="0"/>
                <w:color w:val="161412"/>
                <w:sz w:val="17"/>
              </w:rPr>
              <w:t>signal.emphasize</w:t>
            </w:r>
          </w:p>
        </w:tc>
      </w:tr>
      <w:tr>
        <w:tc>
          <w:tcPr>
            <w:tcW w:type="dxa" w:w="4158"/>
          </w:tcPr>
          <w:p>
            <w:pPr>
              <w:spacing w:after="40"/>
            </w:pPr>
            <w:r>
              <w:rPr>
                <w:sz w:val="17"/>
              </w:rPr>
            </w:r>
            <w:r>
              <w:rPr>
                <w:rFonts w:ascii="IBM Plex Sans" w:hAnsi="IBM Plex Sans" w:cs="IBM Plex Sans"/>
                <w:b w:val="0"/>
                <w:i w:val="0"/>
                <w:color w:val="161412"/>
                <w:sz w:val="17"/>
              </w:rPr>
              <w:t>revelation</w:t>
            </w:r>
          </w:p>
        </w:tc>
        <w:tc>
          <w:tcPr>
            <w:tcW w:type="dxa" w:w="4158"/>
          </w:tcPr>
          <w:p>
            <w:pPr>
              <w:spacing w:after="40"/>
            </w:pPr>
            <w:r>
              <w:rPr>
                <w:sz w:val="17"/>
              </w:rPr>
            </w:r>
            <w:r>
              <w:rPr>
                <w:rFonts w:ascii="IBM Plex Sans" w:hAnsi="IBM Plex Sans" w:cs="IBM Plex Sans"/>
                <w:b w:val="0"/>
                <w:i w:val="0"/>
                <w:color w:val="161412"/>
                <w:sz w:val="17"/>
              </w:rPr>
              <w:t>emerge.reveal</w:t>
            </w:r>
          </w:p>
        </w:tc>
      </w:tr>
      <w:tr>
        <w:tc>
          <w:tcPr>
            <w:tcW w:type="dxa" w:w="4158"/>
          </w:tcPr>
          <w:p>
            <w:pPr>
              <w:spacing w:after="40"/>
            </w:pPr>
            <w:r>
              <w:rPr>
                <w:sz w:val="17"/>
              </w:rPr>
            </w:r>
            <w:r>
              <w:rPr>
                <w:rFonts w:ascii="IBM Plex Sans" w:hAnsi="IBM Plex Sans" w:cs="IBM Plex Sans"/>
                <w:b w:val="0"/>
                <w:i w:val="0"/>
                <w:color w:val="161412"/>
                <w:sz w:val="17"/>
              </w:rPr>
              <w:t>expansion</w:t>
            </w:r>
          </w:p>
        </w:tc>
        <w:tc>
          <w:tcPr>
            <w:tcW w:type="dxa" w:w="4158"/>
          </w:tcPr>
          <w:p>
            <w:pPr>
              <w:spacing w:after="40"/>
            </w:pPr>
            <w:r>
              <w:rPr>
                <w:sz w:val="17"/>
              </w:rPr>
            </w:r>
            <w:r>
              <w:rPr>
                <w:rFonts w:ascii="IBM Plex Sans" w:hAnsi="IBM Plex Sans" w:cs="IBM Plex Sans"/>
                <w:b w:val="0"/>
                <w:i w:val="0"/>
                <w:color w:val="161412"/>
                <w:sz w:val="17"/>
              </w:rPr>
              <w:t>emerge.expand</w:t>
            </w:r>
          </w:p>
        </w:tc>
      </w:tr>
      <w:tr>
        <w:tc>
          <w:tcPr>
            <w:tcW w:type="dxa" w:w="4158"/>
          </w:tcPr>
          <w:p>
            <w:pPr>
              <w:spacing w:after="40"/>
            </w:pPr>
            <w:r>
              <w:rPr>
                <w:sz w:val="17"/>
              </w:rPr>
            </w:r>
            <w:r>
              <w:rPr>
                <w:rFonts w:ascii="IBM Plex Sans" w:hAnsi="IBM Plex Sans" w:cs="IBM Plex Sans"/>
                <w:b w:val="0"/>
                <w:i w:val="0"/>
                <w:color w:val="161412"/>
                <w:sz w:val="17"/>
              </w:rPr>
              <w:t>context</w:t>
            </w:r>
          </w:p>
        </w:tc>
        <w:tc>
          <w:tcPr>
            <w:tcW w:type="dxa" w:w="4158"/>
          </w:tcPr>
          <w:p>
            <w:pPr>
              <w:spacing w:after="40"/>
            </w:pPr>
            <w:r>
              <w:rPr>
                <w:sz w:val="17"/>
              </w:rPr>
            </w:r>
            <w:r>
              <w:rPr>
                <w:rFonts w:ascii="IBM Plex Sans" w:hAnsi="IBM Plex Sans" w:cs="IBM Plex Sans"/>
                <w:b w:val="0"/>
                <w:i w:val="0"/>
                <w:color w:val="161412"/>
                <w:sz w:val="17"/>
              </w:rPr>
              <w:t>shift si cambia marco; emerge si solo aparece superficie</w:t>
            </w:r>
          </w:p>
        </w:tc>
      </w:tr>
      <w:tr>
        <w:tc>
          <w:tcPr>
            <w:tcW w:type="dxa" w:w="4158"/>
          </w:tcPr>
          <w:p>
            <w:pPr>
              <w:spacing w:after="40"/>
            </w:pPr>
            <w:r>
              <w:rPr>
                <w:sz w:val="17"/>
              </w:rPr>
            </w:r>
            <w:r>
              <w:rPr>
                <w:rFonts w:ascii="IBM Plex Sans" w:hAnsi="IBM Plex Sans" w:cs="IBM Plex Sans"/>
                <w:b w:val="0"/>
                <w:i w:val="0"/>
                <w:color w:val="161412"/>
                <w:sz w:val="17"/>
              </w:rPr>
              <w:t>navigation</w:t>
            </w:r>
          </w:p>
        </w:tc>
        <w:tc>
          <w:tcPr>
            <w:tcW w:type="dxa" w:w="4158"/>
          </w:tcPr>
          <w:p>
            <w:pPr>
              <w:spacing w:after="40"/>
            </w:pPr>
            <w:r>
              <w:rPr>
                <w:sz w:val="17"/>
              </w:rPr>
            </w:r>
            <w:r>
              <w:rPr>
                <w:rFonts w:ascii="IBM Plex Sans" w:hAnsi="IBM Plex Sans" w:cs="IBM Plex Sans"/>
                <w:b w:val="0"/>
                <w:i w:val="0"/>
                <w:color w:val="161412"/>
                <w:sz w:val="17"/>
              </w:rPr>
              <w:t>shift.navigate</w:t>
            </w:r>
          </w:p>
        </w:tc>
      </w:tr>
      <w:tr>
        <w:tc>
          <w:tcPr>
            <w:tcW w:type="dxa" w:w="4158"/>
          </w:tcPr>
          <w:p>
            <w:pPr>
              <w:spacing w:after="40"/>
            </w:pPr>
            <w:r>
              <w:rPr>
                <w:sz w:val="17"/>
              </w:rPr>
            </w:r>
            <w:r>
              <w:rPr>
                <w:rFonts w:ascii="IBM Plex Sans" w:hAnsi="IBM Plex Sans" w:cs="IBM Plex Sans"/>
                <w:b w:val="0"/>
                <w:i w:val="0"/>
                <w:color w:val="161412"/>
                <w:sz w:val="17"/>
              </w:rPr>
              <w:t>persistence</w:t>
            </w:r>
          </w:p>
        </w:tc>
        <w:tc>
          <w:tcPr>
            <w:tcW w:type="dxa" w:w="4158"/>
          </w:tcPr>
          <w:p>
            <w:pPr>
              <w:spacing w:after="40"/>
            </w:pPr>
            <w:r>
              <w:rPr>
                <w:sz w:val="17"/>
              </w:rPr>
            </w:r>
            <w:r>
              <w:rPr>
                <w:rFonts w:ascii="IBM Plex Sans" w:hAnsi="IBM Plex Sans" w:cs="IBM Plex Sans"/>
                <w:b w:val="0"/>
                <w:i w:val="0"/>
                <w:color w:val="161412"/>
                <w:sz w:val="17"/>
              </w:rPr>
              <w:t>sustain</w:t>
            </w:r>
          </w:p>
        </w:tc>
      </w:tr>
      <w:tr>
        <w:tc>
          <w:tcPr>
            <w:tcW w:type="dxa" w:w="4158"/>
          </w:tcPr>
          <w:p>
            <w:pPr>
              <w:spacing w:after="40"/>
            </w:pPr>
            <w:r>
              <w:rPr>
                <w:sz w:val="17"/>
              </w:rPr>
            </w:r>
            <w:r>
              <w:rPr>
                <w:rFonts w:ascii="IBM Plex Sans" w:hAnsi="IBM Plex Sans" w:cs="IBM Plex Sans"/>
                <w:b w:val="0"/>
                <w:i w:val="0"/>
                <w:color w:val="161412"/>
                <w:sz w:val="17"/>
              </w:rPr>
              <w:t>manipulation</w:t>
            </w:r>
          </w:p>
        </w:tc>
        <w:tc>
          <w:tcPr>
            <w:tcW w:type="dxa" w:w="4158"/>
          </w:tcPr>
          <w:p>
            <w:pPr>
              <w:spacing w:after="40"/>
            </w:pPr>
            <w:r>
              <w:rPr>
                <w:sz w:val="17"/>
              </w:rPr>
            </w:r>
            <w:r>
              <w:rPr>
                <w:rFonts w:ascii="IBM Plex Sans" w:hAnsi="IBM Plex Sans" w:cs="IBM Plex Sans"/>
                <w:b w:val="0"/>
                <w:i w:val="0"/>
                <w:color w:val="161412"/>
                <w:sz w:val="17"/>
              </w:rPr>
              <w:t>handle.pick / carry / drop</w:t>
            </w:r>
          </w:p>
        </w:tc>
      </w:tr>
    </w:tbl>
    <w:p>
      <w:pPr>
        <w:spacing w:before="320" w:after="40"/>
      </w:pPr>
      <w:r>
        <w:rPr>
          <w:rFonts w:ascii="IBM Plex Sans" w:hAnsi="IBM Plex Sans" w:cs="IBM Plex Sans"/>
          <w:b/>
          <w:color w:val="1F3A5F"/>
          <w:sz w:val="18"/>
        </w:rPr>
        <w:t xml:space="preserve">§ 5</w:t>
      </w:r>
    </w:p>
    <w:p>
      <w:pPr>
        <w:spacing w:after="160" w:line="240" w:lineRule="auto"/>
      </w:pPr>
      <w:r>
        <w:rPr>
          <w:rFonts w:ascii="Newsreader" w:hAnsi="Newsreader" w:cs="Newsreader"/>
          <w:color w:val="161412"/>
          <w:sz w:val="38"/>
        </w:rPr>
        <w:t xml:space="preserve">Tres casos difíciles</w:t>
      </w:r>
    </w:p>
    <w:p>
      <w:pPr>
        <w:spacing w:before="240" w:after="100"/>
      </w:pPr>
      <w:r>
        <w:rPr>
          <w:rFonts w:ascii="Newsreader" w:hAnsi="Newsreader" w:cs="Newsreader"/>
          <w:i/>
          <w:color w:val="1F3A5F"/>
          <w:sz w:val="28"/>
        </w:rPr>
        <w:t xml:space="preserve">El caso context</w:t>
      </w:r>
    </w:p>
    <w:p>
      <w:pPr>
        <w:spacing w:after="120" w:line="320" w:lineRule="auto"/>
        <w:jc w:val="both"/>
      </w:pPr>
      <w:r>
        <w:rPr>
          <w:rFonts w:ascii="Newsreader" w:hAnsi="Newsreader" w:cs="Newsreader"/>
          <w:b w:val="0"/>
          <w:i w:val="0"/>
          <w:color w:val="161412"/>
        </w:rPr>
        <w:t xml:space="preserve">Cuando algo aparece sin cambiar profundamente el régimen operativo, estamos cerca de emerge. Cuando reorganiza el foco, bloquea el fondo o impone un nuevo régimen, estamos en shift. Un tooltip es emerge; un modal bloqueante es shift. La pregunta: ¿solo aparece algo o cambia el régimen de operación?</w:t>
      </w:r>
    </w:p>
    <w:p>
      <w:pPr>
        <w:spacing w:before="200" w:after="60"/>
        <w:jc w:val="center"/>
      </w:pPr>
      <w:r>
        <w:drawing>
          <wp:inline xmlns:a="http://schemas.openxmlformats.org/drawingml/2006/main" xmlns:pic="http://schemas.openxmlformats.org/drawingml/2006/picture">
            <wp:extent cx="5029200" cy="2376297"/>
            <wp:docPr id="50" name="Picture 50"/>
            <wp:cNvGraphicFramePr>
              <a:graphicFrameLocks noChangeAspect="1"/>
            </wp:cNvGraphicFramePr>
            <a:graphic>
              <a:graphicData uri="http://schemas.openxmlformats.org/drawingml/2006/picture">
                <pic:pic>
                  <pic:nvPicPr>
                    <pic:cNvPr id="0" name="figura-8-4.png"/>
                    <pic:cNvPicPr/>
                  </pic:nvPicPr>
                  <pic:blipFill>
                    <a:blip r:embed="rId58"/>
                    <a:stretch>
                      <a:fillRect/>
                    </a:stretch>
                  </pic:blipFill>
                  <pic:spPr>
                    <a:xfrm>
                      <a:off x="0" y="0"/>
                      <a:ext cx="5029200" cy="2376297"/>
                    </a:xfrm>
                    <a:prstGeom prst="rect"/>
                  </pic:spPr>
                </pic:pic>
              </a:graphicData>
            </a:graphic>
          </wp:inline>
        </w:drawing>
      </w:r>
    </w:p>
    <w:p>
      <w:pPr>
        <w:spacing w:before="240" w:after="100"/>
      </w:pPr>
      <w:r>
        <w:rPr>
          <w:rFonts w:ascii="Newsreader" w:hAnsi="Newsreader" w:cs="Newsreader"/>
          <w:i/>
          <w:color w:val="1F3A5F"/>
          <w:sz w:val="28"/>
        </w:rPr>
        <w:t xml:space="preserve">El caso signal</w:t>
      </w:r>
    </w:p>
    <w:p>
      <w:pPr>
        <w:spacing w:after="120" w:line="320" w:lineRule="auto"/>
        <w:jc w:val="both"/>
      </w:pPr>
      <w:r>
        <w:rPr>
          <w:rFonts w:ascii="Newsreader" w:hAnsi="Newsreader" w:cs="Newsreader"/>
          <w:b w:val="0"/>
          <w:i w:val="0"/>
          <w:color w:val="161412"/>
        </w:rPr>
        <w:t xml:space="preserve">Las tres semánticas previas (notification, attention, emphasis) comparten una función profunda: el sistema intenta modificar la atención del usuario. Lo que cambia es la intensidad, el tono, la persistencia y el intent. La familia es la misma: signal. La variación ocurre por verbo, prioridad e intent.</w:t>
      </w:r>
    </w:p>
    <w:p>
      <w:pPr>
        <w:spacing w:before="240" w:after="100"/>
      </w:pPr>
      <w:r>
        <w:rPr>
          <w:rFonts w:ascii="Newsreader" w:hAnsi="Newsreader" w:cs="Newsreader"/>
          <w:i/>
          <w:color w:val="1F3A5F"/>
          <w:sz w:val="28"/>
        </w:rPr>
        <w:t xml:space="preserve">El caso commit</w:t>
      </w:r>
    </w:p>
    <w:p>
      <w:pPr>
        <w:spacing w:after="120" w:line="320" w:lineRule="auto"/>
        <w:jc w:val="both"/>
      </w:pPr>
      <w:r>
        <w:rPr>
          <w:rFonts w:ascii="Newsreader" w:hAnsi="Newsreader" w:cs="Newsreader"/>
          <w:b w:val="0"/>
          <w:i w:val="0"/>
          <w:color w:val="161412"/>
        </w:rPr>
        <w:t xml:space="preserve">commit no significa «guardar». Significa que algo queda fijado en el contexto operativo. Aquí conviene anticipar una distinción importante: threat comunica que algo está en peligro o exige reacción inmediata; loss comunica que algo ya se perdió. No son el mismo estado afectivo. Una amenaza todavía convoca acción; una pérdida consumada registra consecuencia. Tratar una pérdida como amenaza comunica urgencia donde ya no hay nada que evitar.</w:t>
      </w:r>
    </w:p>
    <w:p>
      <w:pPr>
        <w:spacing w:before="200" w:after="60"/>
        <w:jc w:val="center"/>
      </w:pPr>
      <w:r>
        <w:drawing>
          <wp:inline xmlns:a="http://schemas.openxmlformats.org/drawingml/2006/main" xmlns:pic="http://schemas.openxmlformats.org/drawingml/2006/picture">
            <wp:extent cx="5029200" cy="2445448"/>
            <wp:docPr id="51" name="Picture 51"/>
            <wp:cNvGraphicFramePr>
              <a:graphicFrameLocks noChangeAspect="1"/>
            </wp:cNvGraphicFramePr>
            <a:graphic>
              <a:graphicData uri="http://schemas.openxmlformats.org/drawingml/2006/picture">
                <pic:pic>
                  <pic:nvPicPr>
                    <pic:cNvPr id="0" name="figura-8-5.png"/>
                    <pic:cNvPicPr/>
                  </pic:nvPicPr>
                  <pic:blipFill>
                    <a:blip r:embed="rId59"/>
                    <a:stretch>
                      <a:fillRect/>
                    </a:stretch>
                  </pic:blipFill>
                  <pic:spPr>
                    <a:xfrm>
                      <a:off x="0" y="0"/>
                      <a:ext cx="5029200" cy="2445448"/>
                    </a:xfrm>
                    <a:prstGeom prst="rect"/>
                  </pic:spPr>
                </pic:pic>
              </a:graphicData>
            </a:graphic>
          </wp:inline>
        </w:drawing>
      </w:r>
    </w:p>
    <w:p>
      <w:pPr>
        <w:spacing w:before="320" w:after="40"/>
      </w:pPr>
      <w:r>
        <w:rPr>
          <w:rFonts w:ascii="IBM Plex Sans" w:hAnsi="IBM Plex Sans" w:cs="IBM Plex Sans"/>
          <w:b/>
          <w:color w:val="1F3A5F"/>
          <w:sz w:val="18"/>
        </w:rPr>
        <w:t xml:space="preserve">§ 6</w:t>
      </w:r>
    </w:p>
    <w:p>
      <w:pPr>
        <w:spacing w:after="160" w:line="240" w:lineRule="auto"/>
      </w:pPr>
      <w:r>
        <w:rPr>
          <w:rFonts w:ascii="Newsreader" w:hAnsi="Newsreader" w:cs="Newsreader"/>
          <w:color w:val="161412"/>
          <w:sz w:val="38"/>
        </w:rPr>
        <w:t xml:space="preserve">Familias e intents</w:t>
      </w:r>
    </w:p>
    <w:p>
      <w:pPr>
        <w:spacing w:after="120" w:line="320" w:lineRule="auto"/>
        <w:jc w:val="both"/>
      </w:pPr>
      <w:r>
        <w:rPr>
          <w:rFonts w:ascii="Newsreader" w:hAnsi="Newsreader" w:cs="Newsreader"/>
          <w:b w:val="0"/>
          <w:i w:val="0"/>
          <w:color w:val="161412"/>
        </w:rPr>
        <w:t xml:space="preserve">Las familias dicen qué tipo de evento ocurre. Los intents dicen cómo se evalúa afectivamente, cuando el evento es evaluable. Son seis: neutral, affirm, fulfill, risk, threat y loss. El Capítulo 10 los desarrolla uno a uno; su tabla canónica —qué declara cada uno, su valencia y sus riesgos de mal uso— está en el Apéndice B.</w:t>
      </w:r>
    </w:p>
    <w:p>
      <w:pPr>
        <w:spacing w:after="120" w:line="320" w:lineRule="auto"/>
        <w:jc w:val="both"/>
      </w:pPr>
      <w:r>
        <w:rPr>
          <w:rFonts w:ascii="Newsreader" w:hAnsi="Newsreader" w:cs="Newsreader"/>
          <w:b w:val="0"/>
          <w:i w:val="0"/>
          <w:color w:val="161412"/>
        </w:rPr>
        <w:t xml:space="preserve">No todas las familias aceptan intent. emerge, shift y sustain normalmente no; contact puede aceptar modulación leve; commit y signal lo aceptan plenamente; handle lo acepta sobre todo en drop. El intent modula eventos evaluables, no eventos cuya función es estructurar el campo perceptivo.</w:t>
      </w:r>
    </w:p>
    <w:p>
      <w:pPr>
        <w:spacing w:before="320" w:after="40"/>
      </w:pPr>
      <w:r>
        <w:rPr>
          <w:rFonts w:ascii="IBM Plex Sans" w:hAnsi="IBM Plex Sans" w:cs="IBM Plex Sans"/>
          <w:b/>
          <w:color w:val="1F3A5F"/>
          <w:sz w:val="18"/>
        </w:rPr>
        <w:t xml:space="preserve">§ 7</w:t>
      </w:r>
    </w:p>
    <w:p>
      <w:pPr>
        <w:spacing w:after="160" w:line="240" w:lineRule="auto"/>
      </w:pPr>
      <w:r>
        <w:rPr>
          <w:rFonts w:ascii="Newsreader" w:hAnsi="Newsreader" w:cs="Newsreader"/>
          <w:color w:val="161412"/>
          <w:sz w:val="38"/>
        </w:rPr>
        <w:t xml:space="preserve">Ejemplo narrativo: eliminar una tarea</w:t>
      </w:r>
    </w:p>
    <w:p>
      <w:pPr>
        <w:spacing w:after="120" w:line="320" w:lineRule="auto"/>
        <w:jc w:val="both"/>
      </w:pPr>
      <w:r>
        <w:rPr>
          <w:rFonts w:ascii="Newsreader" w:hAnsi="Newsreader" w:cs="Newsreader"/>
          <w:b w:val="0"/>
          <w:i w:val="0"/>
          <w:color w:val="161412"/>
        </w:rPr>
        <w:t xml:space="preserve">Imaginemos una aplicación de gestión de proyectos. El usuario ve una tarea con archivos adjuntos y comentarios. Abre el menú de acciones y pulsa «Eliminar».</w:t>
      </w:r>
    </w:p>
    <w:p>
      <w:pPr>
        <w:spacing w:after="100" w:line="312" w:lineRule="auto"/>
        <w:ind w:left="403" w:hanging="259"/>
        <w:jc w:val="both"/>
      </w:pPr>
      <w:r>
        <w:rPr>
          <w:rFonts w:ascii="IBM Plex Sans" w:hAnsi="IBM Plex Sans" w:cs="IBM Plex Sans"/>
          <w:b/>
          <w:color w:val="1F3A5F"/>
          <w:sz w:val="20"/>
        </w:rPr>
        <w:t xml:space="preserve">•  1. contact.press — el sistema registra el gesto. Todavía no se ha eliminado nada.</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2. signal.warn + threat — el sistema advierte. El usuario aún puede evitar la consecuencia: corresponde threat, no loss.</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3. shift.enter-mode — aparece un modal de confirmación. El modal reorganiza el contexto; el intent no pertenece al modal como contenedor, sino al mensaje evaluable dentro de él.</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4. commit.delete + loss — el usuario confirma y la tarea deja de existir. Aquí entra loss: no debe sonar ni moverse como threat. Necesita registrar consecuencia, no preparar reacción.</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5. sustain.progress — si hay sincronización remota. El sostenimiento no es negativo por sí mismo.</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6. emerge.present — aparece una barra de undo. La aparición no es la pérdida: la pérdida ya ocurrió en el paso 4.</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7. signal.announce + neutral — el sistema informa del resultado y ofrece deshacer.</w:t>
      </w:r>
      <w:r>
        <w:rPr>
          <w:rFonts w:ascii="Newsreader" w:hAnsi="Newsreader" w:cs="Newsreader"/>
          <w:b w:val="0"/>
          <w:i w:val="0"/>
          <w:color w:val="161412"/>
        </w:rPr>
        <w:t xml:space="preserve"/>
      </w:r>
    </w:p>
    <w:p>
      <w:pPr>
        <w:spacing w:before="200" w:after="60"/>
        <w:jc w:val="center"/>
      </w:pPr>
      <w:r>
        <w:drawing>
          <wp:inline xmlns:a="http://schemas.openxmlformats.org/drawingml/2006/main" xmlns:pic="http://schemas.openxmlformats.org/drawingml/2006/picture">
            <wp:extent cx="5029200" cy="3281553"/>
            <wp:docPr id="52" name="Picture 52"/>
            <wp:cNvGraphicFramePr>
              <a:graphicFrameLocks noChangeAspect="1"/>
            </wp:cNvGraphicFramePr>
            <a:graphic>
              <a:graphicData uri="http://schemas.openxmlformats.org/drawingml/2006/picture">
                <pic:pic>
                  <pic:nvPicPr>
                    <pic:cNvPr id="0" name="figura-8-6.png"/>
                    <pic:cNvPicPr/>
                  </pic:nvPicPr>
                  <pic:blipFill>
                    <a:blip r:embed="rId60"/>
                    <a:stretch>
                      <a:fillRect/>
                    </a:stretch>
                  </pic:blipFill>
                  <pic:spPr>
                    <a:xfrm>
                      <a:off x="0" y="0"/>
                      <a:ext cx="5029200" cy="3281553"/>
                    </a:xfrm>
                    <a:prstGeom prst="rect"/>
                  </pic:spPr>
                </pic:pic>
              </a:graphicData>
            </a:graphic>
          </wp:inline>
        </w:drawing>
      </w:r>
    </w:p>
    <w:p>
      <w:pPr>
        <w:spacing w:before="320" w:after="40"/>
      </w:pPr>
      <w:r>
        <w:rPr>
          <w:rFonts w:ascii="IBM Plex Sans" w:hAnsi="IBM Plex Sans" w:cs="IBM Plex Sans"/>
          <w:b/>
          <w:color w:val="1F3A5F"/>
          <w:sz w:val="18"/>
        </w:rPr>
        <w:t xml:space="preserve">§ 8</w:t>
      </w:r>
    </w:p>
    <w:p>
      <w:pPr>
        <w:spacing w:after="160" w:line="240" w:lineRule="auto"/>
      </w:pPr>
      <w:r>
        <w:rPr>
          <w:rFonts w:ascii="Newsreader" w:hAnsi="Newsreader" w:cs="Newsreader"/>
          <w:color w:val="161412"/>
          <w:sz w:val="38"/>
        </w:rPr>
        <w:t xml:space="preserve">Por qué no seis</w:t>
      </w:r>
    </w:p>
    <w:p>
      <w:pPr>
        <w:spacing w:after="120" w:line="320" w:lineRule="auto"/>
        <w:jc w:val="both"/>
      </w:pPr>
      <w:r>
        <w:rPr>
          <w:rFonts w:ascii="Newsreader" w:hAnsi="Newsreader" w:cs="Newsreader"/>
          <w:b w:val="0"/>
          <w:i w:val="0"/>
          <w:color w:val="161412"/>
        </w:rPr>
        <w:t xml:space="preserve">Podría parecer tentador agrupar shift dentro de emerge. Pero cambiar de contexto no es lo mismo que hacer aparecer algo. Un tooltip aparece pero no cambia el marco; un cambio de vista puede no «aparecer» como capa, pero desplaza al usuario a otro régimen. Si eliminamos shift, la gramática pierde capacidad para nombrar una de las experiencias más frecuentes en interfaces complejas: cruzar un umbral operativo.</w:t>
      </w:r>
    </w:p>
    <w:p>
      <w:pPr>
        <w:spacing w:before="320" w:after="40"/>
      </w:pPr>
      <w:r>
        <w:rPr>
          <w:rFonts w:ascii="IBM Plex Sans" w:hAnsi="IBM Plex Sans" w:cs="IBM Plex Sans"/>
          <w:b/>
          <w:color w:val="1F3A5F"/>
          <w:sz w:val="18"/>
        </w:rPr>
        <w:t xml:space="preserve">§ 9</w:t>
      </w:r>
    </w:p>
    <w:p>
      <w:pPr>
        <w:spacing w:after="160" w:line="240" w:lineRule="auto"/>
      </w:pPr>
      <w:r>
        <w:rPr>
          <w:rFonts w:ascii="Newsreader" w:hAnsi="Newsreader" w:cs="Newsreader"/>
          <w:color w:val="161412"/>
          <w:sz w:val="38"/>
        </w:rPr>
        <w:t xml:space="preserve">Por qué no doce</w:t>
      </w:r>
    </w:p>
    <w:p>
      <w:pPr>
        <w:spacing w:after="120" w:line="320" w:lineRule="auto"/>
        <w:jc w:val="both"/>
      </w:pPr>
      <w:r>
        <w:rPr>
          <w:rFonts w:ascii="Newsreader" w:hAnsi="Newsreader" w:cs="Newsreader"/>
          <w:b w:val="0"/>
          <w:i w:val="0"/>
          <w:color w:val="161412"/>
        </w:rPr>
        <w:t xml:space="preserve">Algunas de las semánticas iniciales se entienden mejor como verbos, variantes, fases o intents. Como muestra la tabla de reubicación, cada semántica exploratoria encuentra sitio dentro de las ocho familias. Si conservamos todas como raíz, la gramática se vuelve más pesada y menos aprendible. La gramática no pierde precisión al reducirlas; gana organización.</w:t>
      </w:r>
    </w:p>
    <w:p>
      <w:pPr>
        <w:spacing w:before="320" w:after="40"/>
      </w:pPr>
      <w:r>
        <w:rPr>
          <w:rFonts w:ascii="IBM Plex Sans" w:hAnsi="IBM Plex Sans" w:cs="IBM Plex Sans"/>
          <w:b/>
          <w:color w:val="1F3A5F"/>
          <w:sz w:val="18"/>
        </w:rPr>
        <w:t xml:space="preserve">§ 10</w:t>
      </w:r>
    </w:p>
    <w:p>
      <w:pPr>
        <w:spacing w:after="160" w:line="240" w:lineRule="auto"/>
      </w:pPr>
      <w:r>
        <w:rPr>
          <w:rFonts w:ascii="Newsreader" w:hAnsi="Newsreader" w:cs="Newsreader"/>
          <w:color w:val="161412"/>
          <w:sz w:val="38"/>
        </w:rPr>
        <w:t xml:space="preserve">Síntesis</w:t>
      </w:r>
    </w:p>
    <w:p>
      <w:pPr>
        <w:spacing w:after="120" w:line="320" w:lineRule="auto"/>
        <w:jc w:val="both"/>
      </w:pPr>
      <w:r>
        <w:rPr>
          <w:rFonts w:ascii="Newsreader" w:hAnsi="Newsreader" w:cs="Newsreader"/>
          <w:b w:val="0"/>
          <w:i w:val="0"/>
          <w:color w:val="161412"/>
        </w:rPr>
        <w:t xml:space="preserve">La taxonomía no pretende agotar todas las interfaces posibles ni fijar una verdad natural inmutable. Es una hipótesis teórica compacta: suficientemente pequeña para aprenderse, suficientemente rica para distinguir los cambios que una interfaz necesita hacer legibles.</w:t>
      </w:r>
    </w:p>
    <w:p>
      <w:pPr>
        <w:spacing w:after="120" w:line="320" w:lineRule="auto"/>
        <w:jc w:val="both"/>
      </w:pPr>
      <w:r>
        <w:rPr>
          <w:rFonts w:ascii="Newsreader" w:hAnsi="Newsreader" w:cs="Newsreader"/>
          <w:b w:val="0"/>
          <w:i w:val="0"/>
          <w:color w:val="161412"/>
        </w:rPr>
        <w:t xml:space="preserve">La síntesis completa —pregunta perceptiva, relación con el intent, fase típica, canales dominantes y antipatrón capital de cada familia— queda recogida como tabla canónica en el Apéndice B.</w:t>
      </w:r>
    </w:p>
    <w:p>
      <w:pPr>
        <w:spacing w:after="120" w:line="320" w:lineRule="auto"/>
        <w:jc w:val="both"/>
      </w:pPr>
      <w:r>
        <w:rPr>
          <w:rFonts w:ascii="Newsreader" w:hAnsi="Newsreader" w:cs="Newsreader"/>
          <w:b w:val="0"/>
          <w:i w:val="0"/>
          <w:color w:val="161412"/>
        </w:rPr>
        <w:t xml:space="preserve">Y una honestidad final: este capítulo ha resuelto casos frontera de la interfaz que ya sabemos mirar. Los que el presente pone delante —el texto que fluye de un modelo generativo, la interfaz optimista, la colaboración en vivo— se examinan en el Apéndice E. Allí se dice con claridad lo que la gramática aún no nombra.</w:t>
      </w:r>
    </w:p>
    <w:p>
      <w:pPr>
        <w:spacing w:after="120" w:line="320" w:lineRule="auto"/>
        <w:jc w:val="both"/>
      </w:pPr>
      <w:r>
        <w:rPr>
          <w:rFonts w:ascii="Newsreader" w:hAnsi="Newsreader" w:cs="Newsreader"/>
          <w:b w:val="0"/>
          <w:i w:val="0"/>
          <w:color w:val="161412"/>
        </w:rPr>
        <w:t xml:space="preserve">Una familia semántica no es una etiqueta para un efecto. Es una respuesta estable a una pregunta perceptiva recurrente.</w:t>
      </w:r>
    </w:p>
    <w:p>
      <w:pPr>
        <w:spacing w:after="120" w:line="320" w:lineRule="auto"/>
        <w:jc w:val="both"/>
      </w:pPr>
      <w:r>
        <w:rPr>
          <w:rFonts w:ascii="Newsreader" w:hAnsi="Newsreader" w:cs="Newsreader"/>
          <w:b w:val="0"/>
          <w:i w:val="0"/>
          <w:color w:val="161412"/>
        </w:rPr>
        <w:t xml:space="preserve">El siguiente capítulo desarrollará la distinción que atraviesa todo el sistema: por qué algunas familias y eventos aceptan intent y otras no. Porque no todos los cambios son mensaje. Algunos son marco.</w:t>
      </w:r>
    </w:p>
    <w:p>
      <w:r>
        <w:br w:type="page"/>
      </w:r>
    </w:p>
    <w:p>
      <w:pPr>
        <w:spacing w:after="40"/>
      </w:pPr>
      <w:r>
        <w:rPr>
          <w:rFonts w:ascii="IBM Plex Sans" w:hAnsi="IBM Plex Sans" w:cs="IBM Plex Sans"/>
          <w:b/>
          <w:color w:val="1F3A5F"/>
          <w:sz w:val="18"/>
        </w:rPr>
        <w:t>CAPÍTULO 9</w:t>
      </w:r>
    </w:p>
    <w:p>
      <w:pPr>
        <w:spacing w:after="80" w:line="240" w:lineRule="auto"/>
      </w:pPr>
      <w:r>
        <w:rPr>
          <w:rFonts w:ascii="IBM Plex Sans" w:hAnsi="IBM Plex Sans" w:cs="IBM Plex Sans"/>
          <w:color w:val="161412"/>
          <w:sz w:val="220"/>
        </w:rPr>
        <w:t>09</w:t>
      </w:r>
    </w:p>
    <w:p>
      <w:pPr>
        <w:spacing w:after="60" w:line="240" w:lineRule="auto"/>
      </w:pPr>
      <w:r>
        <w:rPr>
          <w:rFonts w:ascii="Newsreader" w:hAnsi="Newsreader" w:cs="Newsreader"/>
          <w:color w:val="161412"/>
          <w:sz w:val="60"/>
        </w:rPr>
        <w:t>Semánticas valenciales y transicionales</w:t>
      </w:r>
    </w:p>
    <w:p>
      <w:pPr>
        <w:spacing w:after="280"/>
      </w:pPr>
      <w:r>
        <w:rPr>
          <w:rFonts w:ascii="IBM Plex Sans" w:hAnsi="IBM Plex Sans" w:cs="IBM Plex Sans"/>
          <w:color w:val="6A635A"/>
          <w:sz w:val="26"/>
        </w:rPr>
        <w:t>Qué eventos son mensaje y qué eventos son marco</w:t>
      </w:r>
    </w:p>
    <w:p>
      <w:pPr>
        <w:pBdr>
          <w:bottom w:val="single" w:sz="4" w:space="4" w:color="1F3A5F"/>
        </w:pBdr>
      </w:pP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¿Por qué algunos eventos aceptan evaluación y otros solo cambian el marco donde se trabaja?</w:t>
      </w:r>
    </w:p>
    <w:p>
      <w:pPr>
        <w:spacing w:before="320" w:after="40"/>
      </w:pPr>
      <w:r>
        <w:rPr>
          <w:rFonts w:ascii="IBM Plex Sans" w:hAnsi="IBM Plex Sans" w:cs="IBM Plex Sans"/>
          <w:b/>
          <w:color w:val="1F3A5F"/>
          <w:sz w:val="18"/>
        </w:rPr>
        <w:t xml:space="preserve">§ 1</w:t>
      </w:r>
    </w:p>
    <w:p>
      <w:pPr>
        <w:spacing w:after="160" w:line="240" w:lineRule="auto"/>
      </w:pPr>
      <w:r>
        <w:rPr>
          <w:rFonts w:ascii="Newsreader" w:hAnsi="Newsreader" w:cs="Newsreader"/>
          <w:color w:val="161412"/>
          <w:sz w:val="38"/>
        </w:rPr>
        <w:t>La distinción central</w:t>
      </w:r>
    </w:p>
    <w:p>
      <w:pPr>
        <w:spacing w:after="120" w:line="320" w:lineRule="auto"/>
        <w:jc w:val="both"/>
      </w:pPr>
      <w:r>
        <w:rPr>
          <w:rFonts w:ascii="Newsreader" w:hAnsi="Newsreader" w:cs="Newsreader"/>
          <w:b w:val="0"/>
          <w:i w:val="0"/>
          <w:color w:val="161412"/>
        </w:rPr>
        <w:t>El Capítulo 3 presentó varios fundamentos que ahora convergen en una distinción central.</w:t>
      </w:r>
    </w:p>
    <w:p>
      <w:pPr>
        <w:spacing w:after="120" w:line="320" w:lineRule="auto"/>
        <w:jc w:val="both"/>
      </w:pPr>
      <w:r>
        <w:rPr>
          <w:rFonts w:ascii="Newsreader" w:hAnsi="Newsreader" w:cs="Newsreader"/>
          <w:b w:val="0"/>
          <w:i w:val="0"/>
          <w:color w:val="161412"/>
        </w:rPr>
        <w:t>Desde la valoración del evento, algunos eventos se evalúan respecto a metas, control, urgencia y consecuencia. Desde la Gestalt, algunos eventos funcionan como figura y otros como fondo. Desde las affordances, los eventos operativos pueden portar valencia, mientras los estructurales organizan posibilidades. Desde la atención, una señal puede reclamar procesamiento, pero una transición puede solo orientar.</w:t>
      </w:r>
    </w:p>
    <w:p>
      <w:pPr>
        <w:spacing w:after="120" w:line="320" w:lineRule="auto"/>
        <w:jc w:val="both"/>
      </w:pPr>
      <w:r>
        <w:rPr>
          <w:rFonts w:ascii="Newsreader" w:hAnsi="Newsreader" w:cs="Newsreader"/>
          <w:b w:val="0"/>
          <w:i w:val="0"/>
          <w:color w:val="161412"/>
        </w:rPr>
        <w:t>Todas esas distinciones apuntan a una misma idea:</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Hay eventos que son mensaje. Hay eventos que son marco.</w:t>
      </w:r>
    </w:p>
    <w:p>
      <w:pPr>
        <w:spacing w:after="120" w:line="320" w:lineRule="auto"/>
        <w:jc w:val="both"/>
      </w:pPr>
      <w:r>
        <w:rPr>
          <w:rFonts w:ascii="Newsreader" w:hAnsi="Newsreader" w:cs="Newsreader"/>
          <w:b w:val="0"/>
          <w:i w:val="0"/>
          <w:color w:val="161412"/>
        </w:rPr>
        <w:t>Los primeros pueden portar intent. Los segundos normalmente no.</w:t>
      </w:r>
    </w:p>
    <w:p>
      <w:pPr>
        <w:spacing w:after="120" w:line="320" w:lineRule="auto"/>
        <w:jc w:val="both"/>
      </w:pPr>
      <w:r>
        <w:rPr>
          <w:rFonts w:ascii="Newsreader" w:hAnsi="Newsreader" w:cs="Newsreader"/>
          <w:b w:val="0"/>
          <w:i w:val="0"/>
          <w:color w:val="161412"/>
        </w:rPr>
        <w:t>El error no es usar intent. El error es aplicarlo al evento equivocado. Un modal puede contener una amenaza, pero el modal no es la amenaza. Un spinner puede preceder a un fallo, pero el spinner no es el fallo.</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El intent modula la figura evaluable, no el fondo estructural.</w:t>
      </w:r>
    </w:p>
    <w:p>
      <w:pPr>
        <w:spacing w:before="320" w:after="40"/>
      </w:pPr>
      <w:r>
        <w:rPr>
          <w:rFonts w:ascii="IBM Plex Sans" w:hAnsi="IBM Plex Sans" w:cs="IBM Plex Sans"/>
          <w:b/>
          <w:color w:val="1F3A5F"/>
          <w:sz w:val="18"/>
        </w:rPr>
        <w:t xml:space="preserve">§ 2</w:t>
      </w:r>
    </w:p>
    <w:p>
      <w:pPr>
        <w:spacing w:after="160" w:line="240" w:lineRule="auto"/>
      </w:pPr>
      <w:r>
        <w:rPr>
          <w:rFonts w:ascii="Newsreader" w:hAnsi="Newsreader" w:cs="Newsreader"/>
          <w:color w:val="161412"/>
          <w:sz w:val="38"/>
        </w:rPr>
        <w:t>Qué significa que un evento sea evaluable</w:t>
      </w:r>
    </w:p>
    <w:p>
      <w:pPr>
        <w:spacing w:after="120" w:line="320" w:lineRule="auto"/>
        <w:jc w:val="both"/>
      </w:pPr>
      <w:r>
        <w:rPr>
          <w:rFonts w:ascii="Newsreader" w:hAnsi="Newsreader" w:cs="Newsreader"/>
          <w:b w:val="0"/>
          <w:i w:val="0"/>
          <w:color w:val="161412"/>
        </w:rPr>
        <w:t>Un evento es evaluable cuando puede juzgarse en relación con las metas, expectativas o riesgos del usuario. Puede ser bueno o malo, leve o grave, puede exigir acción inmediata o permitir revisión, puede resolver una tensión o abrir un problema.</w:t>
      </w:r>
    </w:p>
    <w:p>
      <w:pPr>
        <w:spacing w:after="120" w:line="320" w:lineRule="auto"/>
        <w:jc w:val="both"/>
      </w:pPr>
      <w:r>
        <w:rPr>
          <w:rFonts w:ascii="Newsreader" w:hAnsi="Newsreader" w:cs="Newsreader"/>
          <w:b w:val="0"/>
          <w:i w:val="0"/>
          <w:color w:val="161412"/>
        </w:rPr>
        <w:t xml:space="preserve">Un evento transicional o estructural no porta, por sí mismo, un juicio afectivo. Su función es reorganizar el campo perceptivo, revelar disponibilidad, mantener continuidad o cambiar el contexto. Dice «algo apareció», «el marco ha cambiado» o «el proceso sigue vivo» — pero no dice todavía «bueno», «malo», «grave», «logrado» o «perdido».</w:t>
      </w:r>
    </w:p>
    <w:p>
      <w:pPr>
        <w:spacing w:after="200" w:before="40"/>
      </w:pPr>
      <w:r>
        <w:rPr>
          <w:rFonts w:ascii="IBM Plex Sans" w:hAnsi="IBM Plex Sans" w:cs="IBM Plex Sans"/>
          <w:b/>
          <w:color w:val="1F3A5F"/>
          <w:sz w:val="17"/>
        </w:rPr>
        <w:t xml:space="preserve">TABLA 9.1   </w:t>
      </w:r>
      <w:r>
        <w:rPr>
          <w:rFonts w:ascii="IBM Plex Sans" w:hAnsi="IBM Plex Sans" w:cs="IBM Plex Sans"/>
          <w:color w:val="3A352F"/>
          <w:sz w:val="18"/>
        </w:rPr>
        <w:t xml:space="preserve">Evento evaluable y evento estructural</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079"/>
        <w:gridCol w:w="2079"/>
        <w:gridCol w:w="2079"/>
        <w:gridCol w:w="2079"/>
      </w:tblGrid>
      <w:tr>
        <w:tc>
          <w:tcPr>
            <w:tcW w:type="dxa" w:w="2079"/>
            <w:shd w:val="clear" w:color="auto" w:fill="EAE4D8"/>
          </w:tcPr>
          <w:p>
            <w:pPr>
              <w:spacing w:after="40"/>
            </w:pPr>
            <w:r>
              <w:rPr>
                <w:sz w:val="17"/>
              </w:rPr>
            </w:r>
            <w:r>
              <w:rPr>
                <w:rFonts w:ascii="IBM Plex Sans" w:hAnsi="IBM Plex Sans" w:cs="IBM Plex Sans"/>
                <w:b/>
                <w:i w:val="0"/>
                <w:color w:val="1F3A5F"/>
                <w:sz w:val="17"/>
              </w:rPr>
              <w:t>TIPO</w:t>
            </w:r>
          </w:p>
        </w:tc>
        <w:tc>
          <w:tcPr>
            <w:tcW w:type="dxa" w:w="2079"/>
            <w:shd w:val="clear" w:color="auto" w:fill="EAE4D8"/>
          </w:tcPr>
          <w:p>
            <w:pPr>
              <w:spacing w:after="40"/>
            </w:pPr>
            <w:r>
              <w:rPr>
                <w:sz w:val="17"/>
              </w:rPr>
            </w:r>
            <w:r>
              <w:rPr>
                <w:rFonts w:ascii="IBM Plex Sans" w:hAnsi="IBM Plex Sans" w:cs="IBM Plex Sans"/>
                <w:b/>
                <w:i w:val="0"/>
                <w:color w:val="1F3A5F"/>
                <w:sz w:val="17"/>
              </w:rPr>
              <w:t>QUÉ HACE</w:t>
            </w:r>
          </w:p>
        </w:tc>
        <w:tc>
          <w:tcPr>
            <w:tcW w:type="dxa" w:w="2079"/>
            <w:shd w:val="clear" w:color="auto" w:fill="EAE4D8"/>
          </w:tcPr>
          <w:p>
            <w:pPr>
              <w:spacing w:after="40"/>
            </w:pPr>
            <w:r>
              <w:rPr>
                <w:sz w:val="17"/>
              </w:rPr>
            </w:r>
            <w:r>
              <w:rPr>
                <w:rFonts w:ascii="IBM Plex Sans" w:hAnsi="IBM Plex Sans" w:cs="IBM Plex Sans"/>
                <w:b/>
                <w:i w:val="0"/>
                <w:color w:val="1F3A5F"/>
                <w:sz w:val="17"/>
              </w:rPr>
              <w:t>EJEMPLOS</w:t>
            </w:r>
          </w:p>
        </w:tc>
        <w:tc>
          <w:tcPr>
            <w:tcW w:type="dxa" w:w="2079"/>
            <w:shd w:val="clear" w:color="auto" w:fill="EAE4D8"/>
          </w:tcPr>
          <w:p>
            <w:pPr>
              <w:spacing w:after="40"/>
            </w:pPr>
            <w:r>
              <w:rPr>
                <w:sz w:val="17"/>
              </w:rPr>
            </w:r>
            <w:r>
              <w:rPr>
                <w:rFonts w:ascii="IBM Plex Sans" w:hAnsi="IBM Plex Sans" w:cs="IBM Plex Sans"/>
                <w:b/>
                <w:i w:val="0"/>
                <w:color w:val="1F3A5F"/>
                <w:sz w:val="17"/>
              </w:rPr>
              <w:t>INTENT</w:t>
            </w:r>
          </w:p>
        </w:tc>
      </w:tr>
      <w:tr>
        <w:tc>
          <w:tcPr>
            <w:tcW w:type="dxa" w:w="2079"/>
          </w:tcPr>
          <w:p>
            <w:pPr>
              <w:spacing w:after="40"/>
            </w:pPr>
            <w:r>
              <w:rPr>
                <w:sz w:val="17"/>
              </w:rPr>
            </w:r>
            <w:r>
              <w:rPr>
                <w:rFonts w:ascii="IBM Plex Sans" w:hAnsi="IBM Plex Sans" w:cs="IBM Plex Sans"/>
                <w:b w:val="0"/>
                <w:i w:val="0"/>
                <w:color w:val="161412"/>
                <w:sz w:val="17"/>
              </w:rPr>
              <w:t>Evaluable</w:t>
            </w:r>
          </w:p>
        </w:tc>
        <w:tc>
          <w:tcPr>
            <w:tcW w:type="dxa" w:w="2079"/>
          </w:tcPr>
          <w:p>
            <w:pPr>
              <w:spacing w:after="40"/>
            </w:pPr>
            <w:r>
              <w:rPr>
                <w:sz w:val="17"/>
              </w:rPr>
            </w:r>
            <w:r>
              <w:rPr>
                <w:rFonts w:ascii="IBM Plex Sans" w:hAnsi="IBM Plex Sans" w:cs="IBM Plex Sans"/>
                <w:b w:val="0"/>
                <w:i w:val="0"/>
                <w:color w:val="161412"/>
                <w:sz w:val="17"/>
              </w:rPr>
              <w:t>Porta juicio sobre el evento</w:t>
            </w:r>
          </w:p>
        </w:tc>
        <w:tc>
          <w:tcPr>
            <w:tcW w:type="dxa" w:w="2079"/>
          </w:tcPr>
          <w:p>
            <w:pPr>
              <w:spacing w:after="40"/>
            </w:pPr>
            <w:r>
              <w:rPr>
                <w:sz w:val="17"/>
              </w:rPr>
            </w:r>
            <w:r>
              <w:rPr>
                <w:rFonts w:ascii="IBM Plex Sans" w:hAnsi="IBM Plex Sans" w:cs="IBM Plex Sans"/>
                <w:b w:val="0"/>
                <w:i w:val="0"/>
                <w:color w:val="161412"/>
                <w:sz w:val="17"/>
              </w:rPr>
              <w:t>Confirmar, fallar, advertir, perder</w:t>
            </w:r>
          </w:p>
        </w:tc>
        <w:tc>
          <w:tcPr>
            <w:tcW w:type="dxa" w:w="2079"/>
          </w:tcPr>
          <w:p>
            <w:pPr>
              <w:spacing w:after="40"/>
            </w:pPr>
            <w:r>
              <w:rPr>
                <w:sz w:val="17"/>
              </w:rPr>
            </w:r>
            <w:r>
              <w:rPr>
                <w:rFonts w:ascii="IBM Plex Sans" w:hAnsi="IBM Plex Sans" w:cs="IBM Plex Sans"/>
                <w:b w:val="0"/>
                <w:i w:val="0"/>
                <w:color w:val="161412"/>
                <w:sz w:val="17"/>
              </w:rPr>
              <w:t>Sí</w:t>
            </w:r>
          </w:p>
        </w:tc>
      </w:tr>
      <w:tr>
        <w:tc>
          <w:tcPr>
            <w:tcW w:type="dxa" w:w="2079"/>
          </w:tcPr>
          <w:p>
            <w:pPr>
              <w:spacing w:after="40"/>
            </w:pPr>
            <w:r>
              <w:rPr>
                <w:sz w:val="17"/>
              </w:rPr>
            </w:r>
            <w:r>
              <w:rPr>
                <w:rFonts w:ascii="IBM Plex Sans" w:hAnsi="IBM Plex Sans" w:cs="IBM Plex Sans"/>
                <w:b w:val="0"/>
                <w:i w:val="0"/>
                <w:color w:val="161412"/>
                <w:sz w:val="17"/>
              </w:rPr>
              <w:t>Estructural</w:t>
            </w:r>
          </w:p>
        </w:tc>
        <w:tc>
          <w:tcPr>
            <w:tcW w:type="dxa" w:w="2079"/>
          </w:tcPr>
          <w:p>
            <w:pPr>
              <w:spacing w:after="40"/>
            </w:pPr>
            <w:r>
              <w:rPr>
                <w:sz w:val="17"/>
              </w:rPr>
            </w:r>
            <w:r>
              <w:rPr>
                <w:rFonts w:ascii="IBM Plex Sans" w:hAnsi="IBM Plex Sans" w:cs="IBM Plex Sans"/>
                <w:b w:val="0"/>
                <w:i w:val="0"/>
                <w:color w:val="161412"/>
                <w:sz w:val="17"/>
              </w:rPr>
              <w:t>Organiza el campo perceptivo</w:t>
            </w:r>
          </w:p>
        </w:tc>
        <w:tc>
          <w:tcPr>
            <w:tcW w:type="dxa" w:w="2079"/>
          </w:tcPr>
          <w:p>
            <w:pPr>
              <w:spacing w:after="40"/>
            </w:pPr>
            <w:r>
              <w:rPr>
                <w:sz w:val="17"/>
              </w:rPr>
            </w:r>
            <w:r>
              <w:rPr>
                <w:rFonts w:ascii="IBM Plex Sans" w:hAnsi="IBM Plex Sans" w:cs="IBM Plex Sans"/>
                <w:b w:val="0"/>
                <w:i w:val="0"/>
                <w:color w:val="161412"/>
                <w:sz w:val="17"/>
              </w:rPr>
              <w:t>Abrir, expandir, navegar, sostener</w:t>
            </w:r>
          </w:p>
        </w:tc>
        <w:tc>
          <w:tcPr>
            <w:tcW w:type="dxa" w:w="2079"/>
          </w:tcPr>
          <w:p>
            <w:pPr>
              <w:spacing w:after="40"/>
            </w:pPr>
            <w:r>
              <w:rPr>
                <w:sz w:val="17"/>
              </w:rPr>
            </w:r>
            <w:r>
              <w:rPr>
                <w:rFonts w:ascii="IBM Plex Sans" w:hAnsi="IBM Plex Sans" w:cs="IBM Plex Sans"/>
                <w:b w:val="0"/>
                <w:i w:val="0"/>
                <w:color w:val="161412"/>
                <w:sz w:val="17"/>
              </w:rPr>
              <w:t>Normal. no</w:t>
            </w:r>
          </w:p>
        </w:tc>
      </w:tr>
      <w:tr>
        <w:tc>
          <w:tcPr>
            <w:tcW w:type="dxa" w:w="2079"/>
          </w:tcPr>
          <w:p>
            <w:pPr>
              <w:spacing w:after="40"/>
            </w:pPr>
            <w:r>
              <w:rPr>
                <w:sz w:val="17"/>
              </w:rPr>
            </w:r>
            <w:r>
              <w:rPr>
                <w:rFonts w:ascii="IBM Plex Sans" w:hAnsi="IBM Plex Sans" w:cs="IBM Plex Sans"/>
                <w:b w:val="0"/>
                <w:i w:val="0"/>
                <w:color w:val="161412"/>
                <w:sz w:val="17"/>
              </w:rPr>
              <w:t>Compuesto</w:t>
            </w:r>
          </w:p>
        </w:tc>
        <w:tc>
          <w:tcPr>
            <w:tcW w:type="dxa" w:w="2079"/>
          </w:tcPr>
          <w:p>
            <w:pPr>
              <w:spacing w:after="40"/>
            </w:pPr>
            <w:r>
              <w:rPr>
                <w:sz w:val="17"/>
              </w:rPr>
            </w:r>
            <w:r>
              <w:rPr>
                <w:rFonts w:ascii="IBM Plex Sans" w:hAnsi="IBM Plex Sans" w:cs="IBM Plex Sans"/>
                <w:b w:val="0"/>
                <w:i w:val="0"/>
                <w:color w:val="161412"/>
                <w:sz w:val="17"/>
              </w:rPr>
              <w:t>Contiene marco y mensaje</w:t>
            </w:r>
          </w:p>
        </w:tc>
        <w:tc>
          <w:tcPr>
            <w:tcW w:type="dxa" w:w="2079"/>
          </w:tcPr>
          <w:p>
            <w:pPr>
              <w:spacing w:after="40"/>
            </w:pPr>
            <w:r>
              <w:rPr>
                <w:sz w:val="17"/>
              </w:rPr>
            </w:r>
            <w:r>
              <w:rPr>
                <w:rFonts w:ascii="IBM Plex Sans" w:hAnsi="IBM Plex Sans" w:cs="IBM Plex Sans"/>
                <w:b w:val="0"/>
                <w:i w:val="0"/>
                <w:color w:val="161412"/>
                <w:sz w:val="17"/>
              </w:rPr>
              <w:t>Modal de error, wizard con validación</w:t>
            </w:r>
          </w:p>
        </w:tc>
        <w:tc>
          <w:tcPr>
            <w:tcW w:type="dxa" w:w="2079"/>
          </w:tcPr>
          <w:p>
            <w:pPr>
              <w:spacing w:after="40"/>
            </w:pPr>
            <w:r>
              <w:rPr>
                <w:sz w:val="17"/>
              </w:rPr>
            </w:r>
            <w:r>
              <w:rPr>
                <w:rFonts w:ascii="IBM Plex Sans" w:hAnsi="IBM Plex Sans" w:cs="IBM Plex Sans"/>
                <w:b w:val="0"/>
                <w:i w:val="0"/>
                <w:color w:val="161412"/>
                <w:sz w:val="17"/>
              </w:rPr>
              <w:t>En el mensaje</w:t>
            </w:r>
          </w:p>
        </w:tc>
      </w:tr>
    </w:tbl>
    <w:p>
      <w:pPr>
        <w:spacing w:before="320" w:after="40"/>
      </w:pPr>
      <w:r>
        <w:rPr>
          <w:rFonts w:ascii="IBM Plex Sans" w:hAnsi="IBM Plex Sans" w:cs="IBM Plex Sans"/>
          <w:b/>
          <w:color w:val="1F3A5F"/>
          <w:sz w:val="18"/>
        </w:rPr>
        <w:t xml:space="preserve">§ 3</w:t>
      </w:r>
    </w:p>
    <w:p>
      <w:pPr>
        <w:spacing w:after="160" w:line="240" w:lineRule="auto"/>
      </w:pPr>
      <w:r>
        <w:rPr>
          <w:rFonts w:ascii="Newsreader" w:hAnsi="Newsreader" w:cs="Newsreader"/>
          <w:color w:val="161412"/>
          <w:sz w:val="38"/>
        </w:rPr>
        <w:t>Neutralidad no es ausencia de intent</w:t>
      </w:r>
    </w:p>
    <w:p>
      <w:pPr>
        <w:spacing w:after="120" w:line="320" w:lineRule="auto"/>
        <w:jc w:val="both"/>
      </w:pPr>
      <w:r>
        <w:rPr>
          <w:rFonts w:ascii="Newsreader" w:hAnsi="Newsreader" w:cs="Newsreader"/>
          <w:b w:val="0"/>
          <w:i w:val="0"/>
          <w:color w:val="161412"/>
        </w:rPr>
        <w:t>neutral no debería convertirse en una manera de decir «no hemos pensado si este evento acepta intent». Un signal.announce + neutral sí tiene sentido: el sistema comunica algo sin valencia fuerte. Pero un emerge.open no necesita intent neutro para funcionar. Su función no es evaluar, sino organizar presencia.</w:t>
      </w:r>
    </w:p>
    <w:p>
      <w:pPr>
        <w:spacing w:before="160" w:after="40"/>
        <w:pBdr>
          <w:left w:val="single" w:sz="18" w:space="12" w:color="1F3A5F"/>
        </w:pBdr>
      </w:pPr>
      <w:r>
        <w:rPr>
          <w:rFonts w:ascii="IBM Plex Sans" w:hAnsi="IBM Plex Sans" w:cs="IBM Plex Sans"/>
          <w:b/>
          <w:color w:val="1F3A5F"/>
          <w:sz w:val="16"/>
        </w:rPr>
        <w:t>DISTINCIÓN</w:t>
      </w:r>
    </w:p>
    <w:p>
      <w:pPr>
        <w:spacing w:after="120" w:line="312" w:lineRule="auto"/>
        <w:pBdr>
          <w:left w:val="single" w:sz="18" w:space="12" w:color="1F3A5F"/>
        </w:pBdr>
      </w:pPr>
      <w:r>
        <w:rPr>
          <w:rFonts w:ascii="Newsreader" w:hAnsi="Newsreader" w:cs="Newsreader"/>
          <w:b w:val="0"/>
          <w:i/>
          <w:color w:val="3A352F"/>
        </w:rPr>
        <w:t xml:space="preserve">Un intent neutral es evaluación de baja valencia; la ausencia de intent indica que el evento no pertenece al plano evaluativo.</w:t>
      </w:r>
    </w:p>
    <w:p>
      <w:pPr>
        <w:spacing w:before="320" w:after="40"/>
      </w:pPr>
      <w:r>
        <w:rPr>
          <w:rFonts w:ascii="IBM Plex Sans" w:hAnsi="IBM Plex Sans" w:cs="IBM Plex Sans"/>
          <w:b/>
          <w:color w:val="1F3A5F"/>
          <w:sz w:val="18"/>
        </w:rPr>
        <w:t xml:space="preserve">§ 4</w:t>
      </w:r>
    </w:p>
    <w:p>
      <w:pPr>
        <w:spacing w:after="160" w:line="240" w:lineRule="auto"/>
      </w:pPr>
      <w:r>
        <w:rPr>
          <w:rFonts w:ascii="Newsreader" w:hAnsi="Newsreader" w:cs="Newsreader"/>
          <w:color w:val="161412"/>
          <w:sz w:val="38"/>
        </w:rPr>
        <w:t>Recordatorio: los seis intents</w:t>
      </w:r>
    </w:p>
    <w:p>
      <w:pPr>
        <w:spacing w:after="120" w:line="320" w:lineRule="auto"/>
        <w:jc w:val="both"/>
      </w:pPr>
      <w:r>
        <w:rPr>
          <w:rFonts w:ascii="Newsreader" w:hAnsi="Newsreader" w:cs="Newsreader"/>
          <w:b w:val="0"/>
          <w:i w:val="0"/>
          <w:color w:val="161412"/>
        </w:rPr>
        <w:t xml:space="preserve">El Capítulo 10 desarrolla cada intent en detalle; la tabla canónica de los seis está en el Apéndice B. Como recordatorio, el mapa mínimo:</w:t>
      </w:r>
    </w:p>
    <w:p>
      <w:pPr>
        <w:spacing w:before="200" w:after="60"/>
        <w:jc w:val="center"/>
      </w:pPr>
      <w:r>
        <w:drawing>
          <wp:inline xmlns:a="http://schemas.openxmlformats.org/drawingml/2006/main" xmlns:pic="http://schemas.openxmlformats.org/drawingml/2006/picture">
            <wp:extent cx="5029200" cy="2234851"/>
            <wp:docPr id="53" name="Picture 53"/>
            <wp:cNvGraphicFramePr>
              <a:graphicFrameLocks noChangeAspect="1"/>
            </wp:cNvGraphicFramePr>
            <a:graphic>
              <a:graphicData uri="http://schemas.openxmlformats.org/drawingml/2006/picture">
                <pic:pic>
                  <pic:nvPicPr>
                    <pic:cNvPr id="0" name="figura-9-2.png"/>
                    <pic:cNvPicPr/>
                  </pic:nvPicPr>
                  <pic:blipFill>
                    <a:blip r:embed="rId61"/>
                    <a:stretch>
                      <a:fillRect/>
                    </a:stretch>
                  </pic:blipFill>
                  <pic:spPr>
                    <a:xfrm>
                      <a:off x="0" y="0"/>
                      <a:ext cx="5029200" cy="2234851"/>
                    </a:xfrm>
                    <a:prstGeom prst="rect"/>
                  </pic:spPr>
                </pic:pic>
              </a:graphicData>
            </a:graphic>
          </wp:inline>
        </w:drawing>
      </w:r>
    </w:p>
    <w:p>
      <w:pPr>
        <w:spacing w:before="320" w:after="40"/>
      </w:pPr>
      <w:r>
        <w:rPr>
          <w:rFonts w:ascii="IBM Plex Sans" w:hAnsi="IBM Plex Sans" w:cs="IBM Plex Sans"/>
          <w:b/>
          <w:color w:val="1F3A5F"/>
          <w:sz w:val="18"/>
        </w:rPr>
        <w:t xml:space="preserve">§ 5</w:t>
      </w:r>
    </w:p>
    <w:p>
      <w:pPr>
        <w:spacing w:after="160" w:line="240" w:lineRule="auto"/>
      </w:pPr>
      <w:r>
        <w:rPr>
          <w:rFonts w:ascii="Newsreader" w:hAnsi="Newsreader" w:cs="Newsreader"/>
          <w:color w:val="161412"/>
          <w:sz w:val="38"/>
        </w:rPr>
        <w:t>Fundamento: valoración del evento</w:t>
      </w:r>
    </w:p>
    <w:p>
      <w:pPr>
        <w:spacing w:after="120" w:line="320" w:lineRule="auto"/>
        <w:jc w:val="both"/>
      </w:pPr>
      <w:r>
        <w:rPr>
          <w:rFonts w:ascii="Newsreader" w:hAnsi="Newsreader" w:cs="Newsreader"/>
          <w:b w:val="0"/>
          <w:i w:val="0"/>
          <w:color w:val="161412"/>
        </w:rPr>
        <w:t>La teoría de la valoración del evento explica por qué algunos eventos aceptan intent y otros no. La valoración del evento es el proceso por el cual un estímulo se evalúa en relación con metas, control, consecuencias y urgencia. Un error de validación dispara preguntas de valoración del evento: ¿bloquea mi objetivo? ¿puedo corregirlo? ¿es urgente? Pero la apertura de un panel o el cambio de vista no disparan el mismo tipo de evaluación.</w:t>
      </w:r>
    </w:p>
    <w:p>
      <w:pPr>
        <w:spacing w:before="200" w:after="60"/>
        <w:jc w:val="center"/>
      </w:pPr>
      <w:r>
        <w:drawing>
          <wp:inline xmlns:a="http://schemas.openxmlformats.org/drawingml/2006/main" xmlns:pic="http://schemas.openxmlformats.org/drawingml/2006/picture">
            <wp:extent cx="5029200" cy="2376297"/>
            <wp:docPr id="54" name="Picture 54"/>
            <wp:cNvGraphicFramePr>
              <a:graphicFrameLocks noChangeAspect="1"/>
            </wp:cNvGraphicFramePr>
            <a:graphic>
              <a:graphicData uri="http://schemas.openxmlformats.org/drawingml/2006/picture">
                <pic:pic>
                  <pic:nvPicPr>
                    <pic:cNvPr id="0" name="figura-9-3.png"/>
                    <pic:cNvPicPr/>
                  </pic:nvPicPr>
                  <pic:blipFill>
                    <a:blip r:embed="rId62"/>
                    <a:stretch>
                      <a:fillRect/>
                    </a:stretch>
                  </pic:blipFill>
                  <pic:spPr>
                    <a:xfrm>
                      <a:off x="0" y="0"/>
                      <a:ext cx="5029200" cy="2376297"/>
                    </a:xfrm>
                    <a:prstGeom prst="rect"/>
                  </pic:spPr>
                </pic:pic>
              </a:graphicData>
            </a:graphic>
          </wp:inline>
        </w:drawing>
      </w:r>
    </w:p>
    <w:p>
      <w:pPr>
        <w:spacing w:before="320" w:after="40"/>
      </w:pPr>
      <w:r>
        <w:rPr>
          <w:rFonts w:ascii="IBM Plex Sans" w:hAnsi="IBM Plex Sans" w:cs="IBM Plex Sans"/>
          <w:b/>
          <w:color w:val="1F3A5F"/>
          <w:sz w:val="18"/>
        </w:rPr>
        <w:t xml:space="preserve">§ 6</w:t>
      </w:r>
    </w:p>
    <w:p>
      <w:pPr>
        <w:spacing w:after="160" w:line="240" w:lineRule="auto"/>
      </w:pPr>
      <w:r>
        <w:rPr>
          <w:rFonts w:ascii="Newsreader" w:hAnsi="Newsreader" w:cs="Newsreader"/>
          <w:color w:val="161412"/>
          <w:sz w:val="38"/>
        </w:rPr>
        <w:t>Fundamento: figura y fondo</w:t>
      </w:r>
    </w:p>
    <w:p>
      <w:pPr>
        <w:spacing w:after="120" w:line="320" w:lineRule="auto"/>
        <w:jc w:val="both"/>
      </w:pPr>
      <w:r>
        <w:rPr>
          <w:rFonts w:ascii="Newsreader" w:hAnsi="Newsreader" w:cs="Newsreader"/>
          <w:b w:val="0"/>
          <w:i w:val="0"/>
          <w:color w:val="161412"/>
        </w:rPr>
        <w:t>La percepción organiza el campo en figura y fondo. Algunos eventos son figura: el error, la advertencia, la confirmación, la pérdida. Otros son fondo estructural: el modal, el panel, la expansión, la navegación, la espera. La valencia no está en el modal como estructura. Está en el mensaje que el modal contiene.</w:t>
      </w:r>
    </w:p>
    <w:p>
      <w:pPr>
        <w:spacing w:before="200" w:after="60"/>
        <w:jc w:val="center"/>
      </w:pPr>
      <w:r>
        <w:drawing>
          <wp:inline xmlns:a="http://schemas.openxmlformats.org/drawingml/2006/main" xmlns:pic="http://schemas.openxmlformats.org/drawingml/2006/picture">
            <wp:extent cx="5029200" cy="2304002"/>
            <wp:docPr id="55" name="Picture 55"/>
            <wp:cNvGraphicFramePr>
              <a:graphicFrameLocks noChangeAspect="1"/>
            </wp:cNvGraphicFramePr>
            <a:graphic>
              <a:graphicData uri="http://schemas.openxmlformats.org/drawingml/2006/picture">
                <pic:pic>
                  <pic:nvPicPr>
                    <pic:cNvPr id="0" name="figura-9-4.png"/>
                    <pic:cNvPicPr/>
                  </pic:nvPicPr>
                  <pic:blipFill>
                    <a:blip r:embed="rId63"/>
                    <a:stretch>
                      <a:fillRect/>
                    </a:stretch>
                  </pic:blipFill>
                  <pic:spPr>
                    <a:xfrm>
                      <a:off x="0" y="0"/>
                      <a:ext cx="5029200" cy="2304002"/>
                    </a:xfrm>
                    <a:prstGeom prst="rect"/>
                  </pic:spPr>
                </pic:pic>
              </a:graphicData>
            </a:graphic>
          </wp:inline>
        </w:drawing>
      </w:r>
    </w:p>
    <w:p>
      <w:pPr>
        <w:spacing w:before="320" w:after="40"/>
      </w:pPr>
      <w:r>
        <w:rPr>
          <w:rFonts w:ascii="IBM Plex Sans" w:hAnsi="IBM Plex Sans" w:cs="IBM Plex Sans"/>
          <w:b/>
          <w:color w:val="1F3A5F"/>
          <w:sz w:val="18"/>
        </w:rPr>
        <w:t xml:space="preserve">§ 7</w:t>
      </w:r>
    </w:p>
    <w:p>
      <w:pPr>
        <w:spacing w:after="160" w:line="240" w:lineRule="auto"/>
      </w:pPr>
      <w:r>
        <w:rPr>
          <w:rFonts w:ascii="Newsreader" w:hAnsi="Newsreader" w:cs="Newsreader"/>
          <w:color w:val="161412"/>
          <w:sz w:val="38"/>
        </w:rPr>
        <w:t>Fundamento: esquemas sensoriomotores</w:t>
      </w:r>
    </w:p>
    <w:p>
      <w:pPr>
        <w:spacing w:after="120" w:line="320" w:lineRule="auto"/>
        <w:jc w:val="both"/>
      </w:pPr>
      <w:r>
        <w:rPr>
          <w:rFonts w:ascii="Newsreader" w:hAnsi="Newsreader" w:cs="Newsreader"/>
          <w:b w:val="0"/>
          <w:i w:val="0"/>
          <w:color w:val="161412"/>
        </w:rPr>
        <w:t xml:space="preserve">Algunos esquemas son agentivos: contacto, elección, señal, logro, pérdida, manipulación/drop. Otros son estructurales: contenedor, camino, proceso, entrada/salida, plano, carry. Los esquemas agentivos tienden a admitir evaluación porque implican logro, fallo, contacto, elección, pérdida o control. Los estructurales organizan el campo perceptivo.</w:t>
      </w:r>
    </w:p>
    <w:p>
      <w:pPr>
        <w:spacing w:before="200" w:after="60"/>
        <w:jc w:val="center"/>
      </w:pPr>
      <w:r>
        <w:drawing>
          <wp:inline xmlns:a="http://schemas.openxmlformats.org/drawingml/2006/main" xmlns:pic="http://schemas.openxmlformats.org/drawingml/2006/picture">
            <wp:extent cx="5029200" cy="2304002"/>
            <wp:docPr id="56" name="Picture 56"/>
            <wp:cNvGraphicFramePr>
              <a:graphicFrameLocks noChangeAspect="1"/>
            </wp:cNvGraphicFramePr>
            <a:graphic>
              <a:graphicData uri="http://schemas.openxmlformats.org/drawingml/2006/picture">
                <pic:pic>
                  <pic:nvPicPr>
                    <pic:cNvPr id="0" name="figura-9-5.png"/>
                    <pic:cNvPicPr/>
                  </pic:nvPicPr>
                  <pic:blipFill>
                    <a:blip r:embed="rId64"/>
                    <a:stretch>
                      <a:fillRect/>
                    </a:stretch>
                  </pic:blipFill>
                  <pic:spPr>
                    <a:xfrm>
                      <a:off x="0" y="0"/>
                      <a:ext cx="5029200" cy="2304002"/>
                    </a:xfrm>
                    <a:prstGeom prst="rect"/>
                  </pic:spPr>
                </pic:pic>
              </a:graphicData>
            </a:graphic>
          </wp:inline>
        </w:drawing>
      </w:r>
    </w:p>
    <w:p>
      <w:pPr>
        <w:spacing w:before="320" w:after="40"/>
      </w:pPr>
      <w:r>
        <w:rPr>
          <w:rFonts w:ascii="IBM Plex Sans" w:hAnsi="IBM Plex Sans" w:cs="IBM Plex Sans"/>
          <w:b/>
          <w:color w:val="1F3A5F"/>
          <w:sz w:val="18"/>
        </w:rPr>
        <w:t xml:space="preserve">§ 8</w:t>
      </w:r>
    </w:p>
    <w:p>
      <w:pPr>
        <w:spacing w:after="160" w:line="240" w:lineRule="auto"/>
      </w:pPr>
      <w:r>
        <w:rPr>
          <w:rFonts w:ascii="Newsreader" w:hAnsi="Newsreader" w:cs="Newsreader"/>
          <w:color w:val="161412"/>
          <w:sz w:val="38"/>
        </w:rPr>
        <w:t>Confirmaciones desde affordances, atención y afecto</w:t>
      </w:r>
    </w:p>
    <w:p>
      <w:pPr>
        <w:spacing w:after="120" w:line="320" w:lineRule="auto"/>
        <w:jc w:val="both"/>
      </w:pPr>
      <w:r>
        <w:rPr>
          <w:rFonts w:ascii="Newsreader" w:hAnsi="Newsreader" w:cs="Newsreader"/>
          <w:b w:val="0"/>
          <w:i w:val="0"/>
          <w:color w:val="161412"/>
        </w:rPr>
        <w:t>Desde las affordances, los eventos operativos e informativos tienden a ser evaluables porque afectan a lo que el usuario puede hacer o debe interpretar. Las affordances estructurales organizan el campo sin portar juicio por sí mismas.</w:t>
      </w:r>
    </w:p>
    <w:p>
      <w:pPr>
        <w:spacing w:after="120" w:line="320" w:lineRule="auto"/>
        <w:jc w:val="both"/>
      </w:pPr>
      <w:r>
        <w:rPr>
          <w:rFonts w:ascii="Newsreader" w:hAnsi="Newsreader" w:cs="Newsreader"/>
          <w:b w:val="0"/>
          <w:i w:val="0"/>
          <w:color w:val="161412"/>
        </w:rPr>
        <w:t>Desde la atención, signal.alert puede reclamar evaluación porque introduce una figura que el usuario debe atender. emerge, shift y sustain muchas veces redirigen o acompañan la atención sin convertir ese cambio en mensaje afectivo.</w:t>
      </w:r>
    </w:p>
    <w:p>
      <w:pPr>
        <w:spacing w:after="120" w:line="320" w:lineRule="auto"/>
        <w:jc w:val="both"/>
      </w:pPr>
      <w:r>
        <w:rPr>
          <w:rFonts w:ascii="Newsreader" w:hAnsi="Newsreader" w:cs="Newsreader"/>
          <w:b w:val="0"/>
          <w:i w:val="0"/>
          <w:color w:val="161412"/>
        </w:rPr>
        <w:t>Desde el modelo valencia-activación, los intents tienen sentido cuando un evento puede ubicarse en una región evaluativa. Una expansión no es positiva por expandirse. Una navegación no es exitosa por cambiar de vista. Una espera no es amenaza por durar.</w:t>
      </w:r>
    </w:p>
    <w:p>
      <w:pPr>
        <w:spacing w:after="120" w:line="320" w:lineRule="auto"/>
        <w:jc w:val="both"/>
      </w:pPr>
      <w:r>
        <w:rPr>
          <w:rFonts w:ascii="Newsreader" w:hAnsi="Newsreader" w:cs="Newsreader"/>
          <w:b w:val="0"/>
          <w:i w:val="0"/>
          <w:color w:val="161412"/>
        </w:rPr>
        <w:t>La convergencia es clara: el intent pertenece al evento que porta juicio, no al evento que organiza el espacio donde ese juicio aparece.</w:t>
      </w:r>
    </w:p>
    <w:p>
      <w:pPr>
        <w:spacing w:before="320" w:after="40"/>
      </w:pPr>
      <w:r>
        <w:rPr>
          <w:rFonts w:ascii="IBM Plex Sans" w:hAnsi="IBM Plex Sans" w:cs="IBM Plex Sans"/>
          <w:b/>
          <w:color w:val="1F3A5F"/>
          <w:sz w:val="18"/>
        </w:rPr>
        <w:t xml:space="preserve">§ 9</w:t>
      </w:r>
    </w:p>
    <w:p>
      <w:pPr>
        <w:spacing w:after="160" w:line="240" w:lineRule="auto"/>
      </w:pPr>
      <w:r>
        <w:rPr>
          <w:rFonts w:ascii="Newsreader" w:hAnsi="Newsreader" w:cs="Newsreader"/>
          <w:color w:val="161412"/>
          <w:sz w:val="38"/>
        </w:rPr>
        <w:t>Reglas de composición</w:t>
      </w:r>
    </w:p>
    <w:p>
      <w:pPr>
        <w:spacing w:after="120" w:line="320" w:lineRule="auto"/>
        <w:jc w:val="both"/>
      </w:pPr>
      <w:r>
        <w:rPr>
          <w:rFonts w:ascii="Newsreader" w:hAnsi="Newsreader" w:cs="Newsreader"/>
          <w:b w:val="0"/>
          <w:i w:val="0"/>
          <w:color w:val="161412"/>
        </w:rPr>
        <w:t>Regla 1 — El intent va en el evento evaluable. Incorrecto: emerge.open + risk. Correcto: emerge.open → signal.warn + risk.</w:t>
      </w:r>
    </w:p>
    <w:p>
      <w:pPr>
        <w:spacing w:after="120" w:line="320" w:lineRule="auto"/>
        <w:jc w:val="both"/>
      </w:pPr>
      <w:r>
        <w:rPr>
          <w:rFonts w:ascii="Newsreader" w:hAnsi="Newsreader" w:cs="Newsreader"/>
          <w:b w:val="0"/>
          <w:i w:val="0"/>
          <w:color w:val="161412"/>
        </w:rPr>
        <w:t>Regla 2 — El marco puede contener mensaje, pero no absorberlo. Incorrecto: shift.enter-mode + threat. Correcto: shift.enter-mode → signal.alert + threat.</w:t>
      </w:r>
    </w:p>
    <w:p>
      <w:pPr>
        <w:spacing w:after="120" w:line="320" w:lineRule="auto"/>
        <w:jc w:val="both"/>
      </w:pPr>
      <w:r>
        <w:rPr>
          <w:rFonts w:ascii="Newsreader" w:hAnsi="Newsreader" w:cs="Newsreader"/>
          <w:b w:val="0"/>
          <w:i w:val="0"/>
          <w:color w:val="161412"/>
        </w:rPr>
        <w:t>Regla 3 — El proceso no es el resultado. Incorrecto: sustain.progress + fulfill. Correcto: sustain.progress → commit.complete + fulfill.</w:t>
      </w:r>
    </w:p>
    <w:p>
      <w:pPr>
        <w:spacing w:after="120" w:line="320" w:lineRule="auto"/>
        <w:jc w:val="both"/>
      </w:pPr>
      <w:r>
        <w:rPr>
          <w:rFonts w:ascii="Newsreader" w:hAnsi="Newsreader" w:cs="Newsreader"/>
          <w:b w:val="0"/>
          <w:i w:val="0"/>
          <w:color w:val="161412"/>
        </w:rPr>
        <w:t xml:space="preserve">Regla 4 — La amenaza no es la pérdida. Incorrecto: commit.delete + threat. Correcto: commit.delete + loss. Y si antes hay advertencia: signal.warn + threat → commit.delete + loss.</w:t>
      </w:r>
    </w:p>
    <w:p>
      <w:pPr>
        <w:spacing w:after="120" w:line="320" w:lineRule="auto"/>
        <w:jc w:val="both"/>
      </w:pPr>
      <w:r>
        <w:rPr>
          <w:rFonts w:ascii="Newsreader" w:hAnsi="Newsreader" w:cs="Newsreader"/>
          <w:b w:val="0"/>
          <w:i w:val="0"/>
          <w:color w:val="161412"/>
        </w:rPr>
        <w:t>Regla 5 — En manipulación, el carry no debe cargar el juicio. Incorrecto: handle.carry + threat. Correcto: handle.carry → signal.warn + threat (si zona destructiva) → commit.delete + loss (si se suelta ahí).</w:t>
      </w:r>
    </w:p>
    <w:p>
      <w:pPr>
        <w:spacing w:before="200" w:after="60"/>
        <w:jc w:val="center"/>
      </w:pPr>
      <w:r>
        <w:drawing>
          <wp:inline xmlns:a="http://schemas.openxmlformats.org/drawingml/2006/main" xmlns:pic="http://schemas.openxmlformats.org/drawingml/2006/picture">
            <wp:extent cx="5029200" cy="3281553"/>
            <wp:docPr id="57" name="Picture 57"/>
            <wp:cNvGraphicFramePr>
              <a:graphicFrameLocks noChangeAspect="1"/>
            </wp:cNvGraphicFramePr>
            <a:graphic>
              <a:graphicData uri="http://schemas.openxmlformats.org/drawingml/2006/picture">
                <pic:pic>
                  <pic:nvPicPr>
                    <pic:cNvPr id="0" name="figura-9-6.png"/>
                    <pic:cNvPicPr/>
                  </pic:nvPicPr>
                  <pic:blipFill>
                    <a:blip r:embed="rId65"/>
                    <a:stretch>
                      <a:fillRect/>
                    </a:stretch>
                  </pic:blipFill>
                  <pic:spPr>
                    <a:xfrm>
                      <a:off x="0" y="0"/>
                      <a:ext cx="5029200" cy="3281553"/>
                    </a:xfrm>
                    <a:prstGeom prst="rect"/>
                  </pic:spPr>
                </pic:pic>
              </a:graphicData>
            </a:graphic>
          </wp:inline>
        </w:drawing>
      </w:r>
    </w:p>
    <w:p>
      <w:pPr>
        <w:spacing w:after="120" w:line="320" w:lineRule="auto"/>
        <w:jc w:val="both"/>
      </w:pPr>
      <w:r>
        <w:rPr>
          <w:rFonts w:ascii="Newsreader" w:hAnsi="Newsreader" w:cs="Newsreader"/>
          <w:b w:val="0"/>
          <w:i w:val="0"/>
          <w:color w:val="161412"/>
        </w:rPr>
        <w:t xml:space="preserve">Las reglas 1 y 2 admiten una excepción, y conviene declararla con la misma precisión con que se declaró la regla. Existe un caso en que el evento estructural puede portar un tono no neutral: cuando su única razón de ocurrir es hacer perceptible una situación evaluable. Una superficie que se abre solo porque hay una acción destructiva pendiente no es un contenedor que trae una advertencia: su aparición es ya la advertencia. Diferir todo el tono al mensaje interior deja mudo el primer momento perceptivo —la interrupción misma—, y esa mudez se lee como infra-reacción ante un contexto grave.</w:t>
      </w:r>
    </w:p>
    <w:p>
      <w:pPr>
        <w:spacing w:after="120" w:line="320" w:lineRule="auto"/>
        <w:jc w:val="both"/>
      </w:pPr>
      <w:r>
        <w:rPr>
          <w:rFonts w:ascii="Newsreader" w:hAnsi="Newsreader" w:cs="Newsreader"/>
          <w:b w:val="0"/>
          <w:i w:val="0"/>
          <w:color w:val="161412"/>
        </w:rPr>
        <w:t xml:space="preserve">La prueba es sustractiva: si se quita el evento estructural, ¿la advertencia sobrevive en otro sitio? Si sobrevive —una señal previa, un mensaje interior, un estado que ya la porta—, el evento es marco y queda neutral. Si la aparición es la única advertencia, puede portar el tono. Y la excepción es cara: debe declararse como tal, con su justificación, nunca asumirse. Una superficie que aparece por cualquier otra razón —mostrar opciones, cambiar de contexto, contener— sigue siendo marco. El alcance de la excepción es estrecho: aparición (emerge) y cruce de marco (shift); el contacto queda fuera.</w:t>
      </w:r>
    </w:p>
    <w:p>
      <w:pPr>
        <w:spacing w:before="160" w:after="40"/>
        <w:pBdr>
          <w:left w:val="single" w:sz="18" w:space="12" w:color="1F3A5F"/>
        </w:pBdr>
      </w:pPr>
      <w:r>
        <w:rPr>
          <w:rFonts w:ascii="IBM Plex Sans" w:hAnsi="IBM Plex Sans" w:cs="IBM Plex Sans"/>
          <w:b/>
          <w:color w:val="1F3A5F"/>
          <w:sz w:val="16"/>
        </w:rPr>
        <w:t xml:space="preserve">LO QUE LA PRÁCTICA CORRIGIÓ</w:t>
      </w:r>
    </w:p>
    <w:p>
      <w:pPr>
        <w:spacing w:after="120" w:line="312" w:lineRule="auto"/>
        <w:pBdr>
          <w:left w:val="single" w:sz="18" w:space="12" w:color="1F3A5F"/>
        </w:pBdr>
      </w:pPr>
      <w:r>
        <w:rPr>
          <w:rFonts w:ascii="Newsreader" w:hAnsi="Newsreader" w:cs="Newsreader"/>
          <w:b w:val="0"/>
          <w:i/>
          <w:color w:val="3A352F"/>
        </w:rPr>
        <w:t xml:space="preserve">Esta excepción no nació en la teoría: la impuso la práctica. Una implementación de referencia de esta gramática, al construir un diálogo de confirmación destructiva, encontró que mantener neutral la aparición dejaba el primer momento perceptivo sin evaluación — el tono llegaba tarde, con el mensaje interior. La regla general resistió; el caso frontera exigió nombre, prueba y coste. Así evoluciona una gramática: por defecto firme, excepción declarada.</w:t>
      </w:r>
    </w:p>
    <w:p>
      <w:pPr>
        <w:spacing w:before="320" w:after="40"/>
      </w:pPr>
      <w:r>
        <w:rPr>
          <w:rFonts w:ascii="IBM Plex Sans" w:hAnsi="IBM Plex Sans" w:cs="IBM Plex Sans"/>
          <w:b/>
          <w:color w:val="1F3A5F"/>
          <w:sz w:val="18"/>
        </w:rPr>
        <w:t xml:space="preserve">§ 10</w:t>
      </w:r>
    </w:p>
    <w:p>
      <w:pPr>
        <w:spacing w:after="160" w:line="240" w:lineRule="auto"/>
      </w:pPr>
      <w:r>
        <w:rPr>
          <w:rFonts w:ascii="Newsreader" w:hAnsi="Newsreader" w:cs="Newsreader"/>
          <w:color w:val="161412"/>
          <w:sz w:val="38"/>
        </w:rPr>
        <w:t>Ejemplo: archivo no guardado al cerrar</w:t>
      </w:r>
    </w:p>
    <w:p>
      <w:pPr>
        <w:spacing w:after="120" w:line="320" w:lineRule="auto"/>
        <w:jc w:val="both"/>
      </w:pPr>
      <w:r>
        <w:rPr>
          <w:rFonts w:ascii="Newsreader" w:hAnsi="Newsreader" w:cs="Newsreader"/>
          <w:b w:val="0"/>
          <w:i w:val="0"/>
          <w:color w:val="161412"/>
        </w:rPr>
        <w:t>El usuario edita un documento y pulsa cerrar. La interfaz detecta cambios sin guardar.</w:t>
      </w:r>
    </w:p>
    <w:p>
      <w:pPr>
        <w:spacing w:after="120" w:line="320" w:lineRule="auto"/>
        <w:jc w:val="both"/>
      </w:pPr>
      <w:r>
        <w:rPr>
          <w:rFonts w:ascii="Newsreader" w:hAnsi="Newsreader" w:cs="Newsreader"/>
          <w:b w:val="0"/>
          <w:i w:val="0"/>
          <w:color w:val="161412"/>
        </w:rPr>
        <w:t>1. contact.press — el sistema confirma que recibió el gesto.</w:t>
      </w:r>
    </w:p>
    <w:p>
      <w:pPr>
        <w:spacing w:after="120" w:line="320" w:lineRule="auto"/>
        <w:jc w:val="both"/>
      </w:pPr>
      <w:r>
        <w:rPr>
          <w:rFonts w:ascii="Newsreader" w:hAnsi="Newsreader" w:cs="Newsreader"/>
          <w:b w:val="0"/>
          <w:i w:val="0"/>
          <w:color w:val="161412"/>
        </w:rPr>
        <w:t>2. signal.warn + risk — el sistema detecta cambios sin guardar. Todavía no hay pérdida; hay riesgo corregible.</w:t>
      </w:r>
    </w:p>
    <w:p>
      <w:pPr>
        <w:spacing w:after="120" w:line="320" w:lineRule="auto"/>
        <w:jc w:val="both"/>
      </w:pPr>
      <w:r>
        <w:rPr>
          <w:rFonts w:ascii="Newsreader" w:hAnsi="Newsreader" w:cs="Newsreader"/>
          <w:b w:val="0"/>
          <w:i w:val="0"/>
          <w:color w:val="161412"/>
        </w:rPr>
        <w:t xml:space="preserve">3. shift.enter-mode — aparece un diálogo que bloquea la salida. El modal reorganiza el marco. El intent no pertenece al modal. Nótese que este diálogo </w:t>
      </w:r>
      <w:r>
        <w:rPr>
          <w:rFonts w:ascii="Newsreader" w:hAnsi="Newsreader" w:cs="Newsreader"/>
          <w:b w:val="0"/>
          <w:i/>
          <w:color w:val="161412"/>
        </w:rPr>
        <w:t xml:space="preserve">no</w:t>
      </w:r>
      <w:r>
        <w:rPr>
          <w:rFonts w:ascii="Newsreader" w:hAnsi="Newsreader" w:cs="Newsreader"/>
          <w:b w:val="0"/>
          <w:i w:val="0"/>
          <w:color w:val="161412"/>
        </w:rPr>
        <w:t xml:space="preserve"> es la aparición-que-advierte: la advertencia ya vive en el paso 2 (signal.warn + risk) y sobrevive sin el modal. El test sustractivo lo resuelve: es marco, y queda neutral.</w:t>
      </w:r>
    </w:p>
    <w:p>
      <w:pPr>
        <w:spacing w:after="120" w:line="320" w:lineRule="auto"/>
        <w:jc w:val="both"/>
      </w:pPr>
      <w:r>
        <w:rPr>
          <w:rFonts w:ascii="Newsreader" w:hAnsi="Newsreader" w:cs="Newsreader"/>
          <w:b w:val="0"/>
          <w:i w:val="0"/>
          <w:color w:val="161412"/>
        </w:rPr>
        <w:t>Si el usuario elige guardar: commit.save + affirm. Si descarta: commit.discard + loss. Si cancela: commit.cancel + neutral.</w:t>
      </w:r>
    </w:p>
    <w:p>
      <w:pPr>
        <w:spacing w:after="120" w:line="320" w:lineRule="auto"/>
        <w:jc w:val="both"/>
      </w:pPr>
      <w:r>
        <w:rPr>
          <w:rFonts w:ascii="Newsreader" w:hAnsi="Newsreader" w:cs="Newsreader"/>
          <w:b w:val="0"/>
          <w:i w:val="0"/>
          <w:color w:val="161412"/>
        </w:rPr>
        <w:t>4. shift.exit-mode — el modal se cierra. La salida del modal no es éxito ni pérdida. Libera el marco.</w:t>
      </w:r>
    </w:p>
    <w:p>
      <w:pPr>
        <w:spacing w:before="200" w:after="60"/>
        <w:jc w:val="center"/>
      </w:pPr>
      <w:r>
        <w:drawing>
          <wp:inline xmlns:a="http://schemas.openxmlformats.org/drawingml/2006/main" xmlns:pic="http://schemas.openxmlformats.org/drawingml/2006/picture">
            <wp:extent cx="5029200" cy="3281553"/>
            <wp:docPr id="58" name="Picture 58"/>
            <wp:cNvGraphicFramePr>
              <a:graphicFrameLocks noChangeAspect="1"/>
            </wp:cNvGraphicFramePr>
            <a:graphic>
              <a:graphicData uri="http://schemas.openxmlformats.org/drawingml/2006/picture">
                <pic:pic>
                  <pic:nvPicPr>
                    <pic:cNvPr id="0" name="figura-9-7.png"/>
                    <pic:cNvPicPr/>
                  </pic:nvPicPr>
                  <pic:blipFill>
                    <a:blip r:embed="rId66"/>
                    <a:stretch>
                      <a:fillRect/>
                    </a:stretch>
                  </pic:blipFill>
                  <pic:spPr>
                    <a:xfrm>
                      <a:off x="0" y="0"/>
                      <a:ext cx="5029200" cy="3281553"/>
                    </a:xfrm>
                    <a:prstGeom prst="rect"/>
                  </pic:spPr>
                </pic:pic>
              </a:graphicData>
            </a:graphic>
          </wp:inline>
        </w:drawing>
      </w:r>
    </w:p>
    <w:p>
      <w:pPr>
        <w:spacing w:before="320" w:after="40"/>
      </w:pPr>
      <w:r>
        <w:rPr>
          <w:rFonts w:ascii="IBM Plex Sans" w:hAnsi="IBM Plex Sans" w:cs="IBM Plex Sans"/>
          <w:b/>
          <w:color w:val="1F3A5F"/>
          <w:sz w:val="18"/>
        </w:rPr>
        <w:t xml:space="preserve">§ 11</w:t>
      </w:r>
    </w:p>
    <w:p>
      <w:pPr>
        <w:spacing w:after="160" w:line="240" w:lineRule="auto"/>
      </w:pPr>
      <w:r>
        <w:rPr>
          <w:rFonts w:ascii="Newsreader" w:hAnsi="Newsreader" w:cs="Newsreader"/>
          <w:color w:val="161412"/>
          <w:sz w:val="38"/>
        </w:rPr>
        <w:t>Consecuencias para diseño e implementación</w:t>
      </w:r>
    </w:p>
    <w:p>
      <w:pPr>
        <w:spacing w:after="120" w:line="320" w:lineRule="auto"/>
        <w:jc w:val="both"/>
      </w:pPr>
      <w:r>
        <w:rPr>
          <w:rFonts w:ascii="Newsreader" w:hAnsi="Newsreader" w:cs="Newsreader"/>
          <w:b w:val="0"/>
          <w:i w:val="0"/>
          <w:color w:val="161412"/>
        </w:rPr>
        <w:t xml:space="preserve">Reduce sobreactuación: si solo los eventos evaluables reciben intent, la interfaz reserva la expresión afectiva para donde realmente la necesita.</w:t>
      </w:r>
    </w:p>
    <w:p>
      <w:pPr>
        <w:spacing w:after="120" w:line="320" w:lineRule="auto"/>
        <w:jc w:val="both"/>
      </w:pPr>
      <w:r>
        <w:rPr>
          <w:rFonts w:ascii="Newsreader" w:hAnsi="Newsreader" w:cs="Newsreader"/>
          <w:b w:val="0"/>
          <w:i w:val="0"/>
          <w:color w:val="161412"/>
        </w:rPr>
        <w:t>Mejora la composición: cada parte de una operación compuesta tiene su función asignada.</w:t>
      </w:r>
    </w:p>
    <w:p>
      <w:pPr>
        <w:spacing w:after="120" w:line="320" w:lineRule="auto"/>
        <w:jc w:val="both"/>
      </w:pPr>
      <w:r>
        <w:rPr>
          <w:rFonts w:ascii="Newsreader" w:hAnsi="Newsreader" w:cs="Newsreader"/>
          <w:b w:val="0"/>
          <w:i w:val="0"/>
          <w:color w:val="161412"/>
        </w:rPr>
        <w:t>Mejora la accesibilidad: si sabemos qué evento porta el significado evaluable, podemos redistribuirlo mejor cuando un canal se reduce.</w:t>
      </w:r>
    </w:p>
    <w:p>
      <w:pPr>
        <w:spacing w:after="120" w:line="320" w:lineRule="auto"/>
        <w:jc w:val="both"/>
      </w:pPr>
      <w:r>
        <w:rPr>
          <w:rFonts w:ascii="Newsreader" w:hAnsi="Newsreader" w:cs="Newsreader"/>
          <w:b w:val="0"/>
          <w:i w:val="0"/>
          <w:color w:val="161412"/>
        </w:rPr>
        <w:t>Evita falsas emociones: una interfaz no debería comunicar amenaza cuando hay pérdida, ni celebración cuando solo hay confirmación suave.</w:t>
      </w:r>
    </w:p>
    <w:p>
      <w:pPr>
        <w:spacing w:before="320" w:after="40"/>
      </w:pPr>
      <w:r>
        <w:rPr>
          <w:rFonts w:ascii="IBM Plex Sans" w:hAnsi="IBM Plex Sans" w:cs="IBM Plex Sans"/>
          <w:b/>
          <w:color w:val="1F3A5F"/>
          <w:sz w:val="18"/>
        </w:rPr>
        <w:t xml:space="preserve">§ 12</w:t>
      </w:r>
    </w:p>
    <w:p>
      <w:pPr>
        <w:spacing w:after="160" w:line="240" w:lineRule="auto"/>
      </w:pPr>
      <w:r>
        <w:rPr>
          <w:rFonts w:ascii="Newsreader" w:hAnsi="Newsreader" w:cs="Newsreader"/>
          <w:color w:val="161412"/>
          <w:sz w:val="38"/>
        </w:rPr>
        <w:t>Síntesis</w:t>
      </w:r>
    </w:p>
    <w:p>
      <w:pPr>
        <w:spacing w:after="120" w:line="320" w:lineRule="auto"/>
        <w:jc w:val="both"/>
      </w:pPr>
      <w:r>
        <w:rPr>
          <w:rFonts w:ascii="Newsreader" w:hAnsi="Newsreader" w:cs="Newsreader"/>
          <w:b w:val="0"/>
          <w:i w:val="0"/>
          <w:color w:val="161412"/>
        </w:rPr>
        <w:t>Este capítulo ha introducido una distinción central: no todos los eventos aceptan intent porque no todos los eventos son evaluables. Esta distinción no convierte los eventos estructurales en secundarios ni prohíbe que una transición tenga atmósfera. Solo establece que el intent debe vivir donde hay evaluación operativa, no donde solo hay organización del campo.</w:t>
      </w:r>
    </w:p>
    <w:p>
      <w:pPr>
        <w:spacing w:after="200" w:before="40"/>
      </w:pPr>
      <w:r>
        <w:rPr>
          <w:rFonts w:ascii="IBM Plex Sans" w:hAnsi="IBM Plex Sans" w:cs="IBM Plex Sans"/>
          <w:b/>
          <w:color w:val="1F3A5F"/>
          <w:sz w:val="17"/>
        </w:rPr>
        <w:t xml:space="preserve">TABLA 9.2   </w:t>
      </w:r>
      <w:r>
        <w:rPr>
          <w:rFonts w:ascii="IBM Plex Sans" w:hAnsi="IBM Plex Sans" w:cs="IBM Plex Sans"/>
          <w:color w:val="3A352F"/>
          <w:sz w:val="18"/>
        </w:rPr>
        <w:t xml:space="preserve">Síntesis: evaluabilidad por familia</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FAMILIA</w:t>
            </w:r>
          </w:p>
        </w:tc>
        <w:tc>
          <w:tcPr>
            <w:tcW w:type="dxa" w:w="2772"/>
            <w:shd w:val="clear" w:color="auto" w:fill="EAE4D8"/>
          </w:tcPr>
          <w:p>
            <w:pPr>
              <w:spacing w:after="40"/>
            </w:pPr>
            <w:r>
              <w:rPr>
                <w:sz w:val="17"/>
              </w:rPr>
            </w:r>
            <w:r>
              <w:rPr>
                <w:rFonts w:ascii="IBM Plex Sans" w:hAnsi="IBM Plex Sans" w:cs="IBM Plex Sans"/>
                <w:b/>
                <w:i w:val="0"/>
                <w:color w:val="1F3A5F"/>
                <w:sz w:val="17"/>
              </w:rPr>
              <w:t>EVALUABILIDAD</w:t>
            </w:r>
          </w:p>
        </w:tc>
        <w:tc>
          <w:tcPr>
            <w:tcW w:type="dxa" w:w="2772"/>
            <w:shd w:val="clear" w:color="auto" w:fill="EAE4D8"/>
          </w:tcPr>
          <w:p>
            <w:pPr>
              <w:spacing w:after="40"/>
            </w:pPr>
            <w:r>
              <w:rPr>
                <w:sz w:val="17"/>
              </w:rPr>
            </w:r>
            <w:r>
              <w:rPr>
                <w:rFonts w:ascii="IBM Plex Sans" w:hAnsi="IBM Plex Sans" w:cs="IBM Plex Sans"/>
                <w:b/>
                <w:i w:val="0"/>
                <w:color w:val="1F3A5F"/>
                <w:sz w:val="17"/>
              </w:rPr>
              <w:t>REGLA PRÁCTICA</w:t>
            </w:r>
          </w:p>
        </w:tc>
      </w:tr>
      <w:tr>
        <w:tc>
          <w:tcPr>
            <w:tcW w:type="dxa" w:w="2772"/>
          </w:tcPr>
          <w:p>
            <w:pPr>
              <w:spacing w:after="40"/>
            </w:pPr>
            <w:r>
              <w:rPr>
                <w:sz w:val="17"/>
              </w:rPr>
            </w:r>
            <w:r>
              <w:rPr>
                <w:rFonts w:ascii="IBM Plex Sans" w:hAnsi="IBM Plex Sans" w:cs="IBM Plex Sans"/>
                <w:b w:val="0"/>
                <w:i w:val="0"/>
                <w:color w:val="161412"/>
                <w:sz w:val="17"/>
              </w:rPr>
              <w:t>contact</w:t>
            </w:r>
          </w:p>
        </w:tc>
        <w:tc>
          <w:tcPr>
            <w:tcW w:type="dxa" w:w="2772"/>
          </w:tcPr>
          <w:p>
            <w:pPr>
              <w:spacing w:after="40"/>
            </w:pPr>
            <w:r>
              <w:rPr>
                <w:sz w:val="17"/>
              </w:rPr>
            </w:r>
            <w:r>
              <w:rPr>
                <w:rFonts w:ascii="IBM Plex Sans" w:hAnsi="IBM Plex Sans" w:cs="IBM Plex Sans"/>
                <w:b w:val="0"/>
                <w:i w:val="0"/>
                <w:color w:val="161412"/>
                <w:sz w:val="17"/>
              </w:rPr>
              <w:t>Leve o anticipatoria</w:t>
            </w:r>
          </w:p>
        </w:tc>
        <w:tc>
          <w:tcPr>
            <w:tcW w:type="dxa" w:w="2772"/>
          </w:tcPr>
          <w:p>
            <w:pPr>
              <w:spacing w:after="40"/>
            </w:pPr>
            <w:r>
              <w:rPr>
                <w:sz w:val="17"/>
              </w:rPr>
            </w:r>
            <w:r>
              <w:rPr>
                <w:rFonts w:ascii="IBM Plex Sans" w:hAnsi="IBM Plex Sans" w:cs="IBM Plex Sans"/>
                <w:b w:val="0"/>
                <w:i w:val="0"/>
                <w:color w:val="161412"/>
                <w:sz w:val="17"/>
              </w:rPr>
              <w:t>Puede anticipar peso pero no porta resultado</w:t>
            </w:r>
          </w:p>
        </w:tc>
      </w:tr>
      <w:tr>
        <w:tc>
          <w:tcPr>
            <w:tcW w:type="dxa" w:w="2772"/>
          </w:tcPr>
          <w:p>
            <w:pPr>
              <w:spacing w:after="40"/>
            </w:pPr>
            <w:r>
              <w:rPr>
                <w:sz w:val="17"/>
              </w:rPr>
            </w:r>
            <w:r>
              <w:rPr>
                <w:rFonts w:ascii="IBM Plex Sans" w:hAnsi="IBM Plex Sans" w:cs="IBM Plex Sans"/>
                <w:b w:val="0"/>
                <w:i w:val="0"/>
                <w:color w:val="161412"/>
                <w:sz w:val="17"/>
              </w:rPr>
              <w:t>commit</w:t>
            </w:r>
          </w:p>
        </w:tc>
        <w:tc>
          <w:tcPr>
            <w:tcW w:type="dxa" w:w="2772"/>
          </w:tcPr>
          <w:p>
            <w:pPr>
              <w:spacing w:after="40"/>
            </w:pPr>
            <w:r>
              <w:rPr>
                <w:sz w:val="17"/>
              </w:rPr>
            </w:r>
            <w:r>
              <w:rPr>
                <w:rFonts w:ascii="IBM Plex Sans" w:hAnsi="IBM Plex Sans" w:cs="IBM Plex Sans"/>
                <w:b w:val="0"/>
                <w:i w:val="0"/>
                <w:color w:val="161412"/>
                <w:sz w:val="17"/>
              </w:rPr>
              <w:t>Alta</w:t>
            </w:r>
          </w:p>
        </w:tc>
        <w:tc>
          <w:tcPr>
            <w:tcW w:type="dxa" w:w="2772"/>
          </w:tcPr>
          <w:p>
            <w:pPr>
              <w:spacing w:after="40"/>
            </w:pPr>
            <w:r>
              <w:rPr>
                <w:sz w:val="17"/>
              </w:rPr>
            </w:r>
            <w:r>
              <w:rPr>
                <w:rFonts w:ascii="IBM Plex Sans" w:hAnsi="IBM Plex Sans" w:cs="IBM Plex Sans"/>
                <w:b w:val="0"/>
                <w:i w:val="0"/>
                <w:color w:val="161412"/>
                <w:sz w:val="17"/>
              </w:rPr>
              <w:t>Es el lugar natural del intent</w:t>
            </w:r>
          </w:p>
        </w:tc>
      </w:tr>
      <w:tr>
        <w:tc>
          <w:tcPr>
            <w:tcW w:type="dxa" w:w="2772"/>
          </w:tcPr>
          <w:p>
            <w:pPr>
              <w:spacing w:after="40"/>
            </w:pPr>
            <w:r>
              <w:rPr>
                <w:sz w:val="17"/>
              </w:rPr>
            </w:r>
            <w:r>
              <w:rPr>
                <w:rFonts w:ascii="IBM Plex Sans" w:hAnsi="IBM Plex Sans" w:cs="IBM Plex Sans"/>
                <w:b w:val="0"/>
                <w:i w:val="0"/>
                <w:color w:val="161412"/>
                <w:sz w:val="17"/>
              </w:rPr>
              <w:t>signal</w:t>
            </w:r>
          </w:p>
        </w:tc>
        <w:tc>
          <w:tcPr>
            <w:tcW w:type="dxa" w:w="2772"/>
          </w:tcPr>
          <w:p>
            <w:pPr>
              <w:spacing w:after="40"/>
            </w:pPr>
            <w:r>
              <w:rPr>
                <w:sz w:val="17"/>
              </w:rPr>
            </w:r>
            <w:r>
              <w:rPr>
                <w:rFonts w:ascii="IBM Plex Sans" w:hAnsi="IBM Plex Sans" w:cs="IBM Plex Sans"/>
                <w:b w:val="0"/>
                <w:i w:val="0"/>
                <w:color w:val="161412"/>
                <w:sz w:val="17"/>
              </w:rPr>
              <w:t>Alta</w:t>
            </w:r>
          </w:p>
        </w:tc>
        <w:tc>
          <w:tcPr>
            <w:tcW w:type="dxa" w:w="2772"/>
          </w:tcPr>
          <w:p>
            <w:pPr>
              <w:spacing w:after="40"/>
            </w:pPr>
            <w:r>
              <w:rPr>
                <w:sz w:val="17"/>
              </w:rPr>
            </w:r>
            <w:r>
              <w:rPr>
                <w:rFonts w:ascii="IBM Plex Sans" w:hAnsi="IBM Plex Sans" w:cs="IBM Plex Sans"/>
                <w:b w:val="0"/>
                <w:i w:val="0"/>
                <w:color w:val="161412"/>
                <w:sz w:val="17"/>
              </w:rPr>
              <w:t>Comunica el tono del mensaje</w:t>
            </w:r>
          </w:p>
        </w:tc>
      </w:tr>
      <w:tr>
        <w:tc>
          <w:tcPr>
            <w:tcW w:type="dxa" w:w="2772"/>
          </w:tcPr>
          <w:p>
            <w:pPr>
              <w:spacing w:after="40"/>
            </w:pPr>
            <w:r>
              <w:rPr>
                <w:sz w:val="17"/>
              </w:rPr>
            </w:r>
            <w:r>
              <w:rPr>
                <w:rFonts w:ascii="IBM Plex Sans" w:hAnsi="IBM Plex Sans" w:cs="IBM Plex Sans"/>
                <w:b w:val="0"/>
                <w:i w:val="0"/>
                <w:color w:val="161412"/>
                <w:sz w:val="17"/>
              </w:rPr>
              <w:t>handle</w:t>
            </w:r>
          </w:p>
        </w:tc>
        <w:tc>
          <w:tcPr>
            <w:tcW w:type="dxa" w:w="2772"/>
          </w:tcPr>
          <w:p>
            <w:pPr>
              <w:spacing w:after="40"/>
            </w:pPr>
            <w:r>
              <w:rPr>
                <w:sz w:val="17"/>
              </w:rPr>
            </w:r>
            <w:r>
              <w:rPr>
                <w:rFonts w:ascii="IBM Plex Sans" w:hAnsi="IBM Plex Sans" w:cs="IBM Plex Sans"/>
                <w:b w:val="0"/>
                <w:i w:val="0"/>
                <w:color w:val="161412"/>
                <w:sz w:val="17"/>
              </w:rPr>
              <w:t>Mixta; sobre todo en drop</w:t>
            </w:r>
          </w:p>
        </w:tc>
        <w:tc>
          <w:tcPr>
            <w:tcW w:type="dxa" w:w="2772"/>
          </w:tcPr>
          <w:p>
            <w:pPr>
              <w:spacing w:after="40"/>
            </w:pPr>
            <w:r>
              <w:rPr>
                <w:sz w:val="17"/>
              </w:rPr>
            </w:r>
            <w:r>
              <w:rPr>
                <w:rFonts w:ascii="IBM Plex Sans" w:hAnsi="IBM Plex Sans" w:cs="IBM Plex Sans"/>
                <w:b w:val="0"/>
                <w:i w:val="0"/>
                <w:color w:val="161412"/>
                <w:sz w:val="17"/>
              </w:rPr>
              <w:t>El carry no carga juicio; el drop sí</w:t>
            </w:r>
          </w:p>
        </w:tc>
      </w:tr>
      <w:tr>
        <w:tc>
          <w:tcPr>
            <w:tcW w:type="dxa" w:w="2772"/>
          </w:tcPr>
          <w:p>
            <w:pPr>
              <w:spacing w:after="40"/>
            </w:pPr>
            <w:r>
              <w:rPr>
                <w:sz w:val="17"/>
              </w:rPr>
            </w:r>
            <w:r>
              <w:rPr>
                <w:rFonts w:ascii="IBM Plex Sans" w:hAnsi="IBM Plex Sans" w:cs="IBM Plex Sans"/>
                <w:b w:val="0"/>
                <w:i w:val="0"/>
                <w:color w:val="161412"/>
                <w:sz w:val="17"/>
              </w:rPr>
              <w:t>emerge</w:t>
            </w:r>
          </w:p>
        </w:tc>
        <w:tc>
          <w:tcPr>
            <w:tcW w:type="dxa" w:w="2772"/>
          </w:tcPr>
          <w:p>
            <w:pPr>
              <w:spacing w:after="40"/>
            </w:pPr>
            <w:r>
              <w:rPr>
                <w:sz w:val="17"/>
              </w:rPr>
            </w:r>
            <w:r>
              <w:rPr>
                <w:rFonts w:ascii="IBM Plex Sans" w:hAnsi="IBM Plex Sans" w:cs="IBM Plex Sans"/>
                <w:b w:val="0"/>
                <w:i w:val="0"/>
                <w:color w:val="161412"/>
                <w:sz w:val="17"/>
              </w:rPr>
              <w:t>Estructural</w:t>
            </w:r>
          </w:p>
        </w:tc>
        <w:tc>
          <w:tcPr>
            <w:tcW w:type="dxa" w:w="2772"/>
          </w:tcPr>
          <w:p>
            <w:pPr>
              <w:spacing w:after="40"/>
            </w:pPr>
            <w:r>
              <w:rPr>
                <w:sz w:val="17"/>
              </w:rPr>
            </w:r>
            <w:r>
              <w:rPr>
                <w:rFonts w:ascii="IBM Plex Sans" w:hAnsi="IBM Plex Sans" w:cs="IBM Plex Sans"/>
                <w:b w:val="0"/>
                <w:i w:val="0"/>
                <w:color w:val="161412"/>
                <w:sz w:val="17"/>
              </w:rPr>
              <w:t>El intent va en lo que emerge, no en la aparición</w:t>
            </w:r>
          </w:p>
        </w:tc>
      </w:tr>
      <w:tr>
        <w:tc>
          <w:tcPr>
            <w:tcW w:type="dxa" w:w="2772"/>
          </w:tcPr>
          <w:p>
            <w:pPr>
              <w:spacing w:after="40"/>
            </w:pPr>
            <w:r>
              <w:rPr>
                <w:sz w:val="17"/>
              </w:rPr>
            </w:r>
            <w:r>
              <w:rPr>
                <w:rFonts w:ascii="IBM Plex Sans" w:hAnsi="IBM Plex Sans" w:cs="IBM Plex Sans"/>
                <w:b w:val="0"/>
                <w:i w:val="0"/>
                <w:color w:val="161412"/>
                <w:sz w:val="17"/>
              </w:rPr>
              <w:t>shift</w:t>
            </w:r>
          </w:p>
        </w:tc>
        <w:tc>
          <w:tcPr>
            <w:tcW w:type="dxa" w:w="2772"/>
          </w:tcPr>
          <w:p>
            <w:pPr>
              <w:spacing w:after="40"/>
            </w:pPr>
            <w:r>
              <w:rPr>
                <w:sz w:val="17"/>
              </w:rPr>
            </w:r>
            <w:r>
              <w:rPr>
                <w:rFonts w:ascii="IBM Plex Sans" w:hAnsi="IBM Plex Sans" w:cs="IBM Plex Sans"/>
                <w:b w:val="0"/>
                <w:i w:val="0"/>
                <w:color w:val="161412"/>
                <w:sz w:val="17"/>
              </w:rPr>
              <w:t>Estructural</w:t>
            </w:r>
          </w:p>
        </w:tc>
        <w:tc>
          <w:tcPr>
            <w:tcW w:type="dxa" w:w="2772"/>
          </w:tcPr>
          <w:p>
            <w:pPr>
              <w:spacing w:after="40"/>
            </w:pPr>
            <w:r>
              <w:rPr>
                <w:sz w:val="17"/>
              </w:rPr>
            </w:r>
            <w:r>
              <w:rPr>
                <w:rFonts w:ascii="IBM Plex Sans" w:hAnsi="IBM Plex Sans" w:cs="IBM Plex Sans"/>
                <w:b w:val="0"/>
                <w:i w:val="0"/>
                <w:color w:val="161412"/>
                <w:sz w:val="17"/>
              </w:rPr>
              <w:t>El intent va en el evento dentro del nuevo marco</w:t>
            </w:r>
          </w:p>
        </w:tc>
      </w:tr>
      <w:tr>
        <w:tc>
          <w:tcPr>
            <w:tcW w:type="dxa" w:w="2772"/>
          </w:tcPr>
          <w:p>
            <w:pPr>
              <w:spacing w:after="40"/>
            </w:pPr>
            <w:r>
              <w:rPr>
                <w:sz w:val="17"/>
              </w:rPr>
            </w:r>
            <w:r>
              <w:rPr>
                <w:rFonts w:ascii="IBM Plex Sans" w:hAnsi="IBM Plex Sans" w:cs="IBM Plex Sans"/>
                <w:b w:val="0"/>
                <w:i w:val="0"/>
                <w:color w:val="161412"/>
                <w:sz w:val="17"/>
              </w:rPr>
              <w:t>sustain</w:t>
            </w:r>
          </w:p>
        </w:tc>
        <w:tc>
          <w:tcPr>
            <w:tcW w:type="dxa" w:w="2772"/>
          </w:tcPr>
          <w:p>
            <w:pPr>
              <w:spacing w:after="40"/>
            </w:pPr>
            <w:r>
              <w:rPr>
                <w:sz w:val="17"/>
              </w:rPr>
            </w:r>
            <w:r>
              <w:rPr>
                <w:rFonts w:ascii="IBM Plex Sans" w:hAnsi="IBM Plex Sans" w:cs="IBM Plex Sans"/>
                <w:b w:val="0"/>
                <w:i w:val="0"/>
                <w:color w:val="161412"/>
                <w:sz w:val="17"/>
              </w:rPr>
              <w:t>Estructural</w:t>
            </w:r>
          </w:p>
        </w:tc>
        <w:tc>
          <w:tcPr>
            <w:tcW w:type="dxa" w:w="2772"/>
          </w:tcPr>
          <w:p>
            <w:pPr>
              <w:spacing w:after="40"/>
            </w:pPr>
            <w:r>
              <w:rPr>
                <w:sz w:val="17"/>
              </w:rPr>
            </w:r>
            <w:r>
              <w:rPr>
                <w:rFonts w:ascii="IBM Plex Sans" w:hAnsi="IBM Plex Sans" w:cs="IBM Plex Sans"/>
                <w:b w:val="0"/>
                <w:i w:val="0"/>
                <w:color w:val="161412"/>
                <w:sz w:val="17"/>
              </w:rPr>
              <w:t>Si falla, componer con signal o commit</w:t>
            </w:r>
          </w:p>
        </w:tc>
      </w:tr>
    </w:tbl>
    <w:p>
      <w:pPr>
        <w:spacing w:after="120" w:line="320" w:lineRule="auto"/>
        <w:jc w:val="both"/>
      </w:pPr>
      <w:r>
        <w:rPr>
          <w:rFonts w:ascii="Newsreader" w:hAnsi="Newsreader" w:cs="Newsreader"/>
          <w:b w:val="0"/>
          <w:i w:val="0"/>
          <w:color w:val="161412"/>
        </w:rPr>
        <w:t>El intent no es una propiedad del componente, ni del contenedor, ni de la transición. Es una modulación evaluativa del evento que porta juicio.</w:t>
      </w:r>
    </w:p>
    <w:p>
      <w:pPr>
        <w:spacing w:after="120" w:line="320" w:lineRule="auto"/>
        <w:jc w:val="both"/>
      </w:pPr>
      <w:r>
        <w:rPr>
          <w:rFonts w:ascii="Newsreader" w:hAnsi="Newsreader" w:cs="Newsreader"/>
          <w:b w:val="0"/>
          <w:i w:val="0"/>
          <w:color w:val="161412"/>
        </w:rPr>
        <w:t>El siguiente capítulo desarrollará en detalle el sistema de intents: por qué success / warning / danger / info no basta, por qué loss debe separarse de threat, por qué affirm no es lo mismo que fulfill, y por qué info quizá no es un intent sino una función de señal.</w:t>
      </w:r>
    </w:p>
    <w:p>
      <w:pPr>
        <w:spacing w:after="80"/>
      </w:pPr>
    </w:p>
    <w:p>
      <w:pPr>
        <w:spacing w:after="80"/>
      </w:pPr>
    </w:p>
    <w:p>
      <w:pPr>
        <w:spacing w:after="80"/>
      </w:pPr>
    </w:p>
    <w:p>
      <w:pPr>
        <w:spacing w:after="200" w:before="40"/>
      </w:pPr>
      <w:r>
        <w:rPr>
          <w:rFonts w:ascii="IBM Plex Sans" w:hAnsi="IBM Plex Sans" w:cs="IBM Plex Sans"/>
          <w:b/>
          <w:color w:val="1F3A5F"/>
          <w:sz w:val="17"/>
        </w:rPr>
        <w:t xml:space="preserve">TABLA 9.3   </w:t>
      </w:r>
      <w:r>
        <w:rPr>
          <w:rFonts w:ascii="IBM Plex Sans" w:hAnsi="IBM Plex Sans" w:cs="IBM Plex Sans"/>
          <w:color w:val="3A352F"/>
          <w:sz w:val="18"/>
        </w:rPr>
        <w:t xml:space="preserve">Antipatrones de evaluación: confundir marco y mensaje</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ANTIPATRÓN</w:t>
            </w:r>
          </w:p>
        </w:tc>
        <w:tc>
          <w:tcPr>
            <w:tcW w:type="dxa" w:w="2772"/>
            <w:shd w:val="clear" w:color="auto" w:fill="EAE4D8"/>
          </w:tcPr>
          <w:p>
            <w:pPr>
              <w:spacing w:after="40"/>
            </w:pPr>
            <w:r>
              <w:rPr>
                <w:sz w:val="17"/>
              </w:rPr>
            </w:r>
            <w:r>
              <w:rPr>
                <w:rFonts w:ascii="IBM Plex Sans" w:hAnsi="IBM Plex Sans" w:cs="IBM Plex Sans"/>
                <w:b/>
                <w:i w:val="0"/>
                <w:color w:val="1F3A5F"/>
                <w:sz w:val="17"/>
              </w:rPr>
              <w:t>QUÉ CONFUNDE</w:t>
            </w:r>
          </w:p>
        </w:tc>
        <w:tc>
          <w:tcPr>
            <w:tcW w:type="dxa" w:w="2772"/>
            <w:shd w:val="clear" w:color="auto" w:fill="EAE4D8"/>
          </w:tcPr>
          <w:p>
            <w:pPr>
              <w:spacing w:after="40"/>
            </w:pPr>
            <w:r>
              <w:rPr>
                <w:sz w:val="17"/>
              </w:rPr>
            </w:r>
            <w:r>
              <w:rPr>
                <w:rFonts w:ascii="IBM Plex Sans" w:hAnsi="IBM Plex Sans" w:cs="IBM Plex Sans"/>
                <w:b/>
                <w:i w:val="0"/>
                <w:color w:val="1F3A5F"/>
                <w:sz w:val="17"/>
              </w:rPr>
              <w:t>CORRECCIÓN</w:t>
            </w:r>
          </w:p>
        </w:tc>
      </w:tr>
      <w:tr>
        <w:tc>
          <w:tcPr>
            <w:tcW w:type="dxa" w:w="2772"/>
          </w:tcPr>
          <w:p>
            <w:pPr>
              <w:spacing w:after="40"/>
            </w:pPr>
            <w:r>
              <w:rPr>
                <w:sz w:val="17"/>
              </w:rPr>
            </w:r>
            <w:r>
              <w:rPr>
                <w:rFonts w:ascii="IBM Plex Sans" w:hAnsi="IBM Plex Sans" w:cs="IBM Plex Sans"/>
                <w:b w:val="0"/>
                <w:i w:val="0"/>
                <w:color w:val="161412"/>
                <w:sz w:val="17"/>
              </w:rPr>
              <w:t>Modal rojo</w:t>
            </w:r>
          </w:p>
        </w:tc>
        <w:tc>
          <w:tcPr>
            <w:tcW w:type="dxa" w:w="2772"/>
          </w:tcPr>
          <w:p>
            <w:pPr>
              <w:spacing w:after="40"/>
            </w:pPr>
            <w:r>
              <w:rPr>
                <w:sz w:val="17"/>
              </w:rPr>
            </w:r>
            <w:r>
              <w:rPr>
                <w:rFonts w:ascii="IBM Plex Sans" w:hAnsi="IBM Plex Sans" w:cs="IBM Plex Sans"/>
                <w:b w:val="0"/>
                <w:i w:val="0"/>
                <w:color w:val="161412"/>
                <w:sz w:val="17"/>
              </w:rPr>
              <w:t>Marco con mensaje</w:t>
            </w:r>
          </w:p>
        </w:tc>
        <w:tc>
          <w:tcPr>
            <w:tcW w:type="dxa" w:w="2772"/>
          </w:tcPr>
          <w:p>
            <w:pPr>
              <w:spacing w:after="40"/>
            </w:pPr>
            <w:r>
              <w:rPr>
                <w:sz w:val="17"/>
              </w:rPr>
            </w:r>
            <w:r>
              <w:rPr>
                <w:rFonts w:ascii="IBM Plex Sans" w:hAnsi="IBM Plex Sans" w:cs="IBM Plex Sans"/>
                <w:b w:val="0"/>
                <w:i w:val="0"/>
                <w:color w:val="161412"/>
                <w:sz w:val="17"/>
              </w:rPr>
              <w:t>shift + signal.threat</w:t>
            </w:r>
          </w:p>
        </w:tc>
      </w:tr>
      <w:tr>
        <w:tc>
          <w:tcPr>
            <w:tcW w:type="dxa" w:w="2772"/>
          </w:tcPr>
          <w:p>
            <w:pPr>
              <w:spacing w:after="40"/>
            </w:pPr>
            <w:r>
              <w:rPr>
                <w:sz w:val="17"/>
              </w:rPr>
            </w:r>
            <w:r>
              <w:rPr>
                <w:rFonts w:ascii="IBM Plex Sans" w:hAnsi="IBM Plex Sans" w:cs="IBM Plex Sans"/>
                <w:b w:val="0"/>
                <w:i w:val="0"/>
                <w:color w:val="161412"/>
                <w:sz w:val="17"/>
              </w:rPr>
              <w:t>Spinner de error</w:t>
            </w:r>
          </w:p>
        </w:tc>
        <w:tc>
          <w:tcPr>
            <w:tcW w:type="dxa" w:w="2772"/>
          </w:tcPr>
          <w:p>
            <w:pPr>
              <w:spacing w:after="40"/>
            </w:pPr>
            <w:r>
              <w:rPr>
                <w:sz w:val="17"/>
              </w:rPr>
            </w:r>
            <w:r>
              <w:rPr>
                <w:rFonts w:ascii="IBM Plex Sans" w:hAnsi="IBM Plex Sans" w:cs="IBM Plex Sans"/>
                <w:b w:val="0"/>
                <w:i w:val="0"/>
                <w:color w:val="161412"/>
                <w:sz w:val="17"/>
              </w:rPr>
              <w:t>Proceso con resultado</w:t>
            </w:r>
          </w:p>
        </w:tc>
        <w:tc>
          <w:tcPr>
            <w:tcW w:type="dxa" w:w="2772"/>
          </w:tcPr>
          <w:p>
            <w:pPr>
              <w:spacing w:after="40"/>
            </w:pPr>
            <w:r>
              <w:rPr>
                <w:sz w:val="17"/>
              </w:rPr>
            </w:r>
            <w:r>
              <w:rPr>
                <w:rFonts w:ascii="IBM Plex Sans" w:hAnsi="IBM Plex Sans" w:cs="IBM Plex Sans"/>
                <w:b w:val="0"/>
                <w:i w:val="0"/>
                <w:color w:val="161412"/>
                <w:sz w:val="17"/>
              </w:rPr>
              <w:t>sustain + commit.fail</w:t>
            </w:r>
          </w:p>
        </w:tc>
      </w:tr>
      <w:tr>
        <w:tc>
          <w:tcPr>
            <w:tcW w:type="dxa" w:w="2772"/>
          </w:tcPr>
          <w:p>
            <w:pPr>
              <w:spacing w:after="40"/>
            </w:pPr>
            <w:r>
              <w:rPr>
                <w:sz w:val="17"/>
              </w:rPr>
            </w:r>
            <w:r>
              <w:rPr>
                <w:rFonts w:ascii="IBM Plex Sans" w:hAnsi="IBM Plex Sans" w:cs="IBM Plex Sans"/>
                <w:b w:val="0"/>
                <w:i w:val="0"/>
                <w:color w:val="161412"/>
                <w:sz w:val="17"/>
              </w:rPr>
              <w:t>Success de navegación</w:t>
            </w:r>
          </w:p>
        </w:tc>
        <w:tc>
          <w:tcPr>
            <w:tcW w:type="dxa" w:w="2772"/>
          </w:tcPr>
          <w:p>
            <w:pPr>
              <w:spacing w:after="40"/>
            </w:pPr>
            <w:r>
              <w:rPr>
                <w:sz w:val="17"/>
              </w:rPr>
            </w:r>
            <w:r>
              <w:rPr>
                <w:rFonts w:ascii="IBM Plex Sans" w:hAnsi="IBM Plex Sans" w:cs="IBM Plex Sans"/>
                <w:b w:val="0"/>
                <w:i w:val="0"/>
                <w:color w:val="161412"/>
                <w:sz w:val="17"/>
              </w:rPr>
              <w:t>Cambio de contexto con logro</w:t>
            </w:r>
          </w:p>
        </w:tc>
        <w:tc>
          <w:tcPr>
            <w:tcW w:type="dxa" w:w="2772"/>
          </w:tcPr>
          <w:p>
            <w:pPr>
              <w:spacing w:after="40"/>
            </w:pPr>
            <w:r>
              <w:rPr>
                <w:sz w:val="17"/>
              </w:rPr>
            </w:r>
            <w:r>
              <w:rPr>
                <w:rFonts w:ascii="IBM Plex Sans" w:hAnsi="IBM Plex Sans" w:cs="IBM Plex Sans"/>
                <w:b w:val="0"/>
                <w:i w:val="0"/>
                <w:color w:val="161412"/>
                <w:sz w:val="17"/>
              </w:rPr>
              <w:t>shift + commit.fulfill si procede</w:t>
            </w:r>
          </w:p>
        </w:tc>
      </w:tr>
      <w:tr>
        <w:tc>
          <w:tcPr>
            <w:tcW w:type="dxa" w:w="2772"/>
          </w:tcPr>
          <w:p>
            <w:pPr>
              <w:spacing w:after="40"/>
            </w:pPr>
            <w:r>
              <w:rPr>
                <w:sz w:val="17"/>
              </w:rPr>
            </w:r>
            <w:r>
              <w:rPr>
                <w:rFonts w:ascii="IBM Plex Sans" w:hAnsi="IBM Plex Sans" w:cs="IBM Plex Sans"/>
                <w:b w:val="0"/>
                <w:i w:val="0"/>
                <w:color w:val="161412"/>
                <w:sz w:val="17"/>
              </w:rPr>
              <w:t>Danger para pérdida</w:t>
            </w:r>
          </w:p>
        </w:tc>
        <w:tc>
          <w:tcPr>
            <w:tcW w:type="dxa" w:w="2772"/>
          </w:tcPr>
          <w:p>
            <w:pPr>
              <w:spacing w:after="40"/>
            </w:pPr>
            <w:r>
              <w:rPr>
                <w:sz w:val="17"/>
              </w:rPr>
            </w:r>
            <w:r>
              <w:rPr>
                <w:rFonts w:ascii="IBM Plex Sans" w:hAnsi="IBM Plex Sans" w:cs="IBM Plex Sans"/>
                <w:b w:val="0"/>
                <w:i w:val="0"/>
                <w:color w:val="161412"/>
                <w:sz w:val="17"/>
              </w:rPr>
              <w:t>Amenaza con pérdida</w:t>
            </w:r>
          </w:p>
        </w:tc>
        <w:tc>
          <w:tcPr>
            <w:tcW w:type="dxa" w:w="2772"/>
          </w:tcPr>
          <w:p>
            <w:pPr>
              <w:spacing w:after="40"/>
            </w:pPr>
            <w:r>
              <w:rPr>
                <w:sz w:val="17"/>
              </w:rPr>
            </w:r>
            <w:r>
              <w:rPr>
                <w:rFonts w:ascii="IBM Plex Sans" w:hAnsi="IBM Plex Sans" w:cs="IBM Plex Sans"/>
                <w:b w:val="0"/>
                <w:i w:val="0"/>
                <w:color w:val="161412"/>
                <w:sz w:val="17"/>
              </w:rPr>
              <w:t>commit.delete + loss</w:t>
            </w:r>
          </w:p>
        </w:tc>
      </w:tr>
      <w:tr>
        <w:tc>
          <w:tcPr>
            <w:tcW w:type="dxa" w:w="2772"/>
          </w:tcPr>
          <w:p>
            <w:pPr>
              <w:spacing w:after="40"/>
            </w:pPr>
            <w:r>
              <w:rPr>
                <w:sz w:val="17"/>
              </w:rPr>
            </w:r>
            <w:r>
              <w:rPr>
                <w:rFonts w:ascii="IBM Plex Sans" w:hAnsi="IBM Plex Sans" w:cs="IBM Plex Sans"/>
                <w:b w:val="0"/>
                <w:i w:val="0"/>
                <w:color w:val="161412"/>
                <w:sz w:val="17"/>
              </w:rPr>
              <w:t>Alerta para toda aparición</w:t>
            </w:r>
          </w:p>
        </w:tc>
        <w:tc>
          <w:tcPr>
            <w:tcW w:type="dxa" w:w="2772"/>
          </w:tcPr>
          <w:p>
            <w:pPr>
              <w:spacing w:after="40"/>
            </w:pPr>
            <w:r>
              <w:rPr>
                <w:sz w:val="17"/>
              </w:rPr>
            </w:r>
            <w:r>
              <w:rPr>
                <w:rFonts w:ascii="IBM Plex Sans" w:hAnsi="IBM Plex Sans" w:cs="IBM Plex Sans"/>
                <w:b w:val="0"/>
                <w:i w:val="0"/>
                <w:color w:val="161412"/>
                <w:sz w:val="17"/>
              </w:rPr>
              <w:t>Aparición con señal</w:t>
            </w:r>
          </w:p>
        </w:tc>
        <w:tc>
          <w:tcPr>
            <w:tcW w:type="dxa" w:w="2772"/>
          </w:tcPr>
          <w:p>
            <w:pPr>
              <w:spacing w:after="40"/>
            </w:pPr>
            <w:r>
              <w:rPr>
                <w:sz w:val="17"/>
              </w:rPr>
            </w:r>
            <w:r>
              <w:rPr>
                <w:rFonts w:ascii="IBM Plex Sans" w:hAnsi="IBM Plex Sans" w:cs="IBM Plex Sans"/>
                <w:b w:val="0"/>
                <w:i w:val="0"/>
                <w:color w:val="161412"/>
                <w:sz w:val="17"/>
              </w:rPr>
              <w:t>emerge + signal solo si hay mensaje</w:t>
            </w:r>
          </w:p>
        </w:tc>
      </w:tr>
    </w:tbl>
    <w:p>
      <w:pPr>
        <w:spacing w:after="80"/>
      </w:pPr>
    </w:p>
    <w:p>
      <w:pPr>
        <w:spacing w:after="80"/>
      </w:pPr>
    </w:p>
    <w:p>
      <w:r>
        <w:br w:type="page"/>
      </w:r>
    </w:p>
    <w:p>
      <w:pPr>
        <w:spacing w:after="40"/>
      </w:pPr>
      <w:r>
        <w:rPr>
          <w:rFonts w:ascii="IBM Plex Sans" w:hAnsi="IBM Plex Sans" w:cs="IBM Plex Sans"/>
          <w:b/>
          <w:color w:val="1F3A5F"/>
          <w:sz w:val="18"/>
        </w:rPr>
        <w:t>CAPÍTULO 10</w:t>
      </w:r>
    </w:p>
    <w:p>
      <w:pPr>
        <w:spacing w:after="80" w:line="240" w:lineRule="auto"/>
      </w:pPr>
      <w:r>
        <w:rPr>
          <w:rFonts w:ascii="IBM Plex Sans" w:hAnsi="IBM Plex Sans" w:cs="IBM Plex Sans"/>
          <w:color w:val="161412"/>
          <w:sz w:val="220"/>
        </w:rPr>
        <w:t>10</w:t>
      </w:r>
    </w:p>
    <w:p>
      <w:pPr>
        <w:spacing w:after="60" w:line="240" w:lineRule="auto"/>
      </w:pPr>
      <w:r>
        <w:rPr>
          <w:rFonts w:ascii="Newsreader" w:hAnsi="Newsreader" w:cs="Newsreader"/>
          <w:color w:val="161412"/>
          <w:sz w:val="60"/>
        </w:rPr>
        <w:t>Intent: más allá del semáforo</w:t>
      </w:r>
    </w:p>
    <w:p>
      <w:pPr>
        <w:spacing w:after="280"/>
      </w:pPr>
      <w:r>
        <w:rPr>
          <w:rFonts w:ascii="IBM Plex Sans" w:hAnsi="IBM Plex Sans" w:cs="IBM Plex Sans"/>
          <w:color w:val="6A635A"/>
          <w:sz w:val="26"/>
        </w:rPr>
        <w:t>Por qué success, warning, danger e info no bastan</w:t>
      </w:r>
    </w:p>
    <w:p>
      <w:pPr>
        <w:pBdr>
          <w:bottom w:val="single" w:sz="4" w:space="4" w:color="1F3A5F"/>
        </w:pBdr>
      </w:pPr>
    </w:p>
    <w:p>
      <w:pPr>
        <w:spacing w:after="120" w:line="320" w:lineRule="auto"/>
        <w:jc w:val="both"/>
      </w:pPr>
      <w:r>
        <w:rPr>
          <w:rFonts w:ascii="Newsreader" w:hAnsi="Newsreader" w:cs="Newsreader"/>
          <w:b w:val="0"/>
          <w:i w:val="0"/>
          <w:color w:val="161412"/>
        </w:rPr>
        <w:t xml:space="preserve">El capítulo anterior estableció una regla fundamental:</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El intent vive en el evento evaluable, no en el contenedor estructural.</w:t>
      </w:r>
    </w:p>
    <w:p>
      <w:pPr>
        <w:spacing w:after="120" w:line="320" w:lineRule="auto"/>
        <w:jc w:val="both"/>
      </w:pPr>
      <w:r>
        <w:rPr>
          <w:rFonts w:ascii="Newsreader" w:hAnsi="Newsreader" w:cs="Newsreader"/>
          <w:b w:val="0"/>
          <w:i w:val="0"/>
          <w:color w:val="161412"/>
        </w:rPr>
        <w:t xml:space="preserve">Un modal no es peligroso por abrirse. Una carga no es negativa por durar. Una navegación no es exitosa por cambiar de pantalla. El intent debe aplicarse allí donde el evento porta juicio. Ahora aparece otra pregunta: ¿qué intents merece tener una interfaz?</w:t>
      </w: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¿Qué ocurre cuando dejamos de tratar el intent como color y empezamos a tratarlo como evaluación perceptiva del evento?</w:t>
      </w:r>
    </w:p>
    <w:p>
      <w:pPr>
        <w:spacing w:before="320" w:after="40"/>
      </w:pPr>
      <w:r>
        <w:rPr>
          <w:rFonts w:ascii="IBM Plex Sans" w:hAnsi="IBM Plex Sans" w:cs="IBM Plex Sans"/>
          <w:b/>
          <w:color w:val="1F3A5F"/>
          <w:sz w:val="18"/>
        </w:rPr>
        <w:t xml:space="preserve">§ 1</w:t>
      </w:r>
    </w:p>
    <w:p>
      <w:pPr>
        <w:spacing w:after="160" w:line="240" w:lineRule="auto"/>
      </w:pPr>
      <w:r>
        <w:rPr>
          <w:rFonts w:ascii="Newsreader" w:hAnsi="Newsreader" w:cs="Newsreader"/>
          <w:color w:val="161412"/>
          <w:sz w:val="38"/>
        </w:rPr>
        <w:t xml:space="preserve">El intent como problema no examinado</w:t>
      </w:r>
    </w:p>
    <w:p>
      <w:pPr>
        <w:spacing w:after="120" w:line="320" w:lineRule="auto"/>
        <w:jc w:val="both"/>
      </w:pPr>
      <w:r>
        <w:rPr>
          <w:rFonts w:ascii="Newsreader" w:hAnsi="Newsreader" w:cs="Newsreader"/>
          <w:b w:val="0"/>
          <w:i w:val="0"/>
          <w:color w:val="161412"/>
        </w:rPr>
        <w:t xml:space="preserve">Existe en el diseño de interfaces una convención tan extendida que ha dejado de parecer convención. Cuando algo ha ido mal, usamos rojo; cuando algo requiere precaución, amarillo; cuando algo ha ido bien, verde; cuando algo es informativo, azul. A ese conjunto lo llamamos danger, warning, success, info; los nombres cambian de framework en framework, pero la estructura permanece.</w:t>
      </w:r>
    </w:p>
    <w:p>
      <w:pPr>
        <w:spacing w:after="120" w:line="320" w:lineRule="auto"/>
        <w:jc w:val="both"/>
      </w:pPr>
      <w:r>
        <w:rPr>
          <w:rFonts w:ascii="Newsreader" w:hAnsi="Newsreader" w:cs="Newsreader"/>
          <w:b w:val="0"/>
          <w:i w:val="0"/>
          <w:color w:val="161412"/>
        </w:rPr>
        <w:t xml:space="preserve">Lo notable no es que usemos esa convención. Lo notable es que casi nunca preguntamos de dónde viene, qué cubre, qué omite y qué mezcla. ¿Por qué success debe cubrir tanto una operación importante completada como un autoguardado menor? ¿Por qué danger debe cubrir tanto una amenaza activa como una pérdida ya consumada? ¿Por qué warning mezcla un riesgo corregible y, a veces, una amenaza seria? ¿Por qué info aparece junto a los intents si muchas veces no comunica valencia, sino solo saliencia atencional?</w:t>
      </w:r>
    </w:p>
    <w:p>
      <w:pPr>
        <w:spacing w:after="120" w:line="320" w:lineRule="auto"/>
        <w:jc w:val="both"/>
      </w:pPr>
      <w:r>
        <w:rPr>
          <w:rFonts w:ascii="Newsreader" w:hAnsi="Newsreader" w:cs="Newsreader"/>
          <w:b w:val="0"/>
          <w:i w:val="0"/>
          <w:color w:val="161412"/>
        </w:rPr>
        <w:t xml:space="preserve">Ese desplazamiento —del color como etiqueta a la evaluación como región— es el que este capítulo se propone realizar.</w:t>
      </w:r>
    </w:p>
    <w:p>
      <w:pPr>
        <w:spacing w:before="320" w:after="40"/>
      </w:pPr>
      <w:r>
        <w:rPr>
          <w:rFonts w:ascii="IBM Plex Sans" w:hAnsi="IBM Plex Sans" w:cs="IBM Plex Sans"/>
          <w:b/>
          <w:color w:val="1F3A5F"/>
          <w:sz w:val="18"/>
        </w:rPr>
        <w:t xml:space="preserve">§ 2</w:t>
      </w:r>
    </w:p>
    <w:p>
      <w:pPr>
        <w:spacing w:after="160" w:line="240" w:lineRule="auto"/>
      </w:pPr>
      <w:r>
        <w:rPr>
          <w:rFonts w:ascii="Newsreader" w:hAnsi="Newsreader" w:cs="Newsreader"/>
          <w:color w:val="161412"/>
          <w:sz w:val="38"/>
        </w:rPr>
        <w:t xml:space="preserve">La herencia del semáforo</w:t>
      </w:r>
    </w:p>
    <w:p>
      <w:pPr>
        <w:spacing w:after="120" w:line="320" w:lineRule="auto"/>
        <w:jc w:val="both"/>
      </w:pPr>
      <w:r>
        <w:rPr>
          <w:rFonts w:ascii="Newsreader" w:hAnsi="Newsreader" w:cs="Newsreader"/>
          <w:b w:val="0"/>
          <w:i w:val="0"/>
          <w:color w:val="161412"/>
        </w:rPr>
        <w:t xml:space="preserve">La taxonomía heredada no nació en las interfaces digitales. Antes de que existieran botones verdes de success o alertas rojas de danger, esos colores ya cargaban con una historia de señalización industrial, ferroviaria y vial.</w:t>
      </w:r>
    </w:p>
    <w:p>
      <w:pPr>
        <w:spacing w:after="120" w:line="320" w:lineRule="auto"/>
        <w:jc w:val="both"/>
      </w:pPr>
      <w:r>
        <w:rPr>
          <w:rFonts w:ascii="Newsreader" w:hAnsi="Newsreader" w:cs="Newsreader"/>
          <w:b w:val="0"/>
          <w:i w:val="0"/>
          <w:color w:val="161412"/>
        </w:rPr>
        <w:t xml:space="preserve">Esa historia tiene una fecha y una escena. En diciembre de 1868, frente al Parlamento de Londres, se instaló el primer semáforo del mundo: un poste con brazos de señal y dos lámparas de gas, una roja y una verde, que un policía accionaba a mano. No lo había ideado un urbanista, sino un ingeniero de ferrocarriles, John Peake Knight, que se limitó a trasladar a la calle lo que ya funcionaba en las vías. Los colores tampoco eran suyos: el rojo venía de mucho más atrás —de la señalización marítima y de incendios, donde llevaba siglos significando peligro—, y el ferrocarril lo había adoptado para ordenar «pare». Apenas un mes después, una fuga de gas hizo explotar el aparato e hirió gravemente al policía que lo manejaba, y se retiró. Pero la asociación ya había echado a andar: rojo es pare, verde es siga. Décadas más tarde, la electricidad y el automóvil la convertirían en el semáforo de tres luces que hoy reconoce todo el mundo.</w:t>
      </w:r>
    </w:p>
    <w:p>
      <w:pPr>
        <w:spacing w:after="120" w:line="320" w:lineRule="auto"/>
        <w:jc w:val="both"/>
      </w:pPr>
      <w:r>
        <w:rPr>
          <w:rFonts w:ascii="Newsreader" w:hAnsi="Newsreader" w:cs="Newsreader"/>
          <w:b w:val="0"/>
          <w:i w:val="0"/>
          <w:color w:val="161412"/>
        </w:rPr>
        <w:t xml:space="preserve">El rojo, el amarillo y el verde pertenecían a entornos donde una señal debía reconocerse rápido, a distancia y con consecuencias físicas claras. Eran instrucciones operativas, y esa estructura era adecuada para señalización porque resolvía un problema urgente: decisiones rápidas con bajo coste interpretativo. Pero no era una teoría afectiva completa. No pretendía distinguir amenaza activa de pérdida consumada, ni confirmación suave de culminación significativa.</w:t>
      </w:r>
    </w:p>
    <w:p>
      <w:pPr>
        <w:spacing w:after="120" w:line="320" w:lineRule="auto"/>
        <w:jc w:val="both"/>
      </w:pPr>
      <w:r>
        <w:rPr>
          <w:rFonts w:ascii="Newsreader" w:hAnsi="Newsreader" w:cs="Newsreader"/>
          <w:b w:val="0"/>
          <w:i w:val="0"/>
          <w:color w:val="161412"/>
        </w:rPr>
        <w:t xml:space="preserve">Cuando las interfaces gráficas empezaron a necesitar comunicar estados, heredaron esa estructura porque ya era comprensible. El diseño digital no inventó la asociación: la recibió. El problema no fue heredar; el problema fue olvidar que se estaba heredando. Con el tiempo, la asociación cromática dejó de parecer convención histórica y empezó a parecer estructura natural: el rojo pasó a llamarse danger; el verde, success; el amarillo, warning; y el azul terminó ocupando el cajón residual, info. Ahí ocurrió la mutación decisiva:</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Una convención cromática empezó a funcionar como si fuera una taxonomía semántica.</w:t>
      </w:r>
    </w:p>
    <w:p>
      <w:pPr>
        <w:spacing w:before="320" w:after="40"/>
      </w:pPr>
      <w:r>
        <w:rPr>
          <w:rFonts w:ascii="IBM Plex Sans" w:hAnsi="IBM Plex Sans" w:cs="IBM Plex Sans"/>
          <w:b/>
          <w:color w:val="1F3A5F"/>
          <w:sz w:val="18"/>
        </w:rPr>
        <w:t xml:space="preserve">§ 3</w:t>
      </w:r>
    </w:p>
    <w:p>
      <w:pPr>
        <w:spacing w:after="160" w:line="240" w:lineRule="auto"/>
      </w:pPr>
      <w:r>
        <w:rPr>
          <w:rFonts w:ascii="Newsreader" w:hAnsi="Newsreader" w:cs="Newsreader"/>
          <w:color w:val="161412"/>
          <w:sz w:val="38"/>
        </w:rPr>
        <w:t xml:space="preserve">De la carretera a la pantalla</w:t>
      </w:r>
    </w:p>
    <w:p>
      <w:pPr>
        <w:spacing w:after="120" w:line="320" w:lineRule="auto"/>
        <w:jc w:val="both"/>
      </w:pPr>
      <w:r>
        <w:rPr>
          <w:rFonts w:ascii="Newsreader" w:hAnsi="Newsreader" w:cs="Newsreader"/>
          <w:b w:val="0"/>
          <w:i w:val="0"/>
          <w:color w:val="161412"/>
        </w:rPr>
        <w:t xml:space="preserve">La web estabilizó esa mutación. Frameworks como Bootstrap ofrecieron clases contextuales simples —success, warning, danger, info—, una decisión razonable y barata cognitivamente. Pero al entrar en CSS, tokens, componentes y guías, dejó de parecer un atajo: se convirtió en vocabulario. El núcleo siguió siendo el mismo: positivo, precaución, negativo grave, informativo, neutral.</w:t>
      </w:r>
    </w:p>
    <w:p>
      <w:pPr>
        <w:spacing w:after="120" w:line="320" w:lineRule="auto"/>
        <w:jc w:val="both"/>
      </w:pPr>
      <w:r>
        <w:rPr>
          <w:rFonts w:ascii="Newsreader" w:hAnsi="Newsreader" w:cs="Newsreader"/>
          <w:b w:val="0"/>
          <w:i w:val="0"/>
          <w:color w:val="161412"/>
        </w:rPr>
        <w:t xml:space="preserve">Ese núcleo parecía suficiente mientras el intent solo modificaba color. Pero en una interfaz perceptiva multicanal, el intent puede modular motion, sonido, duración, ritmo, intensidad, persistencia, profundidad, forma, háptica y silencio. En ese momento la convención heredada muestra sus límites: una cosa es elegir un color; otra muy distinta, decidir cómo debe moverse, sonar, durar, aparecer, persistir o sentirse un evento.</w:t>
      </w:r>
    </w:p>
    <w:p>
      <w:pPr>
        <w:spacing w:before="320" w:after="40"/>
      </w:pPr>
      <w:r>
        <w:rPr>
          <w:rFonts w:ascii="IBM Plex Sans" w:hAnsi="IBM Plex Sans" w:cs="IBM Plex Sans"/>
          <w:b/>
          <w:color w:val="1F3A5F"/>
          <w:sz w:val="18"/>
        </w:rPr>
        <w:t xml:space="preserve">§ 4</w:t>
      </w:r>
    </w:p>
    <w:p>
      <w:pPr>
        <w:spacing w:after="160" w:line="240" w:lineRule="auto"/>
      </w:pPr>
      <w:r>
        <w:rPr>
          <w:rFonts w:ascii="Newsreader" w:hAnsi="Newsreader" w:cs="Newsreader"/>
          <w:color w:val="161412"/>
          <w:sz w:val="38"/>
        </w:rPr>
        <w:t xml:space="preserve">Qué codifica realmente la convención heredada</w:t>
      </w:r>
    </w:p>
    <w:p>
      <w:pPr>
        <w:spacing w:after="120" w:line="320" w:lineRule="auto"/>
        <w:jc w:val="both"/>
      </w:pPr>
      <w:r>
        <w:rPr>
          <w:rFonts w:ascii="Newsreader" w:hAnsi="Newsreader" w:cs="Newsreader"/>
          <w:b w:val="0"/>
          <w:i w:val="0"/>
          <w:color w:val="161412"/>
        </w:rPr>
        <w:t xml:space="preserve">Si examinamos success, warning, danger e info, vemos que no forman una taxonomía afectiva completa: forman una taxonomía cromática útil. Eso no las vuelve inútiles; las vuelve insuficientes. Danger mezcla amenaza activa, fallo grave y pérdida consumada. Success mezcla confirmación suave, resolución positiva y culminación. Warning no distingue el riesgo corregible de la amenaza próxima. Info muchas veces no expresa evaluación afectiva, sino saliencia atencional.</w:t>
      </w:r>
    </w:p>
    <w:p>
      <w:pPr>
        <w:spacing w:before="200" w:after="60"/>
        <w:jc w:val="center"/>
      </w:pPr>
      <w:r>
        <w:drawing>
          <wp:inline xmlns:a="http://schemas.openxmlformats.org/drawingml/2006/main" xmlns:pic="http://schemas.openxmlformats.org/drawingml/2006/picture">
            <wp:extent cx="5029200" cy="2652903"/>
            <wp:docPr id="59" name="Picture 59"/>
            <wp:cNvGraphicFramePr>
              <a:graphicFrameLocks noChangeAspect="1"/>
            </wp:cNvGraphicFramePr>
            <a:graphic>
              <a:graphicData uri="http://schemas.openxmlformats.org/drawingml/2006/picture">
                <pic:pic>
                  <pic:nvPicPr>
                    <pic:cNvPr id="0" name="figura-10-1.png"/>
                    <pic:cNvPicPr/>
                  </pic:nvPicPr>
                  <pic:blipFill>
                    <a:blip r:embed="rId67"/>
                    <a:stretch>
                      <a:fillRect/>
                    </a:stretch>
                  </pic:blipFill>
                  <pic:spPr>
                    <a:xfrm>
                      <a:off x="0" y="0"/>
                      <a:ext cx="5029200" cy="2652903"/>
                    </a:xfrm>
                    <a:prstGeom prst="rect"/>
                  </pic:spPr>
                </pic:pic>
              </a:graphicData>
            </a:graphic>
          </wp:inline>
        </w:drawing>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La convención heredada codifica colores útiles. La gramática del intent debe codificar regiones evaluativas del evento.</w:t>
      </w:r>
    </w:p>
    <w:p>
      <w:pPr>
        <w:spacing w:after="120" w:line="320" w:lineRule="auto"/>
        <w:jc w:val="both"/>
      </w:pPr>
      <w:r>
        <w:rPr>
          <w:rFonts w:ascii="Newsreader" w:hAnsi="Newsreader" w:cs="Newsreader"/>
          <w:b w:val="0"/>
          <w:i w:val="0"/>
          <w:color w:val="161412"/>
        </w:rPr>
        <w:t xml:space="preserve">Por eso necesitamos separar: threat ≠ loss, affirm ≠ fulfill, info ≠ intent.</w:t>
      </w:r>
    </w:p>
    <w:p>
      <w:pPr>
        <w:spacing w:before="320" w:after="40"/>
      </w:pPr>
      <w:r>
        <w:rPr>
          <w:rFonts w:ascii="IBM Plex Sans" w:hAnsi="IBM Plex Sans" w:cs="IBM Plex Sans"/>
          <w:b/>
          <w:color w:val="1F3A5F"/>
          <w:sz w:val="18"/>
        </w:rPr>
        <w:t xml:space="preserve">§ 5</w:t>
      </w:r>
    </w:p>
    <w:p>
      <w:pPr>
        <w:spacing w:after="160" w:line="240" w:lineRule="auto"/>
      </w:pPr>
      <w:r>
        <w:rPr>
          <w:rFonts w:ascii="Newsreader" w:hAnsi="Newsreader" w:cs="Newsreader"/>
          <w:color w:val="161412"/>
          <w:sz w:val="38"/>
        </w:rPr>
        <w:t xml:space="preserve">Qué debería ser un intent</w:t>
      </w:r>
    </w:p>
    <w:p>
      <w:pPr>
        <w:spacing w:after="120" w:line="320" w:lineRule="auto"/>
        <w:jc w:val="both"/>
      </w:pPr>
      <w:r>
        <w:rPr>
          <w:rFonts w:ascii="Newsreader" w:hAnsi="Newsreader" w:cs="Newsreader"/>
          <w:b w:val="0"/>
          <w:i w:val="0"/>
          <w:color w:val="161412"/>
        </w:rPr>
        <w:t xml:space="preserve">Un intent es la modulación evaluativa de un evento, y esa definición impone cuatro condiciones. Primero, pertenece al evento, no al componente. Segundo, pertenece al plano evaluativo, no a cualquier cambio. Tercero, debe poder modular varios canales. Cuarto, debe expresar una región afectiva funcional, no una etiqueta genérica.</w:t>
      </w:r>
    </w:p>
    <w:p>
      <w:pPr>
        <w:spacing w:before="320" w:after="40"/>
      </w:pPr>
      <w:r>
        <w:rPr>
          <w:rFonts w:ascii="IBM Plex Sans" w:hAnsi="IBM Plex Sans" w:cs="IBM Plex Sans"/>
          <w:b/>
          <w:color w:val="1F3A5F"/>
          <w:sz w:val="18"/>
        </w:rPr>
        <w:t xml:space="preserve">§ 6</w:t>
      </w:r>
    </w:p>
    <w:p>
      <w:pPr>
        <w:spacing w:after="160" w:line="240" w:lineRule="auto"/>
      </w:pPr>
      <w:r>
        <w:rPr>
          <w:rFonts w:ascii="Newsreader" w:hAnsi="Newsreader" w:cs="Newsreader"/>
          <w:color w:val="161412"/>
          <w:sz w:val="38"/>
        </w:rPr>
        <w:t xml:space="preserve">El espacio afectivo</w:t>
      </w:r>
    </w:p>
    <w:p>
      <w:pPr>
        <w:spacing w:after="120" w:line="320" w:lineRule="auto"/>
        <w:jc w:val="both"/>
      </w:pPr>
      <w:r>
        <w:rPr>
          <w:rFonts w:ascii="Newsreader" w:hAnsi="Newsreader" w:cs="Newsreader"/>
          <w:b w:val="0"/>
          <w:i w:val="0"/>
          <w:color w:val="161412"/>
        </w:rPr>
        <w:t xml:space="preserve">El sistema de intents se apoya en el espacio valencia/activación descrito por James A. Russell —no como teoría completa de la emoción, sino como base operativa—. La valencia distingue lo positivo de lo negativo; la activación distingue baja y alta movilización atencional.</w:t>
      </w:r>
    </w:p>
    <w:p>
      <w:pPr>
        <w:spacing w:after="120" w:line="320" w:lineRule="auto"/>
        <w:jc w:val="both"/>
      </w:pPr>
      <w:r>
        <w:rPr>
          <w:rFonts w:ascii="Newsreader" w:hAnsi="Newsreader" w:cs="Newsreader"/>
          <w:b w:val="0"/>
          <w:i w:val="0"/>
          <w:color w:val="161412"/>
        </w:rPr>
        <w:t xml:space="preserve">Con esas dos dimensiones, las diferencias que el semáforo aplasta se vuelven visibles. No es lo mismo threat que loss: ambos son negativos, pero uno tiene alta activación y convoca acción, y el otro registra una consecuencia consumada con activación más baja. Tampoco es lo mismo affirm que fulfill: ambos son positivos, pero uno confirma suavemente y el otro resuelve una tensión.</w:t>
      </w:r>
    </w:p>
    <w:p>
      <w:pPr>
        <w:spacing w:before="320" w:after="40"/>
      </w:pPr>
      <w:r>
        <w:rPr>
          <w:rFonts w:ascii="IBM Plex Sans" w:hAnsi="IBM Plex Sans" w:cs="IBM Plex Sans"/>
          <w:b/>
          <w:color w:val="1F3A5F"/>
          <w:sz w:val="18"/>
        </w:rPr>
        <w:t xml:space="preserve">§ 7</w:t>
      </w:r>
    </w:p>
    <w:p>
      <w:pPr>
        <w:spacing w:after="160" w:line="240" w:lineRule="auto"/>
      </w:pPr>
      <w:r>
        <w:rPr>
          <w:rFonts w:ascii="Newsreader" w:hAnsi="Newsreader" w:cs="Newsreader"/>
          <w:color w:val="161412"/>
          <w:sz w:val="38"/>
        </w:rPr>
        <w:t xml:space="preserve">Las seis regiones evaluativas</w:t>
      </w:r>
    </w:p>
    <w:p>
      <w:pPr>
        <w:spacing w:after="120" w:line="320" w:lineRule="auto"/>
        <w:jc w:val="both"/>
      </w:pPr>
      <w:r>
        <w:rPr>
          <w:rFonts w:ascii="Newsreader" w:hAnsi="Newsreader" w:cs="Newsreader"/>
          <w:b w:val="0"/>
          <w:i w:val="0"/>
          <w:color w:val="161412"/>
        </w:rPr>
        <w:t xml:space="preserve">Sobre ese espacio, el sistema propone seis regiones: neutral, affirm, fulfill, risk, threat y loss. Cada una ocupa una zona distinta de valencia y activación, y cada una tiene una lectura característica.</w:t>
      </w:r>
    </w:p>
    <w:p>
      <w:pPr>
        <w:spacing w:after="200" w:before="40"/>
      </w:pPr>
      <w:r>
        <w:rPr>
          <w:rFonts w:ascii="IBM Plex Sans" w:hAnsi="IBM Plex Sans" w:cs="IBM Plex Sans"/>
          <w:b/>
          <w:color w:val="1F3A5F"/>
          <w:sz w:val="17"/>
        </w:rPr>
        <w:t xml:space="preserve">TABLA 10.1   </w:t>
      </w:r>
      <w:r>
        <w:rPr>
          <w:rFonts w:ascii="IBM Plex Sans" w:hAnsi="IBM Plex Sans" w:cs="IBM Plex Sans"/>
          <w:color w:val="3A352F"/>
          <w:sz w:val="18"/>
        </w:rPr>
        <w:t xml:space="preserve">Los seis intents como regiones del espacio evaluativo</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INTENT</w:t>
            </w:r>
          </w:p>
        </w:tc>
        <w:tc>
          <w:tcPr>
            <w:tcW w:type="dxa" w:w="2772"/>
            <w:shd w:val="clear" w:color="auto" w:fill="EAE4D8"/>
          </w:tcPr>
          <w:p>
            <w:pPr>
              <w:spacing w:after="40"/>
            </w:pPr>
            <w:r>
              <w:rPr>
                <w:sz w:val="17"/>
              </w:rPr>
            </w:r>
            <w:r>
              <w:rPr>
                <w:rFonts w:ascii="IBM Plex Sans" w:hAnsi="IBM Plex Sans" w:cs="IBM Plex Sans"/>
                <w:b/>
                <w:i w:val="0"/>
                <w:color w:val="1F3A5F"/>
                <w:sz w:val="17"/>
              </w:rPr>
              <w:t>REGIÓN EVALUATIVA</w:t>
            </w:r>
          </w:p>
        </w:tc>
        <w:tc>
          <w:tcPr>
            <w:tcW w:type="dxa" w:w="2772"/>
            <w:shd w:val="clear" w:color="auto" w:fill="EAE4D8"/>
          </w:tcPr>
          <w:p>
            <w:pPr>
              <w:spacing w:after="40"/>
            </w:pPr>
            <w:r>
              <w:rPr>
                <w:sz w:val="17"/>
              </w:rPr>
            </w:r>
            <w:r>
              <w:rPr>
                <w:rFonts w:ascii="IBM Plex Sans" w:hAnsi="IBM Plex Sans" w:cs="IBM Plex Sans"/>
                <w:b/>
                <w:i w:val="0"/>
                <w:color w:val="1F3A5F"/>
                <w:sz w:val="17"/>
              </w:rPr>
              <w:t>LECTURA</w:t>
            </w:r>
          </w:p>
        </w:tc>
      </w:tr>
      <w:tr>
        <w:tc>
          <w:tcPr>
            <w:tcW w:type="dxa" w:w="2772"/>
          </w:tcPr>
          <w:p>
            <w:pPr>
              <w:spacing w:after="40"/>
            </w:pPr>
            <w:r>
              <w:rPr>
                <w:sz w:val="17"/>
              </w:rPr>
            </w:r>
            <w:r>
              <w:rPr>
                <w:rFonts w:ascii="IBM Plex Sans" w:hAnsi="IBM Plex Sans" w:cs="IBM Plex Sans"/>
                <w:b w:val="0"/>
                <w:i w:val="0"/>
                <w:color w:val="161412"/>
                <w:sz w:val="17"/>
              </w:rPr>
              <w:t>neutral</w:t>
            </w:r>
          </w:p>
        </w:tc>
        <w:tc>
          <w:tcPr>
            <w:tcW w:type="dxa" w:w="2772"/>
          </w:tcPr>
          <w:p>
            <w:pPr>
              <w:spacing w:after="40"/>
            </w:pPr>
            <w:r>
              <w:rPr>
                <w:sz w:val="17"/>
              </w:rPr>
            </w:r>
            <w:r>
              <w:rPr>
                <w:rFonts w:ascii="IBM Plex Sans" w:hAnsi="IBM Plex Sans" w:cs="IBM Plex Sans"/>
                <w:b w:val="0"/>
                <w:i w:val="0"/>
                <w:color w:val="161412"/>
                <w:sz w:val="17"/>
              </w:rPr>
              <w:t>baja activación, sin valencia fuerte</w:t>
            </w:r>
          </w:p>
        </w:tc>
        <w:tc>
          <w:tcPr>
            <w:tcW w:type="dxa" w:w="2772"/>
          </w:tcPr>
          <w:p>
            <w:pPr>
              <w:spacing w:after="40"/>
            </w:pPr>
            <w:r>
              <w:rPr>
                <w:sz w:val="17"/>
              </w:rPr>
            </w:r>
            <w:r>
              <w:rPr>
                <w:rFonts w:ascii="IBM Plex Sans" w:hAnsi="IBM Plex Sans" w:cs="IBM Plex Sans"/>
                <w:b w:val="0"/>
                <w:i w:val="0"/>
                <w:color w:val="161412"/>
                <w:sz w:val="17"/>
              </w:rPr>
              <w:t>el evento no requiere evaluación afectiva significativa</w:t>
            </w:r>
          </w:p>
        </w:tc>
      </w:tr>
      <w:tr>
        <w:tc>
          <w:tcPr>
            <w:tcW w:type="dxa" w:w="2772"/>
          </w:tcPr>
          <w:p>
            <w:pPr>
              <w:spacing w:after="40"/>
            </w:pPr>
            <w:r>
              <w:rPr>
                <w:sz w:val="17"/>
              </w:rPr>
            </w:r>
            <w:r>
              <w:rPr>
                <w:rFonts w:ascii="IBM Plex Sans" w:hAnsi="IBM Plex Sans" w:cs="IBM Plex Sans"/>
                <w:b w:val="0"/>
                <w:i w:val="0"/>
                <w:color w:val="161412"/>
                <w:sz w:val="17"/>
              </w:rPr>
              <w:t>affirm</w:t>
            </w:r>
          </w:p>
        </w:tc>
        <w:tc>
          <w:tcPr>
            <w:tcW w:type="dxa" w:w="2772"/>
          </w:tcPr>
          <w:p>
            <w:pPr>
              <w:spacing w:after="40"/>
            </w:pPr>
            <w:r>
              <w:rPr>
                <w:sz w:val="17"/>
              </w:rPr>
            </w:r>
            <w:r>
              <w:rPr>
                <w:rFonts w:ascii="IBM Plex Sans" w:hAnsi="IBM Plex Sans" w:cs="IBM Plex Sans"/>
                <w:b w:val="0"/>
                <w:i w:val="0"/>
                <w:color w:val="161412"/>
                <w:sz w:val="17"/>
              </w:rPr>
              <w:t>valencia positiva, baja activación</w:t>
            </w:r>
          </w:p>
        </w:tc>
        <w:tc>
          <w:tcPr>
            <w:tcW w:type="dxa" w:w="2772"/>
          </w:tcPr>
          <w:p>
            <w:pPr>
              <w:spacing w:after="40"/>
            </w:pPr>
            <w:r>
              <w:rPr>
                <w:sz w:val="17"/>
              </w:rPr>
            </w:r>
            <w:r>
              <w:rPr>
                <w:rFonts w:ascii="IBM Plex Sans" w:hAnsi="IBM Plex Sans" w:cs="IBM Plex Sans"/>
                <w:b w:val="0"/>
                <w:i w:val="0"/>
                <w:color w:val="161412"/>
                <w:sz w:val="17"/>
              </w:rPr>
              <w:t>confirma sin alterar significativamente el foco</w:t>
            </w:r>
          </w:p>
        </w:tc>
      </w:tr>
      <w:tr>
        <w:tc>
          <w:tcPr>
            <w:tcW w:type="dxa" w:w="2772"/>
          </w:tcPr>
          <w:p>
            <w:pPr>
              <w:spacing w:after="40"/>
            </w:pPr>
            <w:r>
              <w:rPr>
                <w:sz w:val="17"/>
              </w:rPr>
            </w:r>
            <w:r>
              <w:rPr>
                <w:rFonts w:ascii="IBM Plex Sans" w:hAnsi="IBM Plex Sans" w:cs="IBM Plex Sans"/>
                <w:b w:val="0"/>
                <w:i w:val="0"/>
                <w:color w:val="161412"/>
                <w:sz w:val="17"/>
              </w:rPr>
              <w:t>fulfill</w:t>
            </w:r>
          </w:p>
        </w:tc>
        <w:tc>
          <w:tcPr>
            <w:tcW w:type="dxa" w:w="2772"/>
          </w:tcPr>
          <w:p>
            <w:pPr>
              <w:spacing w:after="40"/>
            </w:pPr>
            <w:r>
              <w:rPr>
                <w:sz w:val="17"/>
              </w:rPr>
            </w:r>
            <w:r>
              <w:rPr>
                <w:rFonts w:ascii="IBM Plex Sans" w:hAnsi="IBM Plex Sans" w:cs="IBM Plex Sans"/>
                <w:b w:val="0"/>
                <w:i w:val="0"/>
                <w:color w:val="161412"/>
                <w:sz w:val="17"/>
              </w:rPr>
              <w:t>valencia positiva, activación media-alta</w:t>
            </w:r>
          </w:p>
        </w:tc>
        <w:tc>
          <w:tcPr>
            <w:tcW w:type="dxa" w:w="2772"/>
          </w:tcPr>
          <w:p>
            <w:pPr>
              <w:spacing w:after="40"/>
            </w:pPr>
            <w:r>
              <w:rPr>
                <w:sz w:val="17"/>
              </w:rPr>
            </w:r>
            <w:r>
              <w:rPr>
                <w:rFonts w:ascii="IBM Plex Sans" w:hAnsi="IBM Plex Sans" w:cs="IBM Plex Sans"/>
                <w:b w:val="0"/>
                <w:i w:val="0"/>
                <w:color w:val="161412"/>
                <w:sz w:val="17"/>
              </w:rPr>
              <w:t>marca resolución de tensión o culminación</w:t>
            </w:r>
          </w:p>
        </w:tc>
      </w:tr>
      <w:tr>
        <w:tc>
          <w:tcPr>
            <w:tcW w:type="dxa" w:w="2772"/>
          </w:tcPr>
          <w:p>
            <w:pPr>
              <w:spacing w:after="40"/>
            </w:pPr>
            <w:r>
              <w:rPr>
                <w:sz w:val="17"/>
              </w:rPr>
            </w:r>
            <w:r>
              <w:rPr>
                <w:rFonts w:ascii="IBM Plex Sans" w:hAnsi="IBM Plex Sans" w:cs="IBM Plex Sans"/>
                <w:b w:val="0"/>
                <w:i w:val="0"/>
                <w:color w:val="161412"/>
                <w:sz w:val="17"/>
              </w:rPr>
              <w:t>risk</w:t>
            </w:r>
          </w:p>
        </w:tc>
        <w:tc>
          <w:tcPr>
            <w:tcW w:type="dxa" w:w="2772"/>
          </w:tcPr>
          <w:p>
            <w:pPr>
              <w:spacing w:after="40"/>
            </w:pPr>
            <w:r>
              <w:rPr>
                <w:sz w:val="17"/>
              </w:rPr>
            </w:r>
            <w:r>
              <w:rPr>
                <w:rFonts w:ascii="IBM Plex Sans" w:hAnsi="IBM Plex Sans" w:cs="IBM Plex Sans"/>
                <w:b w:val="0"/>
                <w:i w:val="0"/>
                <w:color w:val="161412"/>
                <w:sz w:val="17"/>
              </w:rPr>
              <w:t>valencia negativa, activación media</w:t>
            </w:r>
          </w:p>
        </w:tc>
        <w:tc>
          <w:tcPr>
            <w:tcW w:type="dxa" w:w="2772"/>
          </w:tcPr>
          <w:p>
            <w:pPr>
              <w:spacing w:after="40"/>
            </w:pPr>
            <w:r>
              <w:rPr>
                <w:sz w:val="17"/>
              </w:rPr>
            </w:r>
            <w:r>
              <w:rPr>
                <w:rFonts w:ascii="IBM Plex Sans" w:hAnsi="IBM Plex Sans" w:cs="IBM Plex Sans"/>
                <w:b w:val="0"/>
                <w:i w:val="0"/>
                <w:color w:val="161412"/>
                <w:sz w:val="17"/>
              </w:rPr>
              <w:t>problema corregible que requiere atención</w:t>
            </w:r>
          </w:p>
        </w:tc>
      </w:tr>
      <w:tr>
        <w:tc>
          <w:tcPr>
            <w:tcW w:type="dxa" w:w="2772"/>
          </w:tcPr>
          <w:p>
            <w:pPr>
              <w:spacing w:after="40"/>
            </w:pPr>
            <w:r>
              <w:rPr>
                <w:sz w:val="17"/>
              </w:rPr>
            </w:r>
            <w:r>
              <w:rPr>
                <w:rFonts w:ascii="IBM Plex Sans" w:hAnsi="IBM Plex Sans" w:cs="IBM Plex Sans"/>
                <w:b w:val="0"/>
                <w:i w:val="0"/>
                <w:color w:val="161412"/>
                <w:sz w:val="17"/>
              </w:rPr>
              <w:t>threat</w:t>
            </w:r>
          </w:p>
        </w:tc>
        <w:tc>
          <w:tcPr>
            <w:tcW w:type="dxa" w:w="2772"/>
          </w:tcPr>
          <w:p>
            <w:pPr>
              <w:spacing w:after="40"/>
            </w:pPr>
            <w:r>
              <w:rPr>
                <w:sz w:val="17"/>
              </w:rPr>
            </w:r>
            <w:r>
              <w:rPr>
                <w:rFonts w:ascii="IBM Plex Sans" w:hAnsi="IBM Plex Sans" w:cs="IBM Plex Sans"/>
                <w:b w:val="0"/>
                <w:i w:val="0"/>
                <w:color w:val="161412"/>
                <w:sz w:val="17"/>
              </w:rPr>
              <w:t>valencia negativa, alta activación</w:t>
            </w:r>
          </w:p>
        </w:tc>
        <w:tc>
          <w:tcPr>
            <w:tcW w:type="dxa" w:w="2772"/>
          </w:tcPr>
          <w:p>
            <w:pPr>
              <w:spacing w:after="40"/>
            </w:pPr>
            <w:r>
              <w:rPr>
                <w:sz w:val="17"/>
              </w:rPr>
            </w:r>
            <w:r>
              <w:rPr>
                <w:rFonts w:ascii="IBM Plex Sans" w:hAnsi="IBM Plex Sans" w:cs="IBM Plex Sans"/>
                <w:b w:val="0"/>
                <w:i w:val="0"/>
                <w:color w:val="161412"/>
                <w:sz w:val="17"/>
              </w:rPr>
              <w:t>exige atención urgente y posible acción inmediata</w:t>
            </w:r>
          </w:p>
        </w:tc>
      </w:tr>
      <w:tr>
        <w:tc>
          <w:tcPr>
            <w:tcW w:type="dxa" w:w="2772"/>
          </w:tcPr>
          <w:p>
            <w:pPr>
              <w:spacing w:after="40"/>
            </w:pPr>
            <w:r>
              <w:rPr>
                <w:sz w:val="17"/>
              </w:rPr>
            </w:r>
            <w:r>
              <w:rPr>
                <w:rFonts w:ascii="IBM Plex Sans" w:hAnsi="IBM Plex Sans" w:cs="IBM Plex Sans"/>
                <w:b w:val="0"/>
                <w:i w:val="0"/>
                <w:color w:val="161412"/>
                <w:sz w:val="17"/>
              </w:rPr>
              <w:t>loss</w:t>
            </w:r>
          </w:p>
        </w:tc>
        <w:tc>
          <w:tcPr>
            <w:tcW w:type="dxa" w:w="2772"/>
          </w:tcPr>
          <w:p>
            <w:pPr>
              <w:spacing w:after="40"/>
            </w:pPr>
            <w:r>
              <w:rPr>
                <w:sz w:val="17"/>
              </w:rPr>
            </w:r>
            <w:r>
              <w:rPr>
                <w:rFonts w:ascii="IBM Plex Sans" w:hAnsi="IBM Plex Sans" w:cs="IBM Plex Sans"/>
                <w:b w:val="0"/>
                <w:i w:val="0"/>
                <w:color w:val="161412"/>
                <w:sz w:val="17"/>
              </w:rPr>
              <w:t>valencia negativa, menor activación y posterioridad</w:t>
            </w:r>
          </w:p>
        </w:tc>
        <w:tc>
          <w:tcPr>
            <w:tcW w:type="dxa" w:w="2772"/>
          </w:tcPr>
          <w:p>
            <w:pPr>
              <w:spacing w:after="40"/>
            </w:pPr>
            <w:r>
              <w:rPr>
                <w:sz w:val="17"/>
              </w:rPr>
            </w:r>
            <w:r>
              <w:rPr>
                <w:rFonts w:ascii="IBM Plex Sans" w:hAnsi="IBM Plex Sans" w:cs="IBM Plex Sans"/>
                <w:b w:val="0"/>
                <w:i w:val="0"/>
                <w:color w:val="161412"/>
                <w:sz w:val="17"/>
              </w:rPr>
              <w:t>registra consecuencia ya consumada</w:t>
            </w:r>
          </w:p>
        </w:tc>
      </w:tr>
    </w:tbl>
    <w:p>
      <w:pPr>
        <w:spacing w:before="200" w:after="60"/>
        <w:jc w:val="center"/>
      </w:pPr>
      <w:r>
        <w:drawing>
          <wp:inline xmlns:a="http://schemas.openxmlformats.org/drawingml/2006/main" xmlns:pic="http://schemas.openxmlformats.org/drawingml/2006/picture">
            <wp:extent cx="5029200" cy="2932652"/>
            <wp:docPr id="60" name="Picture 60"/>
            <wp:cNvGraphicFramePr>
              <a:graphicFrameLocks noChangeAspect="1"/>
            </wp:cNvGraphicFramePr>
            <a:graphic>
              <a:graphicData uri="http://schemas.openxmlformats.org/drawingml/2006/picture">
                <pic:pic>
                  <pic:nvPicPr>
                    <pic:cNvPr id="0" name="figura-10-2.png"/>
                    <pic:cNvPicPr/>
                  </pic:nvPicPr>
                  <pic:blipFill>
                    <a:blip r:embed="rId68"/>
                    <a:stretch>
                      <a:fillRect/>
                    </a:stretch>
                  </pic:blipFill>
                  <pic:spPr>
                    <a:xfrm>
                      <a:off x="0" y="0"/>
                      <a:ext cx="5029200" cy="2932652"/>
                    </a:xfrm>
                    <a:prstGeom prst="rect"/>
                  </pic:spPr>
                </pic:pic>
              </a:graphicData>
            </a:graphic>
          </wp:inline>
        </w:drawing>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Los intents no son colores ni estilos. Son regiones evaluativas del evento que pueden expresarse mediante distintos canales de expresión.</w:t>
      </w:r>
    </w:p>
    <w:p>
      <w:pPr>
        <w:spacing w:before="320" w:after="40"/>
      </w:pPr>
      <w:r>
        <w:rPr>
          <w:rFonts w:ascii="IBM Plex Sans" w:hAnsi="IBM Plex Sans" w:cs="IBM Plex Sans"/>
          <w:b/>
          <w:color w:val="1F3A5F"/>
          <w:sz w:val="18"/>
        </w:rPr>
        <w:t xml:space="preserve">§ 8</w:t>
      </w:r>
    </w:p>
    <w:p>
      <w:pPr>
        <w:spacing w:after="160" w:line="240" w:lineRule="auto"/>
      </w:pPr>
      <w:r>
        <w:rPr>
          <w:rFonts w:ascii="Newsreader" w:hAnsi="Newsreader" w:cs="Newsreader"/>
          <w:color w:val="161412"/>
          <w:sz w:val="38"/>
        </w:rPr>
        <w:t xml:space="preserve">Lo que la convención heredada pierde</w:t>
      </w:r>
    </w:p>
    <w:p>
      <w:pPr>
        <w:spacing w:after="120" w:line="320" w:lineRule="auto"/>
        <w:jc w:val="both"/>
      </w:pPr>
      <w:r>
        <w:rPr>
          <w:rFonts w:ascii="Newsreader" w:hAnsi="Newsreader" w:cs="Newsreader"/>
          <w:b w:val="0"/>
          <w:i w:val="0"/>
          <w:color w:val="161412"/>
        </w:rPr>
        <w:t xml:space="preserve">La separación se aprecia mejor en contraste. Threat convoca acción; loss registra consecuencia. Affirm confirma normalidad; fulfill resuelve tensión. Info no responde a cómo se evalúa el evento, sino a si debe ser notado: por eso no es un intent, sino una cuestión de saliencia.</w:t>
      </w:r>
    </w:p>
    <w:p>
      <w:pPr>
        <w:spacing w:after="200" w:before="40"/>
      </w:pPr>
      <w:r>
        <w:rPr>
          <w:rFonts w:ascii="IBM Plex Sans" w:hAnsi="IBM Plex Sans" w:cs="IBM Plex Sans"/>
          <w:b/>
          <w:color w:val="1F3A5F"/>
          <w:sz w:val="17"/>
        </w:rPr>
        <w:t xml:space="preserve">TABLA 10.2   </w:t>
      </w:r>
      <w:r>
        <w:rPr>
          <w:rFonts w:ascii="IBM Plex Sans" w:hAnsi="IBM Plex Sans" w:cs="IBM Plex Sans"/>
          <w:color w:val="3A352F"/>
          <w:sz w:val="18"/>
        </w:rPr>
        <w:t xml:space="preserve">Convenciones del semáforo y separación propuesta</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CONVENCIÓN</w:t>
            </w:r>
          </w:p>
        </w:tc>
        <w:tc>
          <w:tcPr>
            <w:tcW w:type="dxa" w:w="2772"/>
            <w:shd w:val="clear" w:color="auto" w:fill="EAE4D8"/>
          </w:tcPr>
          <w:p>
            <w:pPr>
              <w:spacing w:after="40"/>
            </w:pPr>
            <w:r>
              <w:rPr>
                <w:sz w:val="17"/>
              </w:rPr>
            </w:r>
            <w:r>
              <w:rPr>
                <w:rFonts w:ascii="IBM Plex Sans" w:hAnsi="IBM Plex Sans" w:cs="IBM Plex Sans"/>
                <w:b/>
                <w:i w:val="0"/>
                <w:color w:val="1F3A5F"/>
                <w:sz w:val="17"/>
              </w:rPr>
              <w:t>QUÉ MEZCLA</w:t>
            </w:r>
          </w:p>
        </w:tc>
        <w:tc>
          <w:tcPr>
            <w:tcW w:type="dxa" w:w="2772"/>
            <w:shd w:val="clear" w:color="auto" w:fill="EAE4D8"/>
          </w:tcPr>
          <w:p>
            <w:pPr>
              <w:spacing w:after="40"/>
            </w:pPr>
            <w:r>
              <w:rPr>
                <w:sz w:val="17"/>
              </w:rPr>
            </w:r>
            <w:r>
              <w:rPr>
                <w:rFonts w:ascii="IBM Plex Sans" w:hAnsi="IBM Plex Sans" w:cs="IBM Plex Sans"/>
                <w:b/>
                <w:i w:val="0"/>
                <w:color w:val="1F3A5F"/>
                <w:sz w:val="17"/>
              </w:rPr>
              <w:t>SEPARACIÓN PROPUESTA</w:t>
            </w:r>
          </w:p>
        </w:tc>
      </w:tr>
      <w:tr>
        <w:tc>
          <w:tcPr>
            <w:tcW w:type="dxa" w:w="2772"/>
          </w:tcPr>
          <w:p>
            <w:pPr>
              <w:spacing w:after="40"/>
            </w:pPr>
            <w:r>
              <w:rPr>
                <w:sz w:val="17"/>
              </w:rPr>
            </w:r>
            <w:r>
              <w:rPr>
                <w:rFonts w:ascii="IBM Plex Sans" w:hAnsi="IBM Plex Sans" w:cs="IBM Plex Sans"/>
                <w:b w:val="0"/>
                <w:i w:val="0"/>
                <w:color w:val="161412"/>
                <w:sz w:val="17"/>
              </w:rPr>
              <w:t>danger / error</w:t>
            </w:r>
          </w:p>
        </w:tc>
        <w:tc>
          <w:tcPr>
            <w:tcW w:type="dxa" w:w="2772"/>
          </w:tcPr>
          <w:p>
            <w:pPr>
              <w:spacing w:after="40"/>
            </w:pPr>
            <w:r>
              <w:rPr>
                <w:sz w:val="17"/>
              </w:rPr>
            </w:r>
            <w:r>
              <w:rPr>
                <w:rFonts w:ascii="IBM Plex Sans" w:hAnsi="IBM Plex Sans" w:cs="IBM Plex Sans"/>
                <w:b w:val="0"/>
                <w:i w:val="0"/>
                <w:color w:val="161412"/>
                <w:sz w:val="17"/>
              </w:rPr>
              <w:t>amenaza, fallo, pérdida</w:t>
            </w:r>
          </w:p>
        </w:tc>
        <w:tc>
          <w:tcPr>
            <w:tcW w:type="dxa" w:w="2772"/>
          </w:tcPr>
          <w:p>
            <w:pPr>
              <w:spacing w:after="40"/>
            </w:pPr>
            <w:r>
              <w:rPr>
                <w:sz w:val="17"/>
              </w:rPr>
            </w:r>
            <w:r>
              <w:rPr>
                <w:rFonts w:ascii="IBM Plex Sans" w:hAnsi="IBM Plex Sans" w:cs="IBM Plex Sans"/>
                <w:b w:val="0"/>
                <w:i w:val="0"/>
                <w:color w:val="161412"/>
                <w:sz w:val="17"/>
              </w:rPr>
              <w:t>threat, risk, loss</w:t>
            </w:r>
          </w:p>
        </w:tc>
      </w:tr>
      <w:tr>
        <w:tc>
          <w:tcPr>
            <w:tcW w:type="dxa" w:w="2772"/>
          </w:tcPr>
          <w:p>
            <w:pPr>
              <w:spacing w:after="40"/>
            </w:pPr>
            <w:r>
              <w:rPr>
                <w:sz w:val="17"/>
              </w:rPr>
            </w:r>
            <w:r>
              <w:rPr>
                <w:rFonts w:ascii="IBM Plex Sans" w:hAnsi="IBM Plex Sans" w:cs="IBM Plex Sans"/>
                <w:b w:val="0"/>
                <w:i w:val="0"/>
                <w:color w:val="161412"/>
                <w:sz w:val="17"/>
              </w:rPr>
              <w:t>warning</w:t>
            </w:r>
          </w:p>
        </w:tc>
        <w:tc>
          <w:tcPr>
            <w:tcW w:type="dxa" w:w="2772"/>
          </w:tcPr>
          <w:p>
            <w:pPr>
              <w:spacing w:after="40"/>
            </w:pPr>
            <w:r>
              <w:rPr>
                <w:sz w:val="17"/>
              </w:rPr>
            </w:r>
            <w:r>
              <w:rPr>
                <w:rFonts w:ascii="IBM Plex Sans" w:hAnsi="IBM Plex Sans" w:cs="IBM Plex Sans"/>
                <w:b w:val="0"/>
                <w:i w:val="0"/>
                <w:color w:val="161412"/>
                <w:sz w:val="17"/>
              </w:rPr>
              <w:t>riesgo corregible, amenaza</w:t>
            </w:r>
          </w:p>
        </w:tc>
        <w:tc>
          <w:tcPr>
            <w:tcW w:type="dxa" w:w="2772"/>
          </w:tcPr>
          <w:p>
            <w:pPr>
              <w:spacing w:after="40"/>
            </w:pPr>
            <w:r>
              <w:rPr>
                <w:sz w:val="17"/>
              </w:rPr>
            </w:r>
            <w:r>
              <w:rPr>
                <w:rFonts w:ascii="IBM Plex Sans" w:hAnsi="IBM Plex Sans" w:cs="IBM Plex Sans"/>
                <w:b w:val="0"/>
                <w:i w:val="0"/>
                <w:color w:val="161412"/>
                <w:sz w:val="17"/>
              </w:rPr>
              <w:t>risk, a veces threat</w:t>
            </w:r>
          </w:p>
        </w:tc>
      </w:tr>
      <w:tr>
        <w:tc>
          <w:tcPr>
            <w:tcW w:type="dxa" w:w="2772"/>
          </w:tcPr>
          <w:p>
            <w:pPr>
              <w:spacing w:after="40"/>
            </w:pPr>
            <w:r>
              <w:rPr>
                <w:sz w:val="17"/>
              </w:rPr>
            </w:r>
            <w:r>
              <w:rPr>
                <w:rFonts w:ascii="IBM Plex Sans" w:hAnsi="IBM Plex Sans" w:cs="IBM Plex Sans"/>
                <w:b w:val="0"/>
                <w:i w:val="0"/>
                <w:color w:val="161412"/>
                <w:sz w:val="17"/>
              </w:rPr>
              <w:t>success</w:t>
            </w:r>
          </w:p>
        </w:tc>
        <w:tc>
          <w:tcPr>
            <w:tcW w:type="dxa" w:w="2772"/>
          </w:tcPr>
          <w:p>
            <w:pPr>
              <w:spacing w:after="40"/>
            </w:pPr>
            <w:r>
              <w:rPr>
                <w:sz w:val="17"/>
              </w:rPr>
            </w:r>
            <w:r>
              <w:rPr>
                <w:rFonts w:ascii="IBM Plex Sans" w:hAnsi="IBM Plex Sans" w:cs="IBM Plex Sans"/>
                <w:b w:val="0"/>
                <w:i w:val="0"/>
                <w:color w:val="161412"/>
                <w:sz w:val="17"/>
              </w:rPr>
              <w:t>confirmación, resolución, logro</w:t>
            </w:r>
          </w:p>
        </w:tc>
        <w:tc>
          <w:tcPr>
            <w:tcW w:type="dxa" w:w="2772"/>
          </w:tcPr>
          <w:p>
            <w:pPr>
              <w:spacing w:after="40"/>
            </w:pPr>
            <w:r>
              <w:rPr>
                <w:sz w:val="17"/>
              </w:rPr>
            </w:r>
            <w:r>
              <w:rPr>
                <w:rFonts w:ascii="IBM Plex Sans" w:hAnsi="IBM Plex Sans" w:cs="IBM Plex Sans"/>
                <w:b w:val="0"/>
                <w:i w:val="0"/>
                <w:color w:val="161412"/>
                <w:sz w:val="17"/>
              </w:rPr>
              <w:t>affirm, fulfill</w:t>
            </w:r>
          </w:p>
        </w:tc>
      </w:tr>
      <w:tr>
        <w:tc>
          <w:tcPr>
            <w:tcW w:type="dxa" w:w="2772"/>
          </w:tcPr>
          <w:p>
            <w:pPr>
              <w:spacing w:after="40"/>
            </w:pPr>
            <w:r>
              <w:rPr>
                <w:sz w:val="17"/>
              </w:rPr>
            </w:r>
            <w:r>
              <w:rPr>
                <w:rFonts w:ascii="IBM Plex Sans" w:hAnsi="IBM Plex Sans" w:cs="IBM Plex Sans"/>
                <w:b w:val="0"/>
                <w:i w:val="0"/>
                <w:color w:val="161412"/>
                <w:sz w:val="17"/>
              </w:rPr>
              <w:t>info</w:t>
            </w:r>
          </w:p>
        </w:tc>
        <w:tc>
          <w:tcPr>
            <w:tcW w:type="dxa" w:w="2772"/>
          </w:tcPr>
          <w:p>
            <w:pPr>
              <w:spacing w:after="40"/>
            </w:pPr>
            <w:r>
              <w:rPr>
                <w:sz w:val="17"/>
              </w:rPr>
            </w:r>
            <w:r>
              <w:rPr>
                <w:rFonts w:ascii="IBM Plex Sans" w:hAnsi="IBM Plex Sans" w:cs="IBM Plex Sans"/>
                <w:b w:val="0"/>
                <w:i w:val="0"/>
                <w:color w:val="161412"/>
                <w:sz w:val="17"/>
              </w:rPr>
              <w:t>saliencia, mensaje neutro</w:t>
            </w:r>
          </w:p>
        </w:tc>
        <w:tc>
          <w:tcPr>
            <w:tcW w:type="dxa" w:w="2772"/>
          </w:tcPr>
          <w:p>
            <w:pPr>
              <w:spacing w:after="40"/>
            </w:pPr>
            <w:r>
              <w:rPr>
                <w:sz w:val="17"/>
              </w:rPr>
            </w:r>
            <w:r>
              <w:rPr>
                <w:rFonts w:ascii="IBM Plex Sans" w:hAnsi="IBM Plex Sans" w:cs="IBM Plex Sans"/>
                <w:b w:val="0"/>
                <w:i w:val="0"/>
                <w:color w:val="161412"/>
                <w:sz w:val="17"/>
              </w:rPr>
              <w:t>signal.announce + neutral</w:t>
            </w:r>
          </w:p>
        </w:tc>
      </w:tr>
    </w:tbl>
    <w:p>
      <w:pPr>
        <w:spacing w:before="320" w:after="40"/>
      </w:pPr>
      <w:r>
        <w:rPr>
          <w:rFonts w:ascii="IBM Plex Sans" w:hAnsi="IBM Plex Sans" w:cs="IBM Plex Sans"/>
          <w:b/>
          <w:color w:val="1F3A5F"/>
          <w:sz w:val="18"/>
        </w:rPr>
        <w:t xml:space="preserve">§ 9</w:t>
      </w:r>
    </w:p>
    <w:p>
      <w:pPr>
        <w:spacing w:after="160" w:line="240" w:lineRule="auto"/>
      </w:pPr>
      <w:r>
        <w:rPr>
          <w:rFonts w:ascii="Newsreader" w:hAnsi="Newsreader" w:cs="Newsreader"/>
          <w:color w:val="161412"/>
          <w:sz w:val="38"/>
        </w:rPr>
        <w:t xml:space="preserve">Cómo modula el intent</w:t>
      </w:r>
    </w:p>
    <w:p>
      <w:pPr>
        <w:spacing w:after="120" w:line="320" w:lineRule="auto"/>
        <w:jc w:val="both"/>
      </w:pPr>
      <w:r>
        <w:rPr>
          <w:rFonts w:ascii="Newsreader" w:hAnsi="Newsreader" w:cs="Newsreader"/>
          <w:b w:val="0"/>
          <w:i w:val="0"/>
          <w:color w:val="161412"/>
        </w:rPr>
        <w:t xml:space="preserve">El intent no se expresa solo en color. Puede hacerse perceptible mediante duración, energía de motion, timbre sonoro, persistencia, profundidad, forma, háptica o silencio. La Parte II recorrerá esos canales uno a uno; lo que importa aquí es que la evaluación del evento tiene muchas más voces que el pigmento.</w:t>
      </w:r>
    </w:p>
    <w:p>
      <w:pPr>
        <w:spacing w:before="320" w:after="40"/>
      </w:pPr>
      <w:r>
        <w:rPr>
          <w:rFonts w:ascii="IBM Plex Sans" w:hAnsi="IBM Plex Sans" w:cs="IBM Plex Sans"/>
          <w:b/>
          <w:color w:val="1F3A5F"/>
          <w:sz w:val="18"/>
        </w:rPr>
        <w:t xml:space="preserve">§ 10</w:t>
      </w:r>
    </w:p>
    <w:p>
      <w:pPr>
        <w:spacing w:after="160" w:line="240" w:lineRule="auto"/>
      </w:pPr>
      <w:r>
        <w:rPr>
          <w:rFonts w:ascii="Newsreader" w:hAnsi="Newsreader" w:cs="Newsreader"/>
          <w:color w:val="161412"/>
          <w:sz w:val="38"/>
        </w:rPr>
        <w:t xml:space="preserve">Neutralidad no es ausencia de intent</w:t>
      </w:r>
    </w:p>
    <w:p>
      <w:pPr>
        <w:spacing w:after="120" w:line="320" w:lineRule="auto"/>
        <w:jc w:val="both"/>
      </w:pPr>
      <w:r>
        <w:rPr>
          <w:rFonts w:ascii="Newsreader" w:hAnsi="Newsreader" w:cs="Newsreader"/>
          <w:b w:val="0"/>
          <w:i w:val="0"/>
          <w:color w:val="161412"/>
        </w:rPr>
        <w:t xml:space="preserve">Neutral ocupa una región de baja activación sin carga evaluativa fuerte. Pero no todo evento sin carga evaluativa necesita recibir neutral: algunos eventos simplemente no pertenecen al plano evaluativo. emerge.open, shift.navigate o sustain.progress pueden no necesitar intent, y ese silencio evaluativo es información, no descuido.</w:t>
      </w:r>
    </w:p>
    <w:p>
      <w:pPr>
        <w:spacing w:before="320" w:after="40"/>
      </w:pPr>
      <w:r>
        <w:rPr>
          <w:rFonts w:ascii="IBM Plex Sans" w:hAnsi="IBM Plex Sans" w:cs="IBM Plex Sans"/>
          <w:b/>
          <w:color w:val="1F3A5F"/>
          <w:sz w:val="18"/>
        </w:rPr>
        <w:t xml:space="preserve">§ 11</w:t>
      </w:r>
    </w:p>
    <w:p>
      <w:pPr>
        <w:spacing w:after="160" w:line="240" w:lineRule="auto"/>
      </w:pPr>
      <w:r>
        <w:rPr>
          <w:rFonts w:ascii="Newsreader" w:hAnsi="Newsreader" w:cs="Newsreader"/>
          <w:color w:val="161412"/>
          <w:sz w:val="38"/>
        </w:rPr>
        <w:t xml:space="preserve">Familia e intent</w:t>
      </w:r>
    </w:p>
    <w:p>
      <w:pPr>
        <w:spacing w:after="120" w:line="320" w:lineRule="auto"/>
        <w:jc w:val="both"/>
      </w:pPr>
      <w:r>
        <w:rPr>
          <w:rFonts w:ascii="Newsreader" w:hAnsi="Newsreader" w:cs="Newsreader"/>
          <w:b w:val="0"/>
          <w:i w:val="0"/>
          <w:color w:val="161412"/>
        </w:rPr>
        <w:t xml:space="preserve">La división de trabajo del sistema queda así: la familia dice qué tipo de evento está ocurriendo; el intent dice en qué región evaluativa cae ese evento; los canales dicen cómo se vuelve perceptible esa evaluación.</w:t>
      </w:r>
    </w:p>
    <w:p>
      <w:pPr>
        <w:spacing w:before="320" w:after="40"/>
      </w:pPr>
      <w:r>
        <w:rPr>
          <w:rFonts w:ascii="IBM Plex Sans" w:hAnsi="IBM Plex Sans" w:cs="IBM Plex Sans"/>
          <w:b/>
          <w:color w:val="1F3A5F"/>
          <w:sz w:val="18"/>
        </w:rPr>
        <w:t xml:space="preserve">§ 12</w:t>
      </w:r>
    </w:p>
    <w:p>
      <w:pPr>
        <w:spacing w:after="160" w:line="240" w:lineRule="auto"/>
      </w:pPr>
      <w:r>
        <w:rPr>
          <w:rFonts w:ascii="Newsreader" w:hAnsi="Newsreader" w:cs="Newsreader"/>
          <w:color w:val="161412"/>
          <w:sz w:val="38"/>
        </w:rPr>
        <w:t xml:space="preserve">Antipatrones</w:t>
      </w:r>
    </w:p>
    <w:p>
      <w:pPr>
        <w:spacing w:after="120" w:line="320" w:lineRule="auto"/>
        <w:jc w:val="both"/>
      </w:pPr>
      <w:r>
        <w:rPr>
          <w:rFonts w:ascii="Newsreader" w:hAnsi="Newsreader" w:cs="Newsreader"/>
          <w:b/>
          <w:i w:val="0"/>
          <w:color w:val="161412"/>
        </w:rPr>
        <w:t xml:space="preserve">El semáforo redivivo.</w:t>
      </w:r>
      <w:r>
        <w:rPr>
          <w:rFonts w:ascii="Newsreader" w:hAnsi="Newsreader" w:cs="Newsreader"/>
          <w:b w:val="0"/>
          <w:i w:val="0"/>
          <w:color w:val="161412"/>
        </w:rPr>
        <w:t xml:space="preserve"> Mapear los seis intents de vuelta a success, warning y danger. Si affirm y fulfill comparten expresión, y risk, threat y loss comparten alarma, la gramática se ha perdido: vuelve la ambigüedad que los intents venían a resolver. Cada intent necesita una firma diferenciable, aunque comparta canal.</w:t>
      </w:r>
    </w:p>
    <w:p>
      <w:pPr>
        <w:spacing w:after="120" w:line="320" w:lineRule="auto"/>
        <w:jc w:val="both"/>
      </w:pPr>
      <w:r>
        <w:rPr>
          <w:rFonts w:ascii="Newsreader" w:hAnsi="Newsreader" w:cs="Newsreader"/>
          <w:b/>
          <w:i w:val="0"/>
          <w:color w:val="161412"/>
        </w:rPr>
        <w:t xml:space="preserve">Celebración prematura.</w:t>
      </w:r>
      <w:r>
        <w:rPr>
          <w:rFonts w:ascii="Newsreader" w:hAnsi="Newsreader" w:cs="Newsreader"/>
          <w:b w:val="0"/>
          <w:i w:val="0"/>
          <w:color w:val="161412"/>
        </w:rPr>
        <w:t xml:space="preserve"> Declarar affirm o fulfill cuando el evento aún no se ha resuelto. Lo que se celebra es la petición, no la consecuencia. El intent positivo llega con el commit, no con el contacto.</w:t>
      </w:r>
    </w:p>
    <w:p>
      <w:pPr>
        <w:spacing w:after="120" w:line="320" w:lineRule="auto"/>
        <w:jc w:val="both"/>
      </w:pPr>
      <w:r>
        <w:rPr>
          <w:rFonts w:ascii="Newsreader" w:hAnsi="Newsreader" w:cs="Newsreader"/>
          <w:b/>
          <w:i w:val="0"/>
          <w:color w:val="161412"/>
        </w:rPr>
        <w:t xml:space="preserve">Intent decorativo.</w:t>
      </w:r>
      <w:r>
        <w:rPr>
          <w:rFonts w:ascii="Newsreader" w:hAnsi="Newsreader" w:cs="Newsreader"/>
          <w:b w:val="0"/>
          <w:i w:val="0"/>
          <w:color w:val="161412"/>
        </w:rPr>
        <w:t xml:space="preserve"> Asignar intent a eventos que no son evaluables —aperturas, transiciones, esperas— para dar tono. El intent no es tono: es evaluación. Si el evento es marco, no porta intent; la evaluación viaja en la figura.</w:t>
      </w:r>
    </w:p>
    <w:p>
      <w:pPr>
        <w:spacing w:after="200" w:before="40"/>
      </w:pPr>
      <w:r>
        <w:rPr>
          <w:rFonts w:ascii="IBM Plex Sans" w:hAnsi="IBM Plex Sans" w:cs="IBM Plex Sans"/>
          <w:b/>
          <w:color w:val="1F3A5F"/>
          <w:sz w:val="17"/>
        </w:rPr>
        <w:t xml:space="preserve">TABLA 10.3   </w:t>
      </w:r>
      <w:r>
        <w:rPr>
          <w:rFonts w:ascii="IBM Plex Sans" w:hAnsi="IBM Plex Sans" w:cs="IBM Plex Sans"/>
          <w:color w:val="3A352F"/>
          <w:sz w:val="18"/>
        </w:rPr>
        <w:t xml:space="preserve">Antipatrones del intent</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ANTIPATRÓN</w:t>
            </w:r>
          </w:p>
        </w:tc>
        <w:tc>
          <w:tcPr>
            <w:tcW w:type="dxa" w:w="4158"/>
            <w:shd w:val="clear" w:color="auto" w:fill="EAE4D8"/>
          </w:tcPr>
          <w:p>
            <w:pPr>
              <w:spacing w:after="40"/>
            </w:pPr>
            <w:r>
              <w:rPr>
                <w:sz w:val="17"/>
              </w:rPr>
            </w:r>
            <w:r>
              <w:rPr>
                <w:rFonts w:ascii="IBM Plex Sans" w:hAnsi="IBM Plex Sans" w:cs="IBM Plex Sans"/>
                <w:b/>
                <w:i w:val="0"/>
                <w:color w:val="1F3A5F"/>
                <w:sz w:val="17"/>
              </w:rPr>
              <w:t>QUÉ OCULTA</w:t>
            </w:r>
          </w:p>
        </w:tc>
      </w:tr>
      <w:tr>
        <w:tc>
          <w:tcPr>
            <w:tcW w:type="dxa" w:w="4158"/>
          </w:tcPr>
          <w:p>
            <w:pPr>
              <w:spacing w:after="40"/>
            </w:pPr>
            <w:r>
              <w:rPr>
                <w:sz w:val="17"/>
              </w:rPr>
            </w:r>
            <w:r>
              <w:rPr>
                <w:rFonts w:ascii="IBM Plex Sans" w:hAnsi="IBM Plex Sans" w:cs="IBM Plex Sans"/>
                <w:b w:val="0"/>
                <w:i w:val="0"/>
                <w:color w:val="161412"/>
                <w:sz w:val="17"/>
              </w:rPr>
              <w:t>derivar intent de color</w:t>
            </w:r>
          </w:p>
        </w:tc>
        <w:tc>
          <w:tcPr>
            <w:tcW w:type="dxa" w:w="4158"/>
          </w:tcPr>
          <w:p>
            <w:pPr>
              <w:spacing w:after="40"/>
            </w:pPr>
            <w:r>
              <w:rPr>
                <w:sz w:val="17"/>
              </w:rPr>
            </w:r>
            <w:r>
              <w:rPr>
                <w:rFonts w:ascii="IBM Plex Sans" w:hAnsi="IBM Plex Sans" w:cs="IBM Plex Sans"/>
                <w:b w:val="0"/>
                <w:i w:val="0"/>
                <w:color w:val="161412"/>
                <w:sz w:val="17"/>
              </w:rPr>
              <w:t>oculta el espacio valencia/activación</w:t>
            </w:r>
          </w:p>
        </w:tc>
      </w:tr>
      <w:tr>
        <w:tc>
          <w:tcPr>
            <w:tcW w:type="dxa" w:w="4158"/>
          </w:tcPr>
          <w:p>
            <w:pPr>
              <w:spacing w:after="40"/>
            </w:pPr>
            <w:r>
              <w:rPr>
                <w:sz w:val="17"/>
              </w:rPr>
            </w:r>
            <w:r>
              <w:rPr>
                <w:rFonts w:ascii="IBM Plex Sans" w:hAnsi="IBM Plex Sans" w:cs="IBM Plex Sans"/>
                <w:b w:val="0"/>
                <w:i w:val="0"/>
                <w:color w:val="161412"/>
                <w:sz w:val="17"/>
              </w:rPr>
              <w:t>usar danger para pérdida</w:t>
            </w:r>
          </w:p>
        </w:tc>
        <w:tc>
          <w:tcPr>
            <w:tcW w:type="dxa" w:w="4158"/>
          </w:tcPr>
          <w:p>
            <w:pPr>
              <w:spacing w:after="40"/>
            </w:pPr>
            <w:r>
              <w:rPr>
                <w:sz w:val="17"/>
              </w:rPr>
            </w:r>
            <w:r>
              <w:rPr>
                <w:rFonts w:ascii="IBM Plex Sans" w:hAnsi="IBM Plex Sans" w:cs="IBM Plex Sans"/>
                <w:b w:val="0"/>
                <w:i w:val="0"/>
                <w:color w:val="161412"/>
                <w:sz w:val="17"/>
              </w:rPr>
              <w:t>oculta la diferencia temporal antes/después</w:t>
            </w:r>
          </w:p>
        </w:tc>
      </w:tr>
      <w:tr>
        <w:tc>
          <w:tcPr>
            <w:tcW w:type="dxa" w:w="4158"/>
          </w:tcPr>
          <w:p>
            <w:pPr>
              <w:spacing w:after="40"/>
            </w:pPr>
            <w:r>
              <w:rPr>
                <w:sz w:val="17"/>
              </w:rPr>
            </w:r>
            <w:r>
              <w:rPr>
                <w:rFonts w:ascii="IBM Plex Sans" w:hAnsi="IBM Plex Sans" w:cs="IBM Plex Sans"/>
                <w:b w:val="0"/>
                <w:i w:val="0"/>
                <w:color w:val="161412"/>
                <w:sz w:val="17"/>
              </w:rPr>
              <w:t>usar success para todo</w:t>
            </w:r>
          </w:p>
        </w:tc>
        <w:tc>
          <w:tcPr>
            <w:tcW w:type="dxa" w:w="4158"/>
          </w:tcPr>
          <w:p>
            <w:pPr>
              <w:spacing w:after="40"/>
            </w:pPr>
            <w:r>
              <w:rPr>
                <w:sz w:val="17"/>
              </w:rPr>
            </w:r>
            <w:r>
              <w:rPr>
                <w:rFonts w:ascii="IBM Plex Sans" w:hAnsi="IBM Plex Sans" w:cs="IBM Plex Sans"/>
                <w:b w:val="0"/>
                <w:i w:val="0"/>
                <w:color w:val="161412"/>
                <w:sz w:val="17"/>
              </w:rPr>
              <w:t>oculta la diferencia entre baja y mayor activación positiva</w:t>
            </w:r>
          </w:p>
        </w:tc>
      </w:tr>
      <w:tr>
        <w:tc>
          <w:tcPr>
            <w:tcW w:type="dxa" w:w="4158"/>
          </w:tcPr>
          <w:p>
            <w:pPr>
              <w:spacing w:after="40"/>
            </w:pPr>
            <w:r>
              <w:rPr>
                <w:sz w:val="17"/>
              </w:rPr>
            </w:r>
            <w:r>
              <w:rPr>
                <w:rFonts w:ascii="IBM Plex Sans" w:hAnsi="IBM Plex Sans" w:cs="IBM Plex Sans"/>
                <w:b w:val="0"/>
                <w:i w:val="0"/>
                <w:color w:val="161412"/>
                <w:sz w:val="17"/>
              </w:rPr>
              <w:t>usar info como intent</w:t>
            </w:r>
          </w:p>
        </w:tc>
        <w:tc>
          <w:tcPr>
            <w:tcW w:type="dxa" w:w="4158"/>
          </w:tcPr>
          <w:p>
            <w:pPr>
              <w:spacing w:after="40"/>
            </w:pPr>
            <w:r>
              <w:rPr>
                <w:sz w:val="17"/>
              </w:rPr>
            </w:r>
            <w:r>
              <w:rPr>
                <w:rFonts w:ascii="IBM Plex Sans" w:hAnsi="IBM Plex Sans" w:cs="IBM Plex Sans"/>
                <w:b w:val="0"/>
                <w:i w:val="0"/>
                <w:color w:val="161412"/>
                <w:sz w:val="17"/>
              </w:rPr>
              <w:t>oculta la diferencia entre saliencia y evaluación</w:t>
            </w:r>
          </w:p>
        </w:tc>
      </w:tr>
    </w:tbl>
    <w:p>
      <w:pPr>
        <w:spacing w:before="320" w:after="40"/>
      </w:pPr>
      <w:r>
        <w:rPr>
          <w:rFonts w:ascii="IBM Plex Sans" w:hAnsi="IBM Plex Sans" w:cs="IBM Plex Sans"/>
          <w:b/>
          <w:color w:val="1F3A5F"/>
          <w:sz w:val="18"/>
        </w:rPr>
        <w:t xml:space="preserve">§ 13</w:t>
      </w:r>
    </w:p>
    <w:p>
      <w:pPr>
        <w:spacing w:after="160" w:line="240" w:lineRule="auto"/>
      </w:pPr>
      <w:r>
        <w:rPr>
          <w:rFonts w:ascii="Newsreader" w:hAnsi="Newsreader" w:cs="Newsreader"/>
          <w:color w:val="161412"/>
          <w:sz w:val="38"/>
        </w:rPr>
        <w:t xml:space="preserve">Ejemplo narrativo</w:t>
      </w:r>
    </w:p>
    <w:p>
      <w:pPr>
        <w:spacing w:after="120" w:line="320" w:lineRule="auto"/>
        <w:jc w:val="both"/>
      </w:pPr>
      <w:r>
        <w:rPr>
          <w:rFonts w:ascii="Newsreader" w:hAnsi="Newsreader" w:cs="Newsreader"/>
          <w:b w:val="0"/>
          <w:i w:val="0"/>
          <w:color w:val="161412"/>
        </w:rPr>
        <w:t xml:space="preserve">Cuatro momentos de un mismo producto muestran las regiones en acción. Un autoguardado es commit.save + affirm: valencia positiva, baja activación. Un envío completado es commit.submit + fulfill: valencia positiva, activación media-alta. La advertencia previa a una eliminación es signal.warn + threat: valencia negativa, alta activación, antes de la consecuencia. Y la eliminación consumada es commit.delete + loss: valencia negativa, menor activación, después de la consecuencia.</w:t>
      </w:r>
    </w:p>
    <w:p>
      <w:pPr>
        <w:spacing w:before="320" w:after="40"/>
      </w:pPr>
      <w:r>
        <w:rPr>
          <w:rFonts w:ascii="IBM Plex Sans" w:hAnsi="IBM Plex Sans" w:cs="IBM Plex Sans"/>
          <w:b/>
          <w:color w:val="1F3A5F"/>
          <w:sz w:val="18"/>
        </w:rPr>
        <w:t xml:space="preserve">§ 14</w:t>
      </w:r>
    </w:p>
    <w:p>
      <w:pPr>
        <w:spacing w:after="160" w:line="240" w:lineRule="auto"/>
      </w:pPr>
      <w:r>
        <w:rPr>
          <w:rFonts w:ascii="Newsreader" w:hAnsi="Newsreader" w:cs="Newsreader"/>
          <w:color w:val="161412"/>
          <w:sz w:val="38"/>
        </w:rPr>
        <w:t xml:space="preserve">Principios</w:t>
      </w:r>
    </w:p>
    <w:p>
      <w:pPr>
        <w:spacing w:after="120" w:line="320" w:lineRule="auto"/>
        <w:jc w:val="both"/>
      </w:pPr>
      <w:r>
        <w:rPr>
          <w:rFonts w:ascii="Newsreader" w:hAnsi="Newsreader" w:cs="Newsreader"/>
          <w:b w:val="0"/>
          <w:i w:val="0"/>
          <w:color w:val="161412"/>
        </w:rPr>
        <w:t xml:space="preserve">Tres principios condensan el capítulo. El intent pertenece al evento, no al componente. El intent modula el plano evaluable, no el estructural. Y el intent se deriva de la evaluación del evento en el espacio valencia/activación, no del color con que se represente.</w:t>
      </w:r>
    </w:p>
    <w:p>
      <w:pPr>
        <w:spacing w:before="320" w:after="40"/>
      </w:pPr>
      <w:r>
        <w:rPr>
          <w:rFonts w:ascii="IBM Plex Sans" w:hAnsi="IBM Plex Sans" w:cs="IBM Plex Sans"/>
          <w:b/>
          <w:color w:val="1F3A5F"/>
          <w:sz w:val="18"/>
        </w:rPr>
        <w:t xml:space="preserve">§ 15</w:t>
      </w:r>
    </w:p>
    <w:p>
      <w:pPr>
        <w:spacing w:after="160" w:line="240" w:lineRule="auto"/>
      </w:pPr>
      <w:r>
        <w:rPr>
          <w:rFonts w:ascii="Newsreader" w:hAnsi="Newsreader" w:cs="Newsreader"/>
          <w:color w:val="161412"/>
          <w:sz w:val="38"/>
        </w:rPr>
        <w:t xml:space="preserve">Síntesis</w:t>
      </w:r>
    </w:p>
    <w:p>
      <w:pPr>
        <w:spacing w:after="120" w:line="320" w:lineRule="auto"/>
        <w:jc w:val="both"/>
      </w:pPr>
      <w:r>
        <w:rPr>
          <w:rFonts w:ascii="Newsreader" w:hAnsi="Newsreader" w:cs="Newsreader"/>
          <w:b w:val="0"/>
          <w:i w:val="0"/>
          <w:color w:val="161412"/>
        </w:rPr>
        <w:t xml:space="preserve">Con este capítulo, el sistema de intents deja de ser una variación cromática y pasa a funcionar como capa evaluativa del evento. A partir de ahora, color, motion, sonido, forma, presencia, háptica y tiempo no definirán el intent: lo expresarán.</w:t>
      </w:r>
    </w:p>
    <w:p>
      <w:pPr>
        <w:spacing w:before="240" w:after="100"/>
      </w:pPr>
      <w:r>
        <w:rPr>
          <w:rFonts w:ascii="Newsreader" w:hAnsi="Newsreader" w:cs="Newsreader"/>
          <w:i/>
          <w:color w:val="1F3A5F"/>
          <w:sz w:val="28"/>
        </w:rPr>
        <w:t xml:space="preserve">Cierre de la Parte I</w:t>
      </w:r>
    </w:p>
    <w:p>
      <w:pPr>
        <w:spacing w:after="120" w:line="320" w:lineRule="auto"/>
        <w:jc w:val="both"/>
      </w:pPr>
      <w:r>
        <w:rPr>
          <w:rFonts w:ascii="Newsreader" w:hAnsi="Newsreader" w:cs="Newsreader"/>
          <w:b w:val="0"/>
          <w:i w:val="0"/>
          <w:color w:val="161412"/>
        </w:rPr>
        <w:t xml:space="preserve">Con este capítulo se cierra la Parte I. Empezamos redefiniendo la interfaz como la dimensión perceptible de un contexto operativo, y terminamos con un sistema mínimo de piezas: el evento como unidad de cambio, la gramática como forma de organizarlo, la interacción semántica como su unidad de lenguaje, las ocho familias como sus clases perceptivas y los seis intents como su plano evaluativo.</w:t>
      </w:r>
    </w:p>
    <w:p>
      <w:pPr>
        <w:spacing w:after="120" w:line="320" w:lineRule="auto"/>
        <w:jc w:val="both"/>
      </w:pPr>
      <w:r>
        <w:rPr>
          <w:rFonts w:ascii="Newsreader" w:hAnsi="Newsreader" w:cs="Newsreader"/>
          <w:b w:val="0"/>
          <w:i w:val="0"/>
          <w:color w:val="161412"/>
        </w:rPr>
        <w:t xml:space="preserve">Nada de eso dice todavía cómo se percibe un evento concreto. Esa es la tarea de la Parte II: recorrer los canales por los que un evento se vuelve sensible —tiempo, motion, presencia, forma, color, sonido, háptica— y aprender a coordinarlos para que digan una sola cosa.</w:t>
      </w:r>
    </w:p>
    <w:p>
      <w:r>
        <w:br w:type="page"/>
      </w:r>
    </w:p>
    <w:p>
      <w:pPr>
        <w:spacing w:before="1800" w:after="120"/>
      </w:pPr>
      <w:r>
        <w:rPr>
          <w:rFonts w:ascii="IBM Plex Sans" w:hAnsi="IBM Plex Sans" w:cs="IBM Plex Sans"/>
          <w:b/>
          <w:color w:val="1F3A5F"/>
          <w:sz w:val="18"/>
        </w:rPr>
        <w:t xml:space="preserve">PARTE II</w:t>
      </w:r>
    </w:p>
    <w:p>
      <w:pPr>
        <w:spacing w:after="80" w:line="240" w:lineRule="auto"/>
      </w:pPr>
      <w:r>
        <w:rPr>
          <w:rFonts w:ascii="IBM Plex Sans" w:hAnsi="IBM Plex Sans" w:cs="IBM Plex Sans"/>
          <w:color w:val="1F3A5F"/>
          <w:sz w:val="220"/>
        </w:rPr>
        <w:t>II</w:t>
      </w:r>
    </w:p>
    <w:p>
      <w:pPr>
        <w:spacing w:after="60" w:line="240" w:lineRule="auto"/>
      </w:pPr>
      <w:r>
        <w:rPr>
          <w:rFonts w:ascii="Newsreader" w:hAnsi="Newsreader" w:cs="Newsreader"/>
          <w:color w:val="161412"/>
          <w:sz w:val="72"/>
        </w:rPr>
        <w:t>Canales</w:t>
      </w:r>
    </w:p>
    <w:p>
      <w:pPr>
        <w:spacing w:after="200"/>
      </w:pPr>
      <w:r>
        <w:rPr>
          <w:rFonts w:ascii="Newsreader" w:hAnsi="Newsreader" w:cs="Newsreader"/>
          <w:i/>
          <w:color w:val="6A635A"/>
          <w:sz w:val="30"/>
        </w:rPr>
        <w:t>Channels</w:t>
      </w:r>
    </w:p>
    <w:p>
      <w:pPr>
        <w:spacing w:after="120" w:line="320" w:lineRule="auto"/>
      </w:pPr>
      <w:r>
        <w:rPr>
          <w:rFonts w:ascii="Newsreader" w:hAnsi="Newsreader" w:cs="Newsreader"/>
          <w:color w:val="161412"/>
          <w:sz w:val="26"/>
        </w:rPr>
        <w:t>Por dónde se vuelve sensible un evento: tiempo, motion, presencia, forma, color, sonido y háptica; su accesibilidad y su coordinación.</w:t>
      </w:r>
    </w:p>
    <w:p>
      <w:r>
        <w:br w:type="page"/>
      </w:r>
    </w:p>
    <w:p>
      <w:pPr>
        <w:spacing w:after="40"/>
      </w:pPr>
      <w:r>
        <w:rPr>
          <w:rFonts w:ascii="IBM Plex Sans" w:hAnsi="IBM Plex Sans" w:cs="IBM Plex Sans"/>
          <w:b/>
          <w:color w:val="1F3A5F"/>
          <w:sz w:val="18"/>
        </w:rPr>
        <w:t>CAPÍTULO 11</w:t>
      </w:r>
    </w:p>
    <w:p>
      <w:pPr>
        <w:spacing w:after="80" w:line="240" w:lineRule="auto"/>
      </w:pPr>
      <w:r>
        <w:rPr>
          <w:rFonts w:ascii="IBM Plex Sans" w:hAnsi="IBM Plex Sans" w:cs="IBM Plex Sans"/>
          <w:color w:val="161412"/>
          <w:sz w:val="220"/>
        </w:rPr>
        <w:t>11</w:t>
      </w:r>
    </w:p>
    <w:p>
      <w:pPr>
        <w:spacing w:after="60" w:line="240" w:lineRule="auto"/>
      </w:pPr>
      <w:r>
        <w:rPr>
          <w:rFonts w:ascii="Newsreader" w:hAnsi="Newsreader" w:cs="Newsreader"/>
          <w:color w:val="161412"/>
          <w:sz w:val="60"/>
        </w:rPr>
        <w:t xml:space="preserve">Los canales de expresión del evento</w:t>
      </w:r>
    </w:p>
    <w:p>
      <w:pPr>
        <w:spacing w:after="280"/>
      </w:pPr>
      <w:r>
        <w:rPr>
          <w:rFonts w:ascii="IBM Plex Sans" w:hAnsi="IBM Plex Sans" w:cs="IBM Plex Sans"/>
          <w:color w:val="6A635A"/>
          <w:sz w:val="26"/>
        </w:rPr>
        <w:t>Por dónde se vuelve sensible un evento</w:t>
      </w:r>
    </w:p>
    <w:p>
      <w:pPr>
        <w:pBdr>
          <w:bottom w:val="single" w:sz="4" w:space="4" w:color="1F3A5F"/>
        </w:pBdr>
      </w:pP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¿Por dónde llega un evento al usuario, y qué papel juega cada canal en su lectura?</w:t>
      </w:r>
    </w:p>
    <w:p>
      <w:pPr>
        <w:spacing w:after="120" w:line="320" w:lineRule="auto"/>
        <w:jc w:val="both"/>
      </w:pPr>
      <w:r>
        <w:rPr>
          <w:rFonts w:ascii="Newsreader" w:hAnsi="Newsreader" w:cs="Newsreader"/>
          <w:b w:val="0"/>
          <w:i w:val="0"/>
          <w:color w:val="161412"/>
        </w:rPr>
        <w:t xml:space="preserve">El usuario acaba de guardar un documento. ¿Cómo lo sabe? Quizá apareció un instante un texto —«Guardado»—, o un icono cambió de color, o algo se asentó con un leve rebote, o sonó un clic discreto, o el teléfono devolvió un pulso breve bajo el dedo. El evento era el mismo —algo quedó fijado—, pero podía tomar cuerpo de maneras muy distintas. Ninguna de ellas es el evento: todas son vías por las que el evento se vuelve perceptible.</w:t>
      </w:r>
    </w:p>
    <w:p>
      <w:pPr>
        <w:spacing w:after="120" w:line="320" w:lineRule="auto"/>
        <w:jc w:val="both"/>
      </w:pPr>
      <w:r>
        <w:rPr>
          <w:rFonts w:ascii="Newsreader" w:hAnsi="Newsreader" w:cs="Newsreader"/>
          <w:b w:val="0"/>
          <w:i w:val="0"/>
          <w:color w:val="161412"/>
        </w:rPr>
        <w:t xml:space="preserve">Hasta aquí hemos hablado de eventos. Hemos definido la interfaz como la dimensión perceptible de un contexto operativo, y hemos explicado que el usuario no percibe solo componentes, sino transformaciones: algo responde, algo se fija, algo aparece, algo reclama atención, algo se pierde, algo continúa, algo cambia de marco. Hemos llamado evento a cada uno de esos cambios con significado operativo: los que alteran lo que el usuario puede hacer, atender o interpretar.</w:t>
      </w:r>
    </w:p>
    <w:p>
      <w:pPr>
        <w:spacing w:after="120" w:line="320" w:lineRule="auto"/>
        <w:jc w:val="both"/>
      </w:pPr>
      <w:r>
        <w:rPr>
          <w:rFonts w:ascii="Newsreader" w:hAnsi="Newsreader" w:cs="Newsreader"/>
          <w:b w:val="0"/>
          <w:i w:val="0"/>
          <w:color w:val="161412"/>
        </w:rPr>
        <w:t xml:space="preserve">Pero un evento no se percibe en abstracto. Para que exista en la experiencia del usuario, debe tomar cuerpo en algún canal: debe durar, moverse, aparecer, sonar, cambiar de color, ocupar un plano, modificar una forma, dejar una marca, producir contacto o retirarse. A esa materia sensible la llamaremos canales de expresión de la interfaz.</w:t>
      </w:r>
    </w:p>
    <w:p>
      <w:pPr>
        <w:spacing w:after="120" w:line="320" w:lineRule="auto"/>
        <w:jc w:val="both"/>
      </w:pPr>
      <w:r>
        <w:rPr>
          <w:rFonts w:ascii="Newsreader" w:hAnsi="Newsreader" w:cs="Newsreader"/>
          <w:b w:val="0"/>
          <w:i w:val="0"/>
          <w:color w:val="161412"/>
        </w:rPr>
        <w:t xml:space="preserve">Un canal de expresión no es una propiedad técnica. No es opacity, transform, box-shadow, background-color, AudioContext o vibration API: esas son herramientas. El canal es lo que el usuario percibe a través de ellas. El desarrollador escribe transform: scale(.97), pero el usuario no percibe «un transform»: percibe que el botón cede brevemente a su acción. El desarrollador escribe box-shadow, pero el usuario percibe elevación, plano, separación o prioridad. El desarrollador dispara un sonido breve, pero el usuario percibe confirmación, aviso, cierre, amenaza o recompensa.</w:t>
      </w:r>
    </w:p>
    <w:p>
      <w:pPr>
        <w:spacing w:after="120" w:line="320" w:lineRule="auto"/>
        <w:jc w:val="both"/>
      </w:pPr>
      <w:r>
        <w:rPr>
          <w:rFonts w:ascii="Newsreader" w:hAnsi="Newsreader" w:cs="Newsreader"/>
          <w:b w:val="0"/>
          <w:i w:val="0"/>
          <w:color w:val="161412"/>
        </w:rPr>
        <w:t xml:space="preserve">El problema de muchas interfaces no es que carezcan de efectos. Es que esos efectos no están organizados como canales de significado.</w:t>
      </w:r>
    </w:p>
    <w:p>
      <w:pPr>
        <w:spacing w:before="240" w:after="100"/>
      </w:pPr>
      <w:r>
        <w:rPr>
          <w:rFonts w:ascii="Newsreader" w:hAnsi="Newsreader" w:cs="Newsreader"/>
          <w:i/>
          <w:color w:val="1F3A5F"/>
          <w:sz w:val="28"/>
        </w:rPr>
        <w:t xml:space="preserve">El mapa completo: del evento a la lectura perceptiva</w:t>
      </w:r>
    </w:p>
    <w:p>
      <w:pPr>
        <w:spacing w:before="200" w:after="60"/>
        <w:jc w:val="center"/>
      </w:pPr>
      <w:r>
        <w:drawing>
          <wp:inline xmlns:a="http://schemas.openxmlformats.org/drawingml/2006/main" xmlns:pic="http://schemas.openxmlformats.org/drawingml/2006/picture">
            <wp:extent cx="5029200" cy="3143250"/>
            <wp:docPr id="61" name="Picture 61"/>
            <wp:cNvGraphicFramePr>
              <a:graphicFrameLocks noChangeAspect="1"/>
            </wp:cNvGraphicFramePr>
            <a:graphic>
              <a:graphicData uri="http://schemas.openxmlformats.org/drawingml/2006/picture">
                <pic:pic>
                  <pic:nvPicPr>
                    <pic:cNvPr id="0" name="figura-11-1.png"/>
                    <pic:cNvPicPr/>
                  </pic:nvPicPr>
                  <pic:blipFill>
                    <a:blip r:embed="rId69"/>
                    <a:stretch>
                      <a:fillRect/>
                    </a:stretch>
                  </pic:blipFill>
                  <pic:spPr>
                    <a:xfrm>
                      <a:off x="0" y="0"/>
                      <a:ext cx="5029200" cy="3143250"/>
                    </a:xfrm>
                    <a:prstGeom prst="rect"/>
                  </pic:spPr>
                </pic:pic>
              </a:graphicData>
            </a:graphic>
          </wp:inline>
        </w:drawing>
      </w:r>
    </w:p>
    <w:p>
      <w:pPr>
        <w:spacing w:after="120" w:line="320" w:lineRule="auto"/>
        <w:jc w:val="both"/>
      </w:pPr>
      <w:r>
        <w:rPr>
          <w:rFonts w:ascii="Newsreader" w:hAnsi="Newsreader" w:cs="Newsreader"/>
          <w:b w:val="0"/>
          <w:i w:val="0"/>
          <w:color w:val="161412"/>
        </w:rPr>
        <w:t xml:space="preserve">Antes de entrar canal por canal conviene situar la arquitectura completa del sistema. La gramática que este libro propone no empieza en los canales —no empieza en el color, ni en motion, ni en sonido—: empieza en el evento. Un evento ocurre dentro de un contexto operativo; pertenece a una familia semántica; puede concretarse mediante un verbo o una fase; si es evaluable, puede recibir un intent; y solo entonces se materializa mediante canales de expresión.</w:t>
      </w:r>
    </w:p>
    <w:p>
      <w:pPr>
        <w:spacing w:after="120" w:line="320" w:lineRule="auto"/>
        <w:jc w:val="both"/>
      </w:pPr>
      <w:r>
        <w:rPr>
          <w:rFonts w:ascii="Newsreader" w:hAnsi="Newsreader" w:cs="Newsreader"/>
          <w:b w:val="0"/>
          <w:i w:val="0"/>
          <w:color w:val="161412"/>
        </w:rPr>
        <w:t xml:space="preserve">La secuencia completa es: evento → familia semántica → verbo / fase → evaluación si procede → intent → canales de expresión → lectura unificada.</w:t>
      </w:r>
    </w:p>
    <w:p>
      <w:pPr>
        <w:spacing w:after="120" w:line="320" w:lineRule="auto"/>
        <w:jc w:val="both"/>
      </w:pPr>
      <w:r>
        <w:rPr>
          <w:rFonts w:ascii="Newsreader" w:hAnsi="Newsreader" w:cs="Newsreader"/>
          <w:b w:val="0"/>
          <w:i w:val="0"/>
          <w:color w:val="161412"/>
        </w:rPr>
        <w:t xml:space="preserve">Tres ejemplos muestran la cadena entera. Un commit.complete + fulfill se materializa en motion resolutivo, sonido breve ascendente, color positivo y marca persistente, y se lee «objetivo cumplido». Un signal.warn + risk toma forma de callout con color de advertencia moderada, icono y texto persistente, y se lee «revisa esto». Un contact.press pide baja latencia, estado pressed, micro motion opcional y háptica opcional, y se lee «el sistema ha sentido mi acción».</w:t>
      </w:r>
    </w:p>
    <w:p>
      <w:pPr>
        <w:spacing w:after="120" w:line="320" w:lineRule="auto"/>
        <w:jc w:val="both"/>
      </w:pPr>
      <w:r>
        <w:rPr>
          <w:rFonts w:ascii="Newsreader" w:hAnsi="Newsreader" w:cs="Newsreader"/>
          <w:b w:val="0"/>
          <w:i w:val="0"/>
          <w:color w:val="161412"/>
        </w:rPr>
        <w:t xml:space="preserve">Esta secuencia evita un error frecuente: empezar por el efecto. Si empezamos por el efecto, preguntamos qué animación queda bien aquí; si empezamos por el canal, qué sonido usamos; si empezamos por el color, si esto va en rojo, verde o amarillo. Pero la pregunta correcta es anterior —¿qué evento necesita percibir el usuario?— y solo después podemos decidir por qué canales conviene expresarlo.</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Los canales no se coordinan entre sí en abstracto. Se coordinan alrededor de un evento: primero se identifica el evento, después se decide qué canales lo vuelven perceptibles.</w:t>
      </w:r>
    </w:p>
    <w:p>
      <w:pPr>
        <w:spacing w:before="320" w:after="40"/>
      </w:pPr>
      <w:r>
        <w:rPr>
          <w:rFonts w:ascii="IBM Plex Sans" w:hAnsi="IBM Plex Sans" w:cs="IBM Plex Sans"/>
          <w:b/>
          <w:color w:val="1F3A5F"/>
          <w:sz w:val="18"/>
        </w:rPr>
        <w:t xml:space="preserve">§ 1</w:t>
      </w:r>
    </w:p>
    <w:p>
      <w:pPr>
        <w:spacing w:after="160" w:line="240" w:lineRule="auto"/>
      </w:pPr>
      <w:r>
        <w:rPr>
          <w:rFonts w:ascii="Newsreader" w:hAnsi="Newsreader" w:cs="Newsreader"/>
          <w:color w:val="161412"/>
          <w:sz w:val="38"/>
        </w:rPr>
        <w:t xml:space="preserve">Por qué hablar de canales</w:t>
      </w:r>
    </w:p>
    <w:p>
      <w:pPr>
        <w:spacing w:after="120" w:line="320" w:lineRule="auto"/>
        <w:jc w:val="both"/>
      </w:pPr>
      <w:r>
        <w:rPr>
          <w:rFonts w:ascii="Newsreader" w:hAnsi="Newsreader" w:cs="Newsreader"/>
          <w:b w:val="0"/>
          <w:i w:val="0"/>
          <w:color w:val="161412"/>
        </w:rPr>
        <w:t xml:space="preserve">Durante mucho tiempo hemos tratado la interfaz como si tuviera una división simple —visual, auditivo, háptico— y dentro de «visual» hemos metido casi todo: color, forma, layout, sombra, movimiento, aparición, profundidad, iconografía, estado, foco, contraste. Pero esa agrupación es demasiado gruesa. Un cambio de color no comunica lo mismo que un desplazamiento, ni una sombra lo mismo que un borde, ni una aparición lo mismo que un temblor, ni una transición lenta lo mismo que una respuesta instantánea. Todo puede entrar por la vista, pero no todo pertenece al mismo canal de expresión.</w:t>
      </w:r>
    </w:p>
    <w:p>
      <w:pPr>
        <w:spacing w:after="120" w:line="320" w:lineRule="auto"/>
        <w:jc w:val="both"/>
      </w:pPr>
      <w:r>
        <w:rPr>
          <w:rFonts w:ascii="Newsreader" w:hAnsi="Newsreader" w:cs="Newsreader"/>
          <w:b w:val="0"/>
          <w:i w:val="0"/>
          <w:color w:val="161412"/>
        </w:rPr>
        <w:t xml:space="preserve">Cada canal, de hecho, tiende a transportar significados propios. El tiempo comunica inmediatez, espera, continuidad, persistencia o resolución. Motion comunica causalidad, trayectoria, energía, masa y cambio. La presencia comunica aparición, retirada, disponibilidad o desaparición, y la profundidad, plano, jerarquía, elevación, subordinación o régimen operativo. La forma comunica límite, affordance, contorno, agrupación, iconografía y estabilidad. El color comunica saliencia, estado, valencia y refuerzo, pero no debería cargar solo con todo el significado. El sonido comunica urgencia, cierre, confirmación, alarma, pérdida o recompensa con una velocidad que el canal visual no siempre alcanza. Y la háptica comunica contacto, impacto, resistencia, fricción y encaje, aunque su disponibilidad dependa mucho del dispositivo y, en la web, siga siendo limitada.</w:t>
      </w:r>
    </w:p>
    <w:p>
      <w:pPr>
        <w:spacing w:before="320" w:after="40"/>
      </w:pPr>
      <w:r>
        <w:rPr>
          <w:rFonts w:ascii="IBM Plex Sans" w:hAnsi="IBM Plex Sans" w:cs="IBM Plex Sans"/>
          <w:b/>
          <w:color w:val="1F3A5F"/>
          <w:sz w:val="18"/>
        </w:rPr>
        <w:t xml:space="preserve">§ 2</w:t>
      </w:r>
    </w:p>
    <w:p>
      <w:pPr>
        <w:spacing w:after="160" w:line="240" w:lineRule="auto"/>
      </w:pPr>
      <w:r>
        <w:rPr>
          <w:rFonts w:ascii="Newsreader" w:hAnsi="Newsreader" w:cs="Newsreader"/>
          <w:color w:val="161412"/>
          <w:sz w:val="38"/>
        </w:rPr>
        <w:t xml:space="preserve">Fundamento psicoperceptivo: por qué no basta con decir «visual»</w:t>
      </w:r>
    </w:p>
    <w:p>
      <w:pPr>
        <w:spacing w:after="120" w:line="320" w:lineRule="auto"/>
        <w:jc w:val="both"/>
      </w:pPr>
      <w:r>
        <w:rPr>
          <w:rFonts w:ascii="Newsreader" w:hAnsi="Newsreader" w:cs="Newsreader"/>
          <w:b w:val="0"/>
          <w:i w:val="0"/>
          <w:color w:val="161412"/>
        </w:rPr>
        <w:t xml:space="preserve">La separación entre canales no nace de una ocurrencia terminológica. Nace de una observación básica: la percepción humana no procesa todas las señales de una interfaz como si fueran una sola materia uniforme. Incluso dentro de lo que solemos llamar visual hay dimensiones perceptivas distintas: el color no comunica lo mismo que la forma, la forma no comunica lo mismo que la profundidad, la profundidad no comunica lo mismo que el movimiento. Todas pueden llegar por la vista, pero no cumplen la misma función cognitiva.</w:t>
      </w:r>
    </w:p>
    <w:p>
      <w:pPr>
        <w:spacing w:after="120" w:line="320" w:lineRule="auto"/>
        <w:jc w:val="both"/>
      </w:pPr>
      <w:r>
        <w:rPr>
          <w:rFonts w:ascii="Newsreader" w:hAnsi="Newsreader" w:cs="Newsreader"/>
          <w:b w:val="0"/>
          <w:i w:val="0"/>
          <w:color w:val="161412"/>
        </w:rPr>
        <w:t xml:space="preserve">La psicología Gestalt mostró que la percepción organiza el campo visual según principios como proximidad, semejanza, continuidad, cierre, región común, figura/fondo y destino común. Esto ayuda a explicar por qué una interfaz no se percibe como una lista de elementos, sino como un campo organizado de relaciones.</w:t>
      </w:r>
    </w:p>
    <w:p>
      <w:pPr>
        <w:spacing w:after="120" w:line="320" w:lineRule="auto"/>
        <w:jc w:val="both"/>
      </w:pPr>
      <w:r>
        <w:rPr>
          <w:rFonts w:ascii="Newsreader" w:hAnsi="Newsreader" w:cs="Newsreader"/>
          <w:b w:val="0"/>
          <w:i w:val="0"/>
          <w:color w:val="161412"/>
        </w:rPr>
        <w:t xml:space="preserve">La teoría de affordances añade otra dimensión: no percibimos solo propiedades visibles, sino posibilidades de acción. Un botón no es solo una forma rectangular; es algo que ofrece ser presionado. Un objeto elevado no es solo un objeto con sombra; puede sugerir manipulación. Un campo con borde activo no es solo un contorno; indica disponibilidad de entrada.</w:t>
      </w:r>
    </w:p>
    <w:p>
      <w:pPr>
        <w:spacing w:after="120" w:line="320" w:lineRule="auto"/>
        <w:jc w:val="both"/>
      </w:pPr>
      <w:r>
        <w:rPr>
          <w:rFonts w:ascii="Newsreader" w:hAnsi="Newsreader" w:cs="Newsreader"/>
          <w:b w:val="0"/>
          <w:i w:val="0"/>
          <w:color w:val="161412"/>
        </w:rPr>
        <w:t xml:space="preserve">La atención introduce un tercer plano. Algunas señales orientan, otras interrumpen, otras sostienen y otras fatigan. Por eso no basta con decir que algo «se ve»: hay que preguntar qué demanda atencional genera.</w:t>
      </w:r>
    </w:p>
    <w:p>
      <w:pPr>
        <w:spacing w:after="120" w:line="320" w:lineRule="auto"/>
        <w:jc w:val="both"/>
      </w:pPr>
      <w:r>
        <w:rPr>
          <w:rFonts w:ascii="Newsreader" w:hAnsi="Newsreader" w:cs="Newsreader"/>
          <w:b w:val="0"/>
          <w:i w:val="0"/>
          <w:color w:val="161412"/>
        </w:rPr>
        <w:t xml:space="preserve">La integración multisensorial añade todavía otra capa. Cuando motion, sonido, háptica y color ocurren de manera temporal y semánticamente congruente, el usuario puede percibirlos como un único evento. Cuando se desacoplan, los percibe como señales separadas o incluso contradictorias.</w:t>
      </w:r>
    </w:p>
    <w:p>
      <w:pPr>
        <w:spacing w:after="120" w:line="320" w:lineRule="auto"/>
        <w:jc w:val="both"/>
      </w:pPr>
      <w:r>
        <w:rPr>
          <w:rFonts w:ascii="Newsreader" w:hAnsi="Newsreader" w:cs="Newsreader"/>
          <w:b w:val="0"/>
          <w:i w:val="0"/>
          <w:color w:val="161412"/>
        </w:rPr>
        <w:t xml:space="preserve">Por eso este libro distingue canales de expresión. No porque cada canal tenga fronteras absolutas, sino porque cada uno tiende a transportar tipos distintos de significado.</w:t>
      </w:r>
    </w:p>
    <w:p>
      <w:pPr>
        <w:spacing w:before="320" w:after="40"/>
      </w:pPr>
      <w:r>
        <w:rPr>
          <w:rFonts w:ascii="IBM Plex Sans" w:hAnsi="IBM Plex Sans" w:cs="IBM Plex Sans"/>
          <w:b/>
          <w:color w:val="1F3A5F"/>
          <w:sz w:val="18"/>
        </w:rPr>
        <w:t xml:space="preserve">§ 3</w:t>
      </w:r>
    </w:p>
    <w:p>
      <w:pPr>
        <w:spacing w:after="160" w:line="240" w:lineRule="auto"/>
      </w:pPr>
      <w:r>
        <w:rPr>
          <w:rFonts w:ascii="Newsreader" w:hAnsi="Newsreader" w:cs="Newsreader"/>
          <w:color w:val="161412"/>
          <w:sz w:val="38"/>
        </w:rPr>
        <w:t xml:space="preserve">Propiedad técnica y canal de expresión</w:t>
      </w:r>
    </w:p>
    <w:p>
      <w:pPr>
        <w:spacing w:after="120" w:line="320" w:lineRule="auto"/>
        <w:jc w:val="both"/>
      </w:pPr>
      <w:r>
        <w:rPr>
          <w:rFonts w:ascii="Newsreader" w:hAnsi="Newsreader" w:cs="Newsreader"/>
          <w:b w:val="0"/>
          <w:i w:val="0"/>
          <w:color w:val="161412"/>
        </w:rPr>
        <w:t xml:space="preserve">Una misma propiedad técnica puede participar en varios canales:</w:t>
      </w:r>
    </w:p>
    <w:p>
      <w:pPr>
        <w:spacing w:after="100" w:line="312" w:lineRule="auto"/>
        <w:ind w:left="403" w:hanging="259"/>
        <w:jc w:val="both"/>
      </w:pPr>
      <w:r>
        <w:rPr>
          <w:rFonts w:ascii="IBM Plex Sans" w:hAnsi="IBM Plex Sans" w:cs="IBM Plex Sans"/>
          <w:b/>
          <w:color w:val="1F3A5F"/>
          <w:sz w:val="20"/>
        </w:rPr>
        <w:t xml:space="preserve">•  opacity puede comunicar aparición, retirada, debilitamiento, indisponibilidad o subordinación del fondo;</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scale puede comunicar contacto, profundidad, énfasis, celebración o manipulación;</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box-shadow puede comunicar profundidad, elevación, foco, manipulación o cambio de plano;</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el color puede comunicar estado, categoría, saliencia, valencia o marca;</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el sonido puede comunicar contacto, alerta, cierre, pérdida o logro;</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la vibración puede comunicar contacto, impacto, encaje, rechazo o amenaza corporal.</w:t>
      </w:r>
      <w:r>
        <w:rPr>
          <w:rFonts w:ascii="Newsreader" w:hAnsi="Newsreader" w:cs="Newsreader"/>
          <w:b w:val="0"/>
          <w:i w:val="0"/>
          <w:color w:val="161412"/>
        </w:rPr>
        <w:t xml:space="preserve"/>
      </w:r>
    </w:p>
    <w:p>
      <w:pPr>
        <w:spacing w:after="120" w:line="320" w:lineRule="auto"/>
        <w:jc w:val="both"/>
      </w:pPr>
      <w:r>
        <w:rPr>
          <w:rFonts w:ascii="Newsreader" w:hAnsi="Newsreader" w:cs="Newsreader"/>
          <w:b w:val="0"/>
          <w:i w:val="0"/>
          <w:color w:val="161412"/>
        </w:rPr>
        <w:t xml:space="preserve">Por eso no basta con definir tokens técnicos. Hace falta una capa semántica que pregunte: ¿qué dimensión del evento comunica esta propiedad?</w:t>
      </w:r>
    </w:p>
    <w:p>
      <w:pPr>
        <w:spacing w:before="320" w:after="40"/>
      </w:pPr>
      <w:r>
        <w:rPr>
          <w:rFonts w:ascii="IBM Plex Sans" w:hAnsi="IBM Plex Sans" w:cs="IBM Plex Sans"/>
          <w:b/>
          <w:color w:val="1F3A5F"/>
          <w:sz w:val="18"/>
        </w:rPr>
        <w:t xml:space="preserve">§ 4</w:t>
      </w:r>
    </w:p>
    <w:p>
      <w:pPr>
        <w:spacing w:after="160" w:line="240" w:lineRule="auto"/>
      </w:pPr>
      <w:r>
        <w:rPr>
          <w:rFonts w:ascii="Newsreader" w:hAnsi="Newsreader" w:cs="Newsreader"/>
          <w:color w:val="161412"/>
          <w:sz w:val="38"/>
        </w:rPr>
        <w:t xml:space="preserve">El evento como composición perceptiva</w:t>
      </w:r>
    </w:p>
    <w:p>
      <w:pPr>
        <w:spacing w:after="120" w:line="320" w:lineRule="auto"/>
        <w:jc w:val="both"/>
      </w:pPr>
      <w:r>
        <w:rPr>
          <w:rFonts w:ascii="Newsreader" w:hAnsi="Newsreader" w:cs="Newsreader"/>
          <w:b w:val="0"/>
          <w:i w:val="0"/>
          <w:color w:val="161412"/>
        </w:rPr>
        <w:t xml:space="preserve">Una interacción semántica no se expresa necesariamente por un solo canal. Un contact.press puede combinar tiempo breve, micro motion, estado visual y quizá háptica. Un commit.complete + fulfill puede combinar motion resolutivo, sonido ascendente, color positivo y marca persistente. Un signal.warn + risk puede combinar color moderado, forma de callout, icono, texto y persistencia. Un handle.pick puede combinar profundidad, sombra, motion de elevación, forma de agarre y háptica opcional. Un sustain.progress puede combinar tiempo, presencia persistente, barra, texto de estado y motion suave.</w:t>
      </w:r>
    </w:p>
    <w:p>
      <w:pPr>
        <w:spacing w:after="120" w:line="320" w:lineRule="auto"/>
        <w:jc w:val="both"/>
      </w:pPr>
      <w:r>
        <w:rPr>
          <w:rFonts w:ascii="Newsreader" w:hAnsi="Newsreader" w:cs="Newsreader"/>
          <w:b w:val="0"/>
          <w:i w:val="0"/>
          <w:color w:val="161412"/>
        </w:rPr>
        <w:t xml:space="preserve">Lo importante es que el usuario no perciba esos canales como piezas separadas, sino como una lectura coherente del evento. La gramática no pregunta primero «¿qué animación ponemos?»; pregunta qué evento debe hacerse perceptible y qué canales lo expresan mejor.</w:t>
      </w:r>
    </w:p>
    <w:p>
      <w:pPr>
        <w:spacing w:before="320" w:after="40"/>
      </w:pPr>
      <w:r>
        <w:rPr>
          <w:rFonts w:ascii="IBM Plex Sans" w:hAnsi="IBM Plex Sans" w:cs="IBM Plex Sans"/>
          <w:b/>
          <w:color w:val="1F3A5F"/>
          <w:sz w:val="18"/>
        </w:rPr>
        <w:t xml:space="preserve">§ 5</w:t>
      </w:r>
    </w:p>
    <w:p>
      <w:pPr>
        <w:spacing w:after="160" w:line="240" w:lineRule="auto"/>
      </w:pPr>
      <w:r>
        <w:rPr>
          <w:rFonts w:ascii="Newsreader" w:hAnsi="Newsreader" w:cs="Newsreader"/>
          <w:color w:val="161412"/>
          <w:sz w:val="38"/>
        </w:rPr>
        <w:t xml:space="preserve">La web como campo principal de ejemplos</w:t>
      </w:r>
    </w:p>
    <w:p>
      <w:pPr>
        <w:spacing w:after="120" w:line="320" w:lineRule="auto"/>
        <w:jc w:val="both"/>
      </w:pPr>
      <w:r>
        <w:rPr>
          <w:rFonts w:ascii="Newsreader" w:hAnsi="Newsreader" w:cs="Newsreader"/>
          <w:b w:val="0"/>
          <w:i w:val="0"/>
          <w:color w:val="161412"/>
        </w:rPr>
        <w:t xml:space="preserve">Este libro toma la web como campo principal de observación. No porque la gramática se limite a la web, sino porque en la web la fragmentación de los canales se vuelve especialmente visible. El desarrollador trabaja con DOM, CSS, JavaScript, estados, clases, media queries, eventos técnicos, tokens, componentes, Web Audio API y accesibilidad; cada capa tiene su propia lógica. Y, sin embargo, el usuario no experimenta esas capas por separado.</w:t>
      </w:r>
    </w:p>
    <w:p>
      <w:pPr>
        <w:spacing w:after="120" w:line="320" w:lineRule="auto"/>
        <w:jc w:val="both"/>
      </w:pPr>
      <w:r>
        <w:rPr>
          <w:rFonts w:ascii="Newsreader" w:hAnsi="Newsreader" w:cs="Newsreader"/>
          <w:b w:val="0"/>
          <w:i w:val="0"/>
          <w:color w:val="161412"/>
        </w:rPr>
        <w:t xml:space="preserve">La web también muestra muy bien las asimetrías entre canales:</w:t>
      </w:r>
    </w:p>
    <w:p>
      <w:pPr>
        <w:spacing w:after="100" w:line="312" w:lineRule="auto"/>
        <w:ind w:left="403" w:hanging="259"/>
        <w:jc w:val="both"/>
      </w:pPr>
      <w:r>
        <w:rPr>
          <w:rFonts w:ascii="IBM Plex Sans" w:hAnsi="IBM Plex Sans" w:cs="IBM Plex Sans"/>
          <w:b/>
          <w:color w:val="1F3A5F"/>
          <w:sz w:val="20"/>
        </w:rPr>
        <w:t xml:space="preserve">•  color, forma, presencia y motion están muy disponibles;</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sonido existe, pero está condicionado por políticas del navegador, permisos, contexto de uso y cultura del silencio;</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háptica existe de manera limitada e inconsistente;</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profundidad es simulada, pero perceptivamente poderosa;</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tiempo y latencia dependen de rendimiento, red, dispositivo y sincronización del render.</w:t>
      </w:r>
      <w:r>
        <w:rPr>
          <w:rFonts w:ascii="Newsreader" w:hAnsi="Newsreader" w:cs="Newsreader"/>
          <w:b w:val="0"/>
          <w:i w:val="0"/>
          <w:color w:val="161412"/>
        </w:rPr>
        <w:t xml:space="preserve"/>
      </w:r>
    </w:p>
    <w:p>
      <w:pPr>
        <w:spacing w:after="120" w:line="320" w:lineRule="auto"/>
        <w:jc w:val="both"/>
      </w:pPr>
      <w:r>
        <w:rPr>
          <w:rFonts w:ascii="Newsreader" w:hAnsi="Newsreader" w:cs="Newsreader"/>
          <w:b w:val="0"/>
          <w:i w:val="0"/>
          <w:color w:val="161412"/>
        </w:rPr>
        <w:t xml:space="preserve">La web será nuestro laboratorio principal. No será el límite de la teoría.</w:t>
      </w:r>
    </w:p>
    <w:p>
      <w:pPr>
        <w:spacing w:before="320" w:after="40"/>
      </w:pPr>
      <w:r>
        <w:rPr>
          <w:rFonts w:ascii="IBM Plex Sans" w:hAnsi="IBM Plex Sans" w:cs="IBM Plex Sans"/>
          <w:b/>
          <w:color w:val="1F3A5F"/>
          <w:sz w:val="18"/>
        </w:rPr>
        <w:t xml:space="preserve">§ 6</w:t>
      </w:r>
    </w:p>
    <w:p>
      <w:pPr>
        <w:spacing w:after="160" w:line="240" w:lineRule="auto"/>
      </w:pPr>
      <w:r>
        <w:rPr>
          <w:rFonts w:ascii="Newsreader" w:hAnsi="Newsreader" w:cs="Newsreader"/>
          <w:color w:val="161412"/>
          <w:sz w:val="38"/>
        </w:rPr>
        <w:t xml:space="preserve">Síntesis</w:t>
      </w:r>
    </w:p>
    <w:p>
      <w:pPr>
        <w:spacing w:after="120" w:line="320" w:lineRule="auto"/>
        <w:jc w:val="both"/>
      </w:pPr>
      <w:r>
        <w:rPr>
          <w:rFonts w:ascii="Newsreader" w:hAnsi="Newsreader" w:cs="Newsreader"/>
          <w:b w:val="0"/>
          <w:i w:val="0"/>
          <w:color w:val="161412"/>
        </w:rPr>
        <w:t xml:space="preserve">Un evento necesita hacerse sensible. Los canales de expresión no son efectos decorativos ni propiedades técnicas aisladas: son vías por las que el usuario percibe que algo responde, aparece, se fija, reclama atención, se pierde, continúa o cambia de marco. La tesis del capítulo puede formularse así:</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El evento es la unidad de significado. Los canales son la materia sensible que lo hace perceptible.</w:t>
      </w:r>
    </w:p>
    <w:p>
      <w:r>
        <w:br w:type="page"/>
      </w:r>
    </w:p>
    <w:p>
      <w:pPr>
        <w:spacing w:after="40"/>
      </w:pPr>
      <w:r>
        <w:rPr>
          <w:rFonts w:ascii="IBM Plex Sans" w:hAnsi="IBM Plex Sans" w:cs="IBM Plex Sans"/>
          <w:b/>
          <w:color w:val="1F3A5F"/>
          <w:sz w:val="18"/>
        </w:rPr>
        <w:t>CAPÍTULO 12</w:t>
      </w:r>
    </w:p>
    <w:p>
      <w:pPr>
        <w:spacing w:after="80" w:line="240" w:lineRule="auto"/>
      </w:pPr>
      <w:r>
        <w:rPr>
          <w:rFonts w:ascii="IBM Plex Sans" w:hAnsi="IBM Plex Sans" w:cs="IBM Plex Sans"/>
          <w:color w:val="161412"/>
          <w:sz w:val="220"/>
        </w:rPr>
        <w:t>12</w:t>
      </w:r>
    </w:p>
    <w:p>
      <w:pPr>
        <w:spacing w:after="60" w:line="240" w:lineRule="auto"/>
      </w:pPr>
      <w:r>
        <w:rPr>
          <w:rFonts w:ascii="Newsreader" w:hAnsi="Newsreader" w:cs="Newsreader"/>
          <w:color w:val="161412"/>
          <w:sz w:val="60"/>
        </w:rPr>
        <w:t xml:space="preserve">Tiempo, latencia y sincronía</w:t>
      </w:r>
    </w:p>
    <w:p>
      <w:pPr>
        <w:spacing w:after="280"/>
      </w:pPr>
      <w:r>
        <w:rPr>
          <w:rFonts w:ascii="IBM Plex Sans" w:hAnsi="IBM Plex Sans" w:cs="IBM Plex Sans"/>
          <w:color w:val="6A635A"/>
          <w:sz w:val="26"/>
        </w:rPr>
        <w:t>El canal que atraviesa todos los canales</w:t>
      </w:r>
    </w:p>
    <w:p>
      <w:pPr>
        <w:pBdr>
          <w:bottom w:val="single" w:sz="4" w:space="4" w:color="1F3A5F"/>
        </w:pBdr>
      </w:pP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¿Qué comunica el tiempo de una interfaz antes de que ningún otro canal diga nada?</w:t>
      </w:r>
    </w:p>
    <w:p>
      <w:pPr>
        <w:spacing w:after="120" w:line="320" w:lineRule="auto"/>
        <w:jc w:val="both"/>
      </w:pPr>
      <w:r>
        <w:rPr>
          <w:rFonts w:ascii="Newsreader" w:hAnsi="Newsreader" w:cs="Newsreader"/>
          <w:b w:val="0"/>
          <w:i w:val="0"/>
          <w:color w:val="161412"/>
        </w:rPr>
        <w:t xml:space="preserve">Basta pulsar una tecla y mirar la pantalla. Si la letra aparece antes de una décima de segundo, no se percibe espera alguna: surge bajo el dedo, es del que escribe. Si esa demora se estira hasta cerca de un segundo, todavía se sigue el hilo, pero ya se nota que el sistema responde —no que uno actúa—. Y pasada la decena de segundos, la atención se ha marchado a otra parte: la tarea se rompió. Son umbrales viejos y sorprendentemente estables, porque no dependen de la máquina, sino de la percepción.</w:t>
      </w:r>
    </w:p>
    <w:p>
      <w:pPr>
        <w:spacing w:after="120" w:line="320" w:lineRule="auto"/>
        <w:jc w:val="both"/>
      </w:pPr>
      <w:r>
        <w:rPr>
          <w:rFonts w:ascii="Newsreader" w:hAnsi="Newsreader" w:cs="Newsreader"/>
          <w:b w:val="0"/>
          <w:i w:val="0"/>
          <w:color w:val="161412"/>
        </w:rPr>
        <w:t xml:space="preserve">Antes de que algo se mueva, suene, vibre o cambie de color, ocurre en el tiempo. El tiempo no es una propiedad secundaria de la interfaz: es el canal que organiza la relación entre acción, espera, continuidad, consecuencia y memoria. Una interfaz puede sentirse inmediata, fluida, lenta, rota, viva, bloqueada o concluida según su temporalidad. La misma respuesta, con el mismo color y el mismo componente, cambia de significado si llega demasiado tarde o demasiado pronto.</w:t>
      </w:r>
    </w:p>
    <w:p>
      <w:pPr>
        <w:spacing w:after="120" w:line="320" w:lineRule="auto"/>
        <w:jc w:val="both"/>
      </w:pPr>
      <w:r>
        <w:rPr>
          <w:rFonts w:ascii="Newsreader" w:hAnsi="Newsreader" w:cs="Newsreader"/>
          <w:b w:val="0"/>
          <w:i w:val="0"/>
          <w:color w:val="161412"/>
        </w:rPr>
        <w:t xml:space="preserve">En esta gramática de eventos, el tiempo no es solo duración de animación. Es una forma de significado.</w:t>
      </w:r>
    </w:p>
    <w:p>
      <w:pPr>
        <w:spacing w:before="200" w:after="60"/>
        <w:jc w:val="center"/>
      </w:pPr>
      <w:r>
        <w:drawing>
          <wp:inline xmlns:a="http://schemas.openxmlformats.org/drawingml/2006/main" xmlns:pic="http://schemas.openxmlformats.org/drawingml/2006/picture">
            <wp:extent cx="5029200" cy="2766060"/>
            <wp:docPr id="9001" name="fig12_1"/>
            <wp:cNvGraphicFramePr>
              <a:graphicFrameLocks noChangeAspect="1"/>
            </wp:cNvGraphicFramePr>
            <a:graphic>
              <a:graphicData uri="http://schemas.openxmlformats.org/drawingml/2006/picture">
                <pic:pic>
                  <pic:nvPicPr>
                    <pic:cNvPr id="9001" name="fig12_1"/>
                    <pic:cNvPicPr/>
                  </pic:nvPicPr>
                  <pic:blipFill>
                    <a:blip r:embed="rId900"/>
                    <a:stretch>
                      <a:fillRect/>
                    </a:stretch>
                  </pic:blipFill>
                  <pic:spPr>
                    <a:xfrm>
                      <a:off x="0" y="0"/>
                      <a:ext cx="5029200" cy="2766060"/>
                    </a:xfrm>
                    <a:prstGeom prst="rect"/>
                  </pic:spPr>
                </pic:pic>
              </a:graphicData>
            </a:graphic>
          </wp:inline>
        </w:drawing>
      </w:r>
    </w:p>
    <w:p>
      <w:pPr>
        <w:spacing w:before="320" w:after="40"/>
      </w:pPr>
      <w:r>
        <w:rPr>
          <w:rFonts w:ascii="IBM Plex Sans" w:hAnsi="IBM Plex Sans" w:cs="IBM Plex Sans"/>
          <w:b/>
          <w:color w:val="1F3A5F"/>
          <w:sz w:val="18"/>
        </w:rPr>
        <w:t xml:space="preserve">§ 1</w:t>
      </w:r>
    </w:p>
    <w:p>
      <w:pPr>
        <w:spacing w:after="160" w:line="240" w:lineRule="auto"/>
      </w:pPr>
      <w:r>
        <w:rPr>
          <w:rFonts w:ascii="Newsreader" w:hAnsi="Newsreader" w:cs="Newsreader"/>
          <w:color w:val="161412"/>
          <w:sz w:val="38"/>
        </w:rPr>
        <w:t xml:space="preserve">La dimensión temporal de la interfaz</w:t>
      </w:r>
    </w:p>
    <w:p>
      <w:pPr>
        <w:spacing w:after="120" w:line="320" w:lineRule="auto"/>
        <w:jc w:val="both"/>
      </w:pPr>
      <w:r>
        <w:rPr>
          <w:rFonts w:ascii="Newsreader" w:hAnsi="Newsreader" w:cs="Newsreader"/>
          <w:b w:val="0"/>
          <w:i w:val="0"/>
          <w:color w:val="161412"/>
        </w:rPr>
        <w:t xml:space="preserve">Solemos pensar la interfaz como espacio: una pantalla, una disposición, un layout, una jerarquía. Pero la interacción no ocurre solo en el espacio; ocurre en secuencias. El usuario actúa, el sistema responde, algo empieza, algo continúa, algo se detiene, algo termina, algo queda. Y cada momento tiene significado.</w:t>
      </w:r>
    </w:p>
    <w:p>
      <w:pPr>
        <w:spacing w:after="120" w:line="320" w:lineRule="auto"/>
        <w:jc w:val="both"/>
      </w:pPr>
      <w:r>
        <w:rPr>
          <w:rFonts w:ascii="Newsreader" w:hAnsi="Newsreader" w:cs="Newsreader"/>
          <w:b w:val="0"/>
          <w:i w:val="0"/>
          <w:color w:val="161412"/>
        </w:rPr>
        <w:t xml:space="preserve">Una respuesta inmediata comunica contacto. Una espera sin señal comunica duda; con señal, comunica proceso. Una culminación comunica cierre; una señal persistente, relevancia. Una desaparición demasiado rápida puede parecer error o pérdida, y una notificación demasiado larga puede convertirse en ruido. El tiempo convierte un cambio en evento.</w:t>
      </w:r>
    </w:p>
    <w:p>
      <w:pPr>
        <w:spacing w:before="320" w:after="40"/>
      </w:pPr>
      <w:r>
        <w:rPr>
          <w:rFonts w:ascii="IBM Plex Sans" w:hAnsi="IBM Plex Sans" w:cs="IBM Plex Sans"/>
          <w:b/>
          <w:color w:val="1F3A5F"/>
          <w:sz w:val="18"/>
        </w:rPr>
        <w:t xml:space="preserve">§ 2</w:t>
      </w:r>
    </w:p>
    <w:p>
      <w:pPr>
        <w:spacing w:after="160" w:line="240" w:lineRule="auto"/>
      </w:pPr>
      <w:r>
        <w:rPr>
          <w:rFonts w:ascii="Newsreader" w:hAnsi="Newsreader" w:cs="Newsreader"/>
          <w:color w:val="161412"/>
          <w:sz w:val="38"/>
        </w:rPr>
        <w:t xml:space="preserve">Fundamento psicoperceptivo: tiempo, agencia y espera</w:t>
      </w:r>
    </w:p>
    <w:p>
      <w:pPr>
        <w:spacing w:after="120" w:line="320" w:lineRule="auto"/>
        <w:jc w:val="both"/>
      </w:pPr>
      <w:r>
        <w:rPr>
          <w:rFonts w:ascii="Newsreader" w:hAnsi="Newsreader" w:cs="Newsreader"/>
          <w:b w:val="0"/>
          <w:i w:val="0"/>
          <w:color w:val="161412"/>
        </w:rPr>
        <w:t xml:space="preserve">El tiempo es uno de los canales más estudiados en interacción humano-computador, aunque a menudo se trate solo como rendimiento técnico. En HCI clásica se han propuesto umbrales temporales aproximados que siguen siendo útiles como orientación (Miller, 1968; Nielsen, 1993). Una respuesta casi inmediata tiende a sentirse como parte del gesto; una demora breve puede mantenerse dentro del flujo de pensamiento. Una espera más larga exige una señal explícita para no convertirse en incertidumbre. Estos umbrales no son leyes absolutas, pero ayudan a entender algo fundamental: el tiempo modifica la interpretación del evento.</w:t>
      </w:r>
    </w:p>
    <w:p>
      <w:pPr>
        <w:spacing w:after="120" w:line="320" w:lineRule="auto"/>
        <w:jc w:val="both"/>
      </w:pPr>
      <w:r>
        <w:rPr>
          <w:rFonts w:ascii="Newsreader" w:hAnsi="Newsreader" w:cs="Newsreader"/>
          <w:b w:val="0"/>
          <w:i w:val="0"/>
          <w:color w:val="161412"/>
        </w:rPr>
        <w:t xml:space="preserve">Cuando la respuesta llega muy cerca de la acción, el usuario puede atribuirla a su propio gesto, y esa atribución sostiene la sensación de agencia. En una interfaz, el contacto no se comunica solo con un cambio visual, sino con un cambio suficientemente próximo a la acción. Por eso contact.press depende tanto de la latencia: si el sistema responde tarde, el evento deja de sentirse como contacto y empieza a sentirse como una reacción posterior del sistema.</w:t>
      </w:r>
    </w:p>
    <w:p>
      <w:pPr>
        <w:spacing w:after="120" w:line="320" w:lineRule="auto"/>
        <w:jc w:val="both"/>
      </w:pPr>
      <w:r>
        <w:rPr>
          <w:rFonts w:ascii="Newsreader" w:hAnsi="Newsreader" w:cs="Newsreader"/>
          <w:b w:val="0"/>
          <w:i w:val="0"/>
          <w:color w:val="161412"/>
        </w:rPr>
        <w:t xml:space="preserve">La espera activa otro mecanismo. Cuando el usuario actúa y el resultado no llega, necesita saber si el sistema sigue trabajando; la ausencia de señal durante una espera puede interpretarse como bloqueo, fallo o pérdida de control. De ahí la función de sustain: no comunicar resultado, sino continuidad.</w:t>
      </w:r>
    </w:p>
    <w:p>
      <w:pPr>
        <w:spacing w:after="120" w:line="320" w:lineRule="auto"/>
        <w:jc w:val="both"/>
      </w:pPr>
      <w:r>
        <w:rPr>
          <w:rFonts w:ascii="Newsreader" w:hAnsi="Newsreader" w:cs="Newsreader"/>
          <w:b w:val="0"/>
          <w:i w:val="0"/>
          <w:color w:val="161412"/>
        </w:rPr>
        <w:t xml:space="preserve">La sincronía multisensorial también depende del tiempo. Si un movimiento, un sonido y una vibración pertenecen al mismo evento, deben estar suficientemente coordinados para que el usuario los perciba como una unidad; si llegan desfasados, pueden sentirse como eventos separados. El tiempo, por tanto, no es solo duración: es la condición que permite percibir causalidad, continuidad, espera, resolución y unidad multicanal.</w:t>
      </w:r>
    </w:p>
    <w:p>
      <w:pPr>
        <w:spacing w:before="320" w:after="40"/>
      </w:pPr>
      <w:r>
        <w:rPr>
          <w:rFonts w:ascii="IBM Plex Sans" w:hAnsi="IBM Plex Sans" w:cs="IBM Plex Sans"/>
          <w:b/>
          <w:color w:val="1F3A5F"/>
          <w:sz w:val="18"/>
        </w:rPr>
        <w:t xml:space="preserve">§ 3</w:t>
      </w:r>
    </w:p>
    <w:p>
      <w:pPr>
        <w:spacing w:after="160" w:line="240" w:lineRule="auto"/>
      </w:pPr>
      <w:r>
        <w:rPr>
          <w:rFonts w:ascii="Newsreader" w:hAnsi="Newsreader" w:cs="Newsreader"/>
          <w:color w:val="161412"/>
          <w:sz w:val="38"/>
        </w:rPr>
        <w:t xml:space="preserve">Latencia</w:t>
      </w:r>
    </w:p>
    <w:p>
      <w:pPr>
        <w:spacing w:after="120" w:line="320" w:lineRule="auto"/>
        <w:jc w:val="both"/>
      </w:pPr>
      <w:r>
        <w:rPr>
          <w:rFonts w:ascii="Newsreader" w:hAnsi="Newsreader" w:cs="Newsreader"/>
          <w:b w:val="0"/>
          <w:i w:val="0"/>
          <w:color w:val="161412"/>
        </w:rPr>
        <w:t xml:space="preserve">Latencia es el intervalo entre la acción del usuario y la respuesta perceptible del sistema. No es solo una métrica técnica: es una condición de agencia. Cuando el usuario pulsa un botón, arrastra un objeto, escribe una tecla o activa un control, necesita que el sistema responda lo bastante rápido como para que esa respuesta se atribuya a su acción. Si la respuesta llega dentro de una ventana breve, el usuario siente «lo he hecho yo». Si llega demasiado tarde, la lectura cambia:</w:t>
      </w:r>
    </w:p>
    <w:p>
      <w:pPr>
        <w:spacing w:before="160" w:after="40"/>
        <w:pBdr>
          <w:left w:val="single" w:sz="18" w:space="12" w:color="1F3A5F"/>
        </w:pBdr>
      </w:pPr>
      <w:r>
        <w:rPr>
          <w:rFonts w:ascii="IBM Plex Sans" w:hAnsi="IBM Plex Sans" w:cs="IBM Plex Sans"/>
          <w:b/>
          <w:color w:val="1F3A5F"/>
          <w:sz w:val="16"/>
        </w:rPr>
        <w:t xml:space="preserve">LECTURA</w:t>
      </w:r>
    </w:p>
    <w:p>
      <w:pPr>
        <w:spacing w:after="120" w:line="312" w:lineRule="auto"/>
        <w:pBdr>
          <w:left w:val="single" w:sz="18" w:space="12" w:color="1F3A5F"/>
        </w:pBdr>
      </w:pPr>
      <w:r>
        <w:rPr>
          <w:rFonts w:ascii="Newsreader" w:hAnsi="Newsreader" w:cs="Newsreader"/>
          <w:b w:val="0"/>
          <w:i/>
          <w:color w:val="3A352F"/>
        </w:rPr>
        <w:t xml:space="preserve">«El sistema ha hecho algo después.»</w:t>
      </w:r>
    </w:p>
    <w:p>
      <w:pPr>
        <w:spacing w:after="120" w:line="320" w:lineRule="auto"/>
        <w:jc w:val="both"/>
      </w:pPr>
      <w:r>
        <w:rPr>
          <w:rFonts w:ascii="Newsreader" w:hAnsi="Newsreader" w:cs="Newsreader"/>
          <w:b w:val="0"/>
          <w:i w:val="0"/>
          <w:color w:val="161412"/>
        </w:rPr>
        <w:t xml:space="preserve">Esa diferencia es semántica: separa la acción propia de la reacción ajena.</w:t>
      </w:r>
    </w:p>
    <w:p>
      <w:pPr>
        <w:spacing w:before="320" w:after="40"/>
      </w:pPr>
      <w:r>
        <w:rPr>
          <w:rFonts w:ascii="IBM Plex Sans" w:hAnsi="IBM Plex Sans" w:cs="IBM Plex Sans"/>
          <w:b/>
          <w:color w:val="1F3A5F"/>
          <w:sz w:val="18"/>
        </w:rPr>
        <w:t xml:space="preserve">§ 4</w:t>
      </w:r>
    </w:p>
    <w:p>
      <w:pPr>
        <w:spacing w:after="160" w:line="240" w:lineRule="auto"/>
      </w:pPr>
      <w:r>
        <w:rPr>
          <w:rFonts w:ascii="Newsreader" w:hAnsi="Newsreader" w:cs="Newsreader"/>
          <w:color w:val="161412"/>
          <w:sz w:val="38"/>
        </w:rPr>
        <w:t xml:space="preserve">Duración</w:t>
      </w:r>
    </w:p>
    <w:p>
      <w:pPr>
        <w:spacing w:after="120" w:line="320" w:lineRule="auto"/>
        <w:jc w:val="both"/>
      </w:pPr>
      <w:r>
        <w:rPr>
          <w:rFonts w:ascii="Newsreader" w:hAnsi="Newsreader" w:cs="Newsreader"/>
          <w:b w:val="0"/>
          <w:i w:val="0"/>
          <w:color w:val="161412"/>
        </w:rPr>
        <w:t xml:space="preserve">Duración no es lo mismo que latencia. La latencia pregunta cuándo empieza la respuesta; la duración, cuánto dura la expresión del evento. Un evento demasiado corto puede no ser percibido; uno demasiado largo puede sentirse pesado, teatral o intrusivo. La duración debe corresponder a la función semántica del evento. contact debe ser breve; sustain puede ser prolongado; signal puede necesitar persistencia. commit necesita resolución; emerge necesita entrada y salida; handle necesita continuidad durante el gesto.</w:t>
      </w:r>
    </w:p>
    <w:p>
      <w:pPr>
        <w:spacing w:before="320" w:after="40"/>
      </w:pPr>
      <w:r>
        <w:rPr>
          <w:rFonts w:ascii="IBM Plex Sans" w:hAnsi="IBM Plex Sans" w:cs="IBM Plex Sans"/>
          <w:b/>
          <w:color w:val="1F3A5F"/>
          <w:sz w:val="18"/>
        </w:rPr>
        <w:t xml:space="preserve">§ 5</w:t>
      </w:r>
    </w:p>
    <w:p>
      <w:pPr>
        <w:spacing w:after="160" w:line="240" w:lineRule="auto"/>
      </w:pPr>
      <w:r>
        <w:rPr>
          <w:rFonts w:ascii="Newsreader" w:hAnsi="Newsreader" w:cs="Newsreader"/>
          <w:color w:val="161412"/>
          <w:sz w:val="38"/>
        </w:rPr>
        <w:t xml:space="preserve">Espera</w:t>
      </w:r>
    </w:p>
    <w:p>
      <w:pPr>
        <w:spacing w:after="120" w:line="320" w:lineRule="auto"/>
        <w:jc w:val="both"/>
      </w:pPr>
      <w:r>
        <w:rPr>
          <w:rFonts w:ascii="Newsreader" w:hAnsi="Newsreader" w:cs="Newsreader"/>
          <w:b w:val="0"/>
          <w:i w:val="0"/>
          <w:color w:val="161412"/>
        </w:rPr>
        <w:t xml:space="preserve">La espera es una de las situaciones temporales más delicadas. Cuando el usuario actúa y el sistema no puede dar un resultado inmediato, aparece una pregunta: ¿esto sigue vivo o se ha roto? Ahí nace sustain, que no comunica éxito ni error, sino continuidad operativa. Un spinner, una barra de progreso, un skeleton, un texto «guardando…» o una actualización periódica no son elementos decorativos. Son formas de decir:</w:t>
      </w:r>
    </w:p>
    <w:p>
      <w:pPr>
        <w:spacing w:before="160" w:after="40"/>
        <w:pBdr>
          <w:left w:val="single" w:sz="18" w:space="12" w:color="1F3A5F"/>
        </w:pBdr>
      </w:pPr>
      <w:r>
        <w:rPr>
          <w:rFonts w:ascii="IBM Plex Sans" w:hAnsi="IBM Plex Sans" w:cs="IBM Plex Sans"/>
          <w:b/>
          <w:color w:val="1F3A5F"/>
          <w:sz w:val="16"/>
        </w:rPr>
        <w:t xml:space="preserve">LECTURA</w:t>
      </w:r>
    </w:p>
    <w:p>
      <w:pPr>
        <w:spacing w:after="120" w:line="312" w:lineRule="auto"/>
        <w:pBdr>
          <w:left w:val="single" w:sz="18" w:space="12" w:color="1F3A5F"/>
        </w:pBdr>
      </w:pPr>
      <w:r>
        <w:rPr>
          <w:rFonts w:ascii="Newsreader" w:hAnsi="Newsreader" w:cs="Newsreader"/>
          <w:b w:val="0"/>
          <w:i/>
          <w:color w:val="3A352F"/>
        </w:rPr>
        <w:t xml:space="preserve">«El sistema sigue trabajando.»</w:t>
      </w:r>
    </w:p>
    <w:p>
      <w:pPr>
        <w:spacing w:before="320" w:after="40"/>
      </w:pPr>
      <w:r>
        <w:rPr>
          <w:rFonts w:ascii="IBM Plex Sans" w:hAnsi="IBM Plex Sans" w:cs="IBM Plex Sans"/>
          <w:b/>
          <w:color w:val="1F3A5F"/>
          <w:sz w:val="18"/>
        </w:rPr>
        <w:t xml:space="preserve">§ 6</w:t>
      </w:r>
    </w:p>
    <w:p>
      <w:pPr>
        <w:spacing w:after="160" w:line="240" w:lineRule="auto"/>
      </w:pPr>
      <w:r>
        <w:rPr>
          <w:rFonts w:ascii="Newsreader" w:hAnsi="Newsreader" w:cs="Newsreader"/>
          <w:color w:val="161412"/>
          <w:sz w:val="38"/>
        </w:rPr>
        <w:t xml:space="preserve">Persistencia y huella</w:t>
      </w:r>
    </w:p>
    <w:p>
      <w:pPr>
        <w:spacing w:after="120" w:line="320" w:lineRule="auto"/>
        <w:jc w:val="both"/>
      </w:pPr>
      <w:r>
        <w:rPr>
          <w:rFonts w:ascii="Newsreader" w:hAnsi="Newsreader" w:cs="Newsreader"/>
          <w:b w:val="0"/>
          <w:i w:val="0"/>
          <w:color w:val="161412"/>
        </w:rPr>
        <w:t xml:space="preserve">No todo evento termina cuando termina su animación. Una selección queda marcada; una alerta permanece hasta ser atendida; un resultado deja estado; una pérdida deja ausencia o undo; un proceso deja progreso. Conviene por eso distinguir duración expresiva, persistencia, huella y caducidad.</w:t>
      </w:r>
    </w:p>
    <w:p>
      <w:pPr>
        <w:spacing w:after="120" w:line="320" w:lineRule="auto"/>
        <w:jc w:val="both"/>
      </w:pPr>
      <w:r>
        <w:rPr>
          <w:rFonts w:ascii="Newsreader" w:hAnsi="Newsreader" w:cs="Newsreader"/>
          <w:b w:val="0"/>
          <w:i w:val="0"/>
          <w:color w:val="161412"/>
        </w:rPr>
        <w:t xml:space="preserve">La distinción de fondo es la de dos superficies que coexisten: la </w:t>
      </w:r>
      <w:r>
        <w:rPr>
          <w:rFonts w:ascii="Newsreader" w:hAnsi="Newsreader" w:cs="Newsreader"/>
          <w:b w:val="0"/>
          <w:i/>
          <w:color w:val="161412"/>
        </w:rPr>
        <w:t xml:space="preserve">ocurrencia</w:t>
      </w:r>
      <w:r>
        <w:rPr>
          <w:rFonts w:ascii="Newsreader" w:hAnsi="Newsreader" w:cs="Newsreader"/>
          <w:b w:val="0"/>
          <w:i w:val="0"/>
          <w:color w:val="161412"/>
        </w:rPr>
        <w:t xml:space="preserve">, que vive su ventana perceptiva y se disipa, y el </w:t>
      </w:r>
      <w:r>
        <w:rPr>
          <w:rFonts w:ascii="Newsreader" w:hAnsi="Newsreader" w:cs="Newsreader"/>
          <w:b w:val="0"/>
          <w:i/>
          <w:color w:val="161412"/>
        </w:rPr>
        <w:t xml:space="preserve">estado</w:t>
      </w:r>
      <w:r>
        <w:rPr>
          <w:rFonts w:ascii="Newsreader" w:hAnsi="Newsreader" w:cs="Newsreader"/>
          <w:b w:val="0"/>
          <w:i w:val="0"/>
          <w:color w:val="161412"/>
        </w:rPr>
        <w:t xml:space="preserve">, que persiste como huella. «Esto acaba de pasar» y «esto es ahora verdad» son lecturas distintas, y colapsarlas en una sola superficie hace que la huella se disipe con la señal.</w:t>
      </w:r>
    </w:p>
    <w:p>
      <w:pPr>
        <w:spacing w:after="120" w:line="320" w:lineRule="auto"/>
        <w:jc w:val="both"/>
      </w:pPr>
      <w:r>
        <w:rPr>
          <w:rFonts w:ascii="Newsreader" w:hAnsi="Newsreader" w:cs="Newsreader"/>
          <w:b w:val="0"/>
          <w:i w:val="0"/>
          <w:color w:val="161412"/>
        </w:rPr>
        <w:t xml:space="preserve">La persistencia es especialmente importante para la accesibilidad. Una señal efímera puede no ser percibida por todos los usuarios: si la información es importante, debe dejar alguna huella.</w:t>
      </w:r>
    </w:p>
    <w:p>
      <w:pPr>
        <w:spacing w:before="320" w:after="40"/>
      </w:pPr>
      <w:r>
        <w:rPr>
          <w:rFonts w:ascii="IBM Plex Sans" w:hAnsi="IBM Plex Sans" w:cs="IBM Plex Sans"/>
          <w:b/>
          <w:color w:val="1F3A5F"/>
          <w:sz w:val="18"/>
        </w:rPr>
        <w:t xml:space="preserve">§ 7</w:t>
      </w:r>
    </w:p>
    <w:p>
      <w:pPr>
        <w:spacing w:after="160" w:line="240" w:lineRule="auto"/>
      </w:pPr>
      <w:r>
        <w:rPr>
          <w:rFonts w:ascii="Newsreader" w:hAnsi="Newsreader" w:cs="Newsreader"/>
          <w:color w:val="161412"/>
          <w:sz w:val="38"/>
        </w:rPr>
        <w:t xml:space="preserve">Secuencia</w:t>
      </w:r>
    </w:p>
    <w:p>
      <w:pPr>
        <w:spacing w:after="120" w:line="320" w:lineRule="auto"/>
        <w:jc w:val="both"/>
      </w:pPr>
      <w:r>
        <w:rPr>
          <w:rFonts w:ascii="Newsreader" w:hAnsi="Newsreader" w:cs="Newsreader"/>
          <w:b w:val="0"/>
          <w:i w:val="0"/>
          <w:color w:val="161412"/>
        </w:rPr>
        <w:t xml:space="preserve">El significado temporal depende también del orden. No es lo mismo signal.warn + threat seguido de commit.delete + loss —advertir y luego consumar— que la secuencia inversa. commit.delete + loss seguido de signal.warn + threat es consumar y advertir después, cuando ya no hay nada que evitar. El orden cambia el sentido.</w:t>
      </w:r>
    </w:p>
    <w:p>
      <w:pPr>
        <w:spacing w:before="320" w:after="40"/>
      </w:pPr>
      <w:r>
        <w:rPr>
          <w:rFonts w:ascii="IBM Plex Sans" w:hAnsi="IBM Plex Sans" w:cs="IBM Plex Sans"/>
          <w:b/>
          <w:color w:val="1F3A5F"/>
          <w:sz w:val="18"/>
        </w:rPr>
        <w:t xml:space="preserve">§ 8</w:t>
      </w:r>
    </w:p>
    <w:p>
      <w:pPr>
        <w:spacing w:after="160" w:line="240" w:lineRule="auto"/>
      </w:pPr>
      <w:r>
        <w:rPr>
          <w:rFonts w:ascii="Newsreader" w:hAnsi="Newsreader" w:cs="Newsreader"/>
          <w:color w:val="161412"/>
          <w:sz w:val="38"/>
        </w:rPr>
        <w:t xml:space="preserve">Tiempo e intent</w:t>
      </w:r>
    </w:p>
    <w:p>
      <w:pPr>
        <w:spacing w:after="120" w:line="320" w:lineRule="auto"/>
        <w:jc w:val="both"/>
      </w:pPr>
      <w:r>
        <w:rPr>
          <w:rFonts w:ascii="Newsreader" w:hAnsi="Newsreader" w:cs="Newsreader"/>
          <w:b w:val="0"/>
          <w:i w:val="0"/>
          <w:color w:val="161412"/>
        </w:rPr>
        <w:t xml:space="preserve">El intent también modula el tiempo. Affirm suele ser breve, suave, de baja activación; fulfill puede durar algo más porque marca la resolución de una tensión. risk necesita persistir lo suficiente para que el usuario lo procese. threat debe entrar rápido y con alta saliencia; loss puede ser breve, grave y dejar huella.</w:t>
      </w:r>
    </w:p>
    <w:p>
      <w:pPr>
        <w:spacing w:after="120" w:line="320" w:lineRule="auto"/>
        <w:jc w:val="both"/>
      </w:pPr>
      <w:r>
        <w:rPr>
          <w:rFonts w:ascii="Newsreader" w:hAnsi="Newsreader" w:cs="Newsreader"/>
          <w:b w:val="0"/>
          <w:i w:val="0"/>
          <w:color w:val="161412"/>
        </w:rPr>
        <w:t xml:space="preserve">La posición de un intent en el espacio valencia/activación tiene consecuencias temporales: un threat, por su alta activación, debe entrar rápido y con suficiente saliencia; un loss no exige la misma urgencia (Capítulo 10).</w:t>
      </w:r>
    </w:p>
    <w:p>
      <w:pPr>
        <w:spacing w:before="320" w:after="40"/>
      </w:pPr>
      <w:r>
        <w:rPr>
          <w:rFonts w:ascii="IBM Plex Sans" w:hAnsi="IBM Plex Sans" w:cs="IBM Plex Sans"/>
          <w:b/>
          <w:color w:val="1F3A5F"/>
          <w:sz w:val="18"/>
        </w:rPr>
        <w:t xml:space="preserve">§ 9</w:t>
      </w:r>
    </w:p>
    <w:p>
      <w:pPr>
        <w:spacing w:after="160" w:line="240" w:lineRule="auto"/>
      </w:pPr>
      <w:r>
        <w:rPr>
          <w:rFonts w:ascii="Newsreader" w:hAnsi="Newsreader" w:cs="Newsreader"/>
          <w:color w:val="161412"/>
          <w:sz w:val="38"/>
        </w:rPr>
        <w:t xml:space="preserve">Accesibilidad temporal</w:t>
      </w:r>
    </w:p>
    <w:p>
      <w:pPr>
        <w:spacing w:after="120" w:line="320" w:lineRule="auto"/>
        <w:jc w:val="both"/>
      </w:pPr>
      <w:r>
        <w:rPr>
          <w:rFonts w:ascii="Newsreader" w:hAnsi="Newsreader" w:cs="Newsreader"/>
          <w:b w:val="0"/>
          <w:i w:val="0"/>
          <w:color w:val="161412"/>
        </w:rPr>
        <w:t xml:space="preserve">El tiempo también es accesibilidad. No todos los usuarios procesan los cambios a la misma velocidad; no todos ven una señal efímera; no todos pueden actuar antes de un timeout; no todos interpretan una animación rápida. La accesibilidad temporal incluye duración suficiente de los mensajes importantes, control sobre pausas y timeouts, evitar desapariciones críticas, no depender de instantes efímeros y mantener los estados importantes después del evento.</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Si un evento importante solo existe durante un instante, muchos usuarios no lo recibirán.</w:t>
      </w:r>
    </w:p>
    <w:p>
      <w:pPr>
        <w:spacing w:before="320" w:after="40"/>
      </w:pPr>
      <w:r>
        <w:rPr>
          <w:rFonts w:ascii="IBM Plex Sans" w:hAnsi="IBM Plex Sans" w:cs="IBM Plex Sans"/>
          <w:b/>
          <w:color w:val="1F3A5F"/>
          <w:sz w:val="18"/>
        </w:rPr>
        <w:t xml:space="preserve">§ 10</w:t>
      </w:r>
    </w:p>
    <w:p>
      <w:pPr>
        <w:spacing w:after="160" w:line="240" w:lineRule="auto"/>
      </w:pPr>
      <w:r>
        <w:rPr>
          <w:rFonts w:ascii="Newsreader" w:hAnsi="Newsreader" w:cs="Newsreader"/>
          <w:color w:val="161412"/>
          <w:sz w:val="38"/>
        </w:rPr>
        <w:t xml:space="preserve">Síntesis</w:t>
      </w:r>
    </w:p>
    <w:p>
      <w:pPr>
        <w:spacing w:after="120" w:line="320" w:lineRule="auto"/>
        <w:jc w:val="both"/>
      </w:pPr>
      <w:r>
        <w:rPr>
          <w:rFonts w:ascii="Newsreader" w:hAnsi="Newsreader" w:cs="Newsreader"/>
          <w:b w:val="0"/>
          <w:i w:val="0"/>
          <w:color w:val="161412"/>
        </w:rPr>
        <w:t xml:space="preserve">El tiempo atraviesa todos los canales. Define si una respuesta se siente causada por la acción del usuario o como evento separado; si una espera parece proceso o bloqueo. Define si una señal se percibe o se pierde; si una culminación cierra una tensión o pasa desapercibida. La tesis:</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El tiempo no acompaña al evento. El tiempo forma parte de su significado.</w:t>
      </w:r>
    </w:p>
    <w:p>
      <w:r>
        <w:br w:type="page"/>
      </w:r>
    </w:p>
    <w:p>
      <w:pPr>
        <w:spacing w:after="40"/>
      </w:pPr>
      <w:r>
        <w:rPr>
          <w:rFonts w:ascii="IBM Plex Sans" w:hAnsi="IBM Plex Sans" w:cs="IBM Plex Sans"/>
          <w:b/>
          <w:color w:val="1F3A5F"/>
          <w:sz w:val="18"/>
        </w:rPr>
        <w:t>CAPÍTULO 13</w:t>
      </w:r>
    </w:p>
    <w:p>
      <w:pPr>
        <w:spacing w:after="80" w:line="240" w:lineRule="auto"/>
      </w:pPr>
      <w:r>
        <w:rPr>
          <w:rFonts w:ascii="IBM Plex Sans" w:hAnsi="IBM Plex Sans" w:cs="IBM Plex Sans"/>
          <w:color w:val="161412"/>
          <w:sz w:val="220"/>
        </w:rPr>
        <w:t>13</w:t>
      </w:r>
    </w:p>
    <w:p>
      <w:pPr>
        <w:spacing w:after="60" w:line="240" w:lineRule="auto"/>
      </w:pPr>
      <w:r>
        <w:rPr>
          <w:rFonts w:ascii="Newsreader" w:hAnsi="Newsreader" w:cs="Newsreader"/>
          <w:color w:val="161412"/>
          <w:sz w:val="60"/>
        </w:rPr>
        <w:t xml:space="preserve">Motion: la física percibida del evento</w:t>
      </w:r>
    </w:p>
    <w:p>
      <w:pPr>
        <w:spacing w:after="280"/>
      </w:pPr>
      <w:r>
        <w:rPr>
          <w:rFonts w:ascii="IBM Plex Sans" w:hAnsi="IBM Plex Sans" w:cs="IBM Plex Sans"/>
          <w:color w:val="6A635A"/>
          <w:sz w:val="26"/>
        </w:rPr>
        <w:t>Movimiento, causalidad, continuidad y energía</w:t>
      </w:r>
    </w:p>
    <w:p>
      <w:pPr>
        <w:pBdr>
          <w:bottom w:val="single" w:sz="4" w:space="4" w:color="1F3A5F"/>
        </w:pBdr>
      </w:pP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¿Qué dice el movimiento sobre la causa, la energía y la continuidad de lo que ocurre?</w:t>
      </w:r>
    </w:p>
    <w:p>
      <w:pPr>
        <w:spacing w:after="120" w:line="320" w:lineRule="auto"/>
        <w:jc w:val="both"/>
      </w:pPr>
      <w:r>
        <w:rPr>
          <w:rFonts w:ascii="Newsreader" w:hAnsi="Newsreader" w:cs="Newsreader"/>
          <w:b w:val="0"/>
          <w:i w:val="0"/>
          <w:color w:val="161412"/>
        </w:rPr>
        <w:t xml:space="preserve">Una ventana que aparece de golpe y otra que se asienta con un leve rebote muestran el mismo contenido, pero no dicen lo mismo. La primera se materializa de la nada; la segunda parece llegar de algún sitio. Un panel que entra deslizándose desde la izquierda indica por dónde se vuelve; el mismo panel que simplemente aparece no deja esa pista. El movimiento, antes de adornar, informa.</w:t>
      </w:r>
    </w:p>
    <w:p>
      <w:pPr>
        <w:spacing w:after="120" w:line="320" w:lineRule="auto"/>
        <w:jc w:val="both"/>
      </w:pPr>
      <w:r>
        <w:rPr>
          <w:rFonts w:ascii="Newsreader" w:hAnsi="Newsreader" w:cs="Newsreader"/>
          <w:b w:val="0"/>
          <w:i w:val="0"/>
          <w:color w:val="161412"/>
        </w:rPr>
        <w:t xml:space="preserve">Animación es la técnica; motion es la percepción del cambio en movimiento. Una animación puede ser una transición CSS, un transform, un keyframe, un spring, un fade, un slide, un scale, un spinner o una interpolación entre estados. Pero motion, en este libro, no es la propiedad técnica que cambia. Es lo que el usuario percibe cuando algo se desplaza, se comprime, se eleva, se asienta, se resiste, tiembla, colapsa o entra en el campo. Motion comunica causalidad, continuidad, energía, masa, dirección y régimen.</w:t>
      </w:r>
    </w:p>
    <w:p>
      <w:pPr>
        <w:spacing w:before="200" w:after="60"/>
        <w:jc w:val="center"/>
      </w:pPr>
      <w:r>
        <w:drawing>
          <wp:inline xmlns:a="http://schemas.openxmlformats.org/drawingml/2006/main" xmlns:pic="http://schemas.openxmlformats.org/drawingml/2006/picture">
            <wp:extent cx="5029200" cy="2828925"/>
            <wp:docPr id="9002" name="fig13_1"/>
            <wp:cNvGraphicFramePr>
              <a:graphicFrameLocks noChangeAspect="1"/>
            </wp:cNvGraphicFramePr>
            <a:graphic>
              <a:graphicData uri="http://schemas.openxmlformats.org/drawingml/2006/picture">
                <pic:pic>
                  <pic:nvPicPr>
                    <pic:cNvPr id="9002" name="fig13_1"/>
                    <pic:cNvPicPr/>
                  </pic:nvPicPr>
                  <pic:blipFill>
                    <a:blip r:embed="rId901"/>
                    <a:stretch>
                      <a:fillRect/>
                    </a:stretch>
                  </pic:blipFill>
                  <pic:spPr>
                    <a:xfrm>
                      <a:off x="0" y="0"/>
                      <a:ext cx="5029200" cy="2828925"/>
                    </a:xfrm>
                    <a:prstGeom prst="rect"/>
                  </pic:spPr>
                </pic:pic>
              </a:graphicData>
            </a:graphic>
          </wp:inline>
        </w:drawing>
      </w:r>
    </w:p>
    <w:p>
      <w:pPr>
        <w:spacing w:before="320" w:after="40"/>
      </w:pPr>
      <w:r>
        <w:rPr>
          <w:rFonts w:ascii="IBM Plex Sans" w:hAnsi="IBM Plex Sans" w:cs="IBM Plex Sans"/>
          <w:b/>
          <w:color w:val="1F3A5F"/>
          <w:sz w:val="18"/>
        </w:rPr>
        <w:t xml:space="preserve">§ 1</w:t>
      </w:r>
    </w:p>
    <w:p>
      <w:pPr>
        <w:spacing w:after="160" w:line="240" w:lineRule="auto"/>
      </w:pPr>
      <w:r>
        <w:rPr>
          <w:rFonts w:ascii="Newsreader" w:hAnsi="Newsreader" w:cs="Newsreader"/>
          <w:color w:val="161412"/>
          <w:sz w:val="38"/>
        </w:rPr>
        <w:t xml:space="preserve">Fundamento psicoperceptivo: movimiento, causalidad y continuidad</w:t>
      </w:r>
    </w:p>
    <w:p>
      <w:pPr>
        <w:spacing w:after="120" w:line="320" w:lineRule="auto"/>
        <w:jc w:val="both"/>
      </w:pPr>
      <w:r>
        <w:rPr>
          <w:rFonts w:ascii="Newsreader" w:hAnsi="Newsreader" w:cs="Newsreader"/>
          <w:b w:val="0"/>
          <w:i w:val="0"/>
          <w:color w:val="161412"/>
        </w:rPr>
        <w:t xml:space="preserve">Motion se apoya en mecanismos básicos de percepción del movimiento. Uno de los más relevantes para interfaces es la percepción de causalidad. Los estudios clásicos de Michotte mostraron que ciertas secuencias simples de movimiento se perciben directamente como relaciones causales: un objeto se mueve hacia otro, lo toca, y el segundo empieza a moverse. El observador no percibe simplemente dos desplazamientos sucesivos, sino una relación de causa.</w:t>
      </w:r>
    </w:p>
    <w:p>
      <w:pPr>
        <w:spacing w:after="120" w:line="320" w:lineRule="auto"/>
        <w:jc w:val="both"/>
      </w:pPr>
      <w:r>
        <w:rPr>
          <w:rFonts w:ascii="Newsreader" w:hAnsi="Newsreader" w:cs="Newsreader"/>
          <w:b w:val="0"/>
          <w:i w:val="0"/>
          <w:color w:val="161412"/>
        </w:rPr>
        <w:t xml:space="preserve">En interfaz ocurre algo parecido, aunque a otra escala. Cuando el usuario pulsa un botón y el botón se comprime inmediatamente, la respuesta se interpreta como consecuencia del gesto. Si la respuesta llega tarde o con una forma no relacionada, esa atribución se debilita.</w:t>
      </w:r>
    </w:p>
    <w:p>
      <w:pPr>
        <w:spacing w:after="120" w:line="320" w:lineRule="auto"/>
        <w:jc w:val="both"/>
      </w:pPr>
      <w:r>
        <w:rPr>
          <w:rFonts w:ascii="Newsreader" w:hAnsi="Newsreader" w:cs="Newsreader"/>
          <w:b w:val="0"/>
          <w:i w:val="0"/>
          <w:color w:val="161412"/>
        </w:rPr>
        <w:t xml:space="preserve">Motion también sostiene la continuidad de objeto. Cuando un elemento cambia de posición, se expande o se desplaza hacia otro lugar, el movimiento permite al usuario percibir que sigue siendo el mismo objeto en otra condición. Sin movimiento, el cambio puede sentirse como la desaparición de una cosa y la aparición de otra.</w:t>
      </w:r>
    </w:p>
    <w:p>
      <w:pPr>
        <w:spacing w:after="120" w:line="320" w:lineRule="auto"/>
        <w:jc w:val="both"/>
      </w:pPr>
      <w:r>
        <w:rPr>
          <w:rFonts w:ascii="Newsreader" w:hAnsi="Newsreader" w:cs="Newsreader"/>
          <w:b w:val="0"/>
          <w:i w:val="0"/>
          <w:color w:val="161412"/>
        </w:rPr>
        <w:t xml:space="preserve">Otro fundamento importante es la predicción sensorimotora. Cuando algo empieza a moverse, el usuario genera expectativas sobre su trayectoria, velocidad y destino. Si el movimiento se corta, salta o contradice la física implícita que sugiere, aparece una sensación de extrañeza.</w:t>
      </w:r>
    </w:p>
    <w:p>
      <w:pPr>
        <w:spacing w:after="120" w:line="320" w:lineRule="auto"/>
        <w:jc w:val="both"/>
      </w:pPr>
      <w:r>
        <w:rPr>
          <w:rFonts w:ascii="Newsreader" w:hAnsi="Newsreader" w:cs="Newsreader"/>
          <w:b w:val="0"/>
          <w:i w:val="0"/>
          <w:color w:val="161412"/>
        </w:rPr>
        <w:t xml:space="preserve">Finalmente, el movimiento comunica energía y masa mediante claves temporales: velocidad, aceleración, desaceleración, rebote, rigidez, fricción, overshoot o colapso. La interfaz no tiene peso real, pero motion puede producir una lectura de peso, ligereza, resistencia o pérdida de energía. Estos fundamentos no dictan una curva universal, pero sí justifican la tesis central:</w:t>
      </w:r>
    </w:p>
    <w:p>
      <w:pPr>
        <w:spacing w:before="160" w:after="40"/>
        <w:pBdr>
          <w:left w:val="single" w:sz="18" w:space="12" w:color="1F3A5F"/>
        </w:pBdr>
      </w:pPr>
      <w:r>
        <w:rPr>
          <w:rFonts w:ascii="IBM Plex Sans" w:hAnsi="IBM Plex Sans" w:cs="IBM Plex Sans"/>
          <w:b/>
          <w:color w:val="1F3A5F"/>
          <w:sz w:val="16"/>
        </w:rPr>
        <w:t xml:space="preserve">DISTINCIÓN</w:t>
      </w:r>
    </w:p>
    <w:p>
      <w:pPr>
        <w:spacing w:after="120" w:line="312" w:lineRule="auto"/>
        <w:pBdr>
          <w:left w:val="single" w:sz="18" w:space="12" w:color="1F3A5F"/>
        </w:pBdr>
      </w:pPr>
      <w:r>
        <w:rPr>
          <w:rFonts w:ascii="Newsreader" w:hAnsi="Newsreader" w:cs="Newsreader"/>
          <w:b w:val="0"/>
          <w:i/>
          <w:color w:val="3A352F"/>
        </w:rPr>
        <w:t xml:space="preserve">Motion no es decoración; es una forma de comunicar cómo ocurre un cambio.</w:t>
      </w:r>
    </w:p>
    <w:p>
      <w:pPr>
        <w:spacing w:before="320" w:after="40"/>
      </w:pPr>
      <w:r>
        <w:rPr>
          <w:rFonts w:ascii="IBM Plex Sans" w:hAnsi="IBM Plex Sans" w:cs="IBM Plex Sans"/>
          <w:b/>
          <w:color w:val="1F3A5F"/>
          <w:sz w:val="18"/>
        </w:rPr>
        <w:t xml:space="preserve">§ 2</w:t>
      </w:r>
    </w:p>
    <w:p>
      <w:pPr>
        <w:spacing w:after="160" w:line="240" w:lineRule="auto"/>
      </w:pPr>
      <w:r>
        <w:rPr>
          <w:rFonts w:ascii="Newsreader" w:hAnsi="Newsreader" w:cs="Newsreader"/>
          <w:color w:val="161412"/>
          <w:sz w:val="38"/>
        </w:rPr>
        <w:t xml:space="preserve">Causalidad</w:t>
      </w:r>
    </w:p>
    <w:p>
      <w:pPr>
        <w:spacing w:after="120" w:line="320" w:lineRule="auto"/>
        <w:jc w:val="both"/>
      </w:pPr>
      <w:r>
        <w:rPr>
          <w:rFonts w:ascii="Newsreader" w:hAnsi="Newsreader" w:cs="Newsreader"/>
          <w:b w:val="0"/>
          <w:i w:val="0"/>
          <w:color w:val="161412"/>
        </w:rPr>
        <w:t xml:space="preserve">La primera función de motion es preservar causalidad. Cuando el usuario pulsa un botón y el botón se comprime de inmediato, la interfaz comunica:</w:t>
      </w:r>
    </w:p>
    <w:p>
      <w:pPr>
        <w:spacing w:before="160" w:after="40"/>
        <w:pBdr>
          <w:left w:val="single" w:sz="18" w:space="12" w:color="1F3A5F"/>
        </w:pBdr>
      </w:pPr>
      <w:r>
        <w:rPr>
          <w:rFonts w:ascii="IBM Plex Sans" w:hAnsi="IBM Plex Sans" w:cs="IBM Plex Sans"/>
          <w:b/>
          <w:color w:val="1F3A5F"/>
          <w:sz w:val="16"/>
        </w:rPr>
        <w:t xml:space="preserve">LECTURA</w:t>
      </w:r>
    </w:p>
    <w:p>
      <w:pPr>
        <w:spacing w:after="120" w:line="312" w:lineRule="auto"/>
        <w:pBdr>
          <w:left w:val="single" w:sz="18" w:space="12" w:color="1F3A5F"/>
        </w:pBdr>
      </w:pPr>
      <w:r>
        <w:rPr>
          <w:rFonts w:ascii="Newsreader" w:hAnsi="Newsreader" w:cs="Newsreader"/>
          <w:b w:val="0"/>
          <w:i/>
          <w:color w:val="3A352F"/>
        </w:rPr>
        <w:t xml:space="preserve">«Mi acción produjo una respuesta.»</w:t>
      </w:r>
    </w:p>
    <w:p>
      <w:pPr>
        <w:spacing w:after="120" w:line="320" w:lineRule="auto"/>
        <w:jc w:val="both"/>
      </w:pPr>
      <w:r>
        <w:rPr>
          <w:rFonts w:ascii="Newsreader" w:hAnsi="Newsreader" w:cs="Newsreader"/>
          <w:b w:val="0"/>
          <w:i w:val="0"/>
          <w:color w:val="161412"/>
        </w:rPr>
        <w:t xml:space="preserve">Esa relación es la base de contact.</w:t>
      </w:r>
    </w:p>
    <w:p>
      <w:pPr>
        <w:spacing w:before="320" w:after="40"/>
      </w:pPr>
      <w:r>
        <w:rPr>
          <w:rFonts w:ascii="IBM Plex Sans" w:hAnsi="IBM Plex Sans" w:cs="IBM Plex Sans"/>
          <w:b/>
          <w:color w:val="1F3A5F"/>
          <w:sz w:val="18"/>
        </w:rPr>
        <w:t xml:space="preserve">§ 3</w:t>
      </w:r>
    </w:p>
    <w:p>
      <w:pPr>
        <w:spacing w:after="160" w:line="240" w:lineRule="auto"/>
      </w:pPr>
      <w:r>
        <w:rPr>
          <w:rFonts w:ascii="Newsreader" w:hAnsi="Newsreader" w:cs="Newsreader"/>
          <w:color w:val="161412"/>
          <w:sz w:val="38"/>
        </w:rPr>
        <w:t xml:space="preserve">Continuidad</w:t>
      </w:r>
    </w:p>
    <w:p>
      <w:pPr>
        <w:spacing w:after="120" w:line="320" w:lineRule="auto"/>
        <w:jc w:val="both"/>
      </w:pPr>
      <w:r>
        <w:rPr>
          <w:rFonts w:ascii="Newsreader" w:hAnsi="Newsreader" w:cs="Newsreader"/>
          <w:b w:val="0"/>
          <w:i w:val="0"/>
          <w:color w:val="161412"/>
        </w:rPr>
        <w:t xml:space="preserve">Motion permite que el usuario perciba que algo sigue siendo lo mismo a través del cambio. Una tarjeta que se desplaza hasta otra posición sigue siendo la misma tarjeta; un panel que se expande desde su encabezado sigue perteneciendo a ese origen. Un indicador activo que se desliza de una pestaña a otra conserva la continuidad de la navegación; un objeto arrastrado mantiene identidad durante el gesto. Sin continuidad, el usuario debe reconstruir el cambio con memoria y razonamiento.</w:t>
      </w:r>
    </w:p>
    <w:p>
      <w:pPr>
        <w:spacing w:before="320" w:after="40"/>
      </w:pPr>
      <w:r>
        <w:rPr>
          <w:rFonts w:ascii="IBM Plex Sans" w:hAnsi="IBM Plex Sans" w:cs="IBM Plex Sans"/>
          <w:b/>
          <w:color w:val="1F3A5F"/>
          <w:sz w:val="18"/>
        </w:rPr>
        <w:t xml:space="preserve">§ 4</w:t>
      </w:r>
    </w:p>
    <w:p>
      <w:pPr>
        <w:spacing w:after="160" w:line="240" w:lineRule="auto"/>
      </w:pPr>
      <w:r>
        <w:rPr>
          <w:rFonts w:ascii="Newsreader" w:hAnsi="Newsreader" w:cs="Newsreader"/>
          <w:color w:val="161412"/>
          <w:sz w:val="38"/>
        </w:rPr>
        <w:t xml:space="preserve">Energía, masa y activación</w:t>
      </w:r>
    </w:p>
    <w:p>
      <w:pPr>
        <w:spacing w:after="120" w:line="320" w:lineRule="auto"/>
        <w:jc w:val="both"/>
      </w:pPr>
      <w:r>
        <w:rPr>
          <w:rFonts w:ascii="Newsreader" w:hAnsi="Newsreader" w:cs="Newsreader"/>
          <w:b w:val="0"/>
          <w:i w:val="0"/>
          <w:color w:val="161412"/>
        </w:rPr>
        <w:t xml:space="preserve">Motion comunica energía. Un movimiento rápido y seco puede comunicar urgencia; uno suave, calma. Un rebote puede comunicar elasticidad o celebración; un colapso, pérdida de energía; un shake, discrepancia o alerta; un asentamiento, cierre.</w:t>
      </w:r>
    </w:p>
    <w:p>
      <w:pPr>
        <w:spacing w:after="120" w:line="320" w:lineRule="auto"/>
        <w:jc w:val="both"/>
      </w:pPr>
      <w:r>
        <w:rPr>
          <w:rFonts w:ascii="Newsreader" w:hAnsi="Newsreader" w:cs="Newsreader"/>
          <w:b w:val="0"/>
          <w:i w:val="0"/>
          <w:color w:val="161412"/>
        </w:rPr>
        <w:t xml:space="preserve">La energía del movimiento puede reforzar la activación del evento. Un threat, situado en una región de alta activación negativa, puede admitir entradas más rápidas, tensas o salientes. Un risk necesita una tensión más moderada. Un affirm debe ser suave y breve; un fulfill puede tener más resolución. Un loss puede usar descenso, contracción o retirada grave, no la energía urgente de una amenaza activa.</w:t>
      </w:r>
    </w:p>
    <w:p>
      <w:pPr>
        <w:spacing w:before="320" w:after="40"/>
      </w:pPr>
      <w:r>
        <w:rPr>
          <w:rFonts w:ascii="IBM Plex Sans" w:hAnsi="IBM Plex Sans" w:cs="IBM Plex Sans"/>
          <w:b/>
          <w:color w:val="1F3A5F"/>
          <w:sz w:val="18"/>
        </w:rPr>
        <w:t xml:space="preserve">§ 5</w:t>
      </w:r>
    </w:p>
    <w:p>
      <w:pPr>
        <w:spacing w:after="160" w:line="240" w:lineRule="auto"/>
      </w:pPr>
      <w:r>
        <w:rPr>
          <w:rFonts w:ascii="Newsreader" w:hAnsi="Newsreader" w:cs="Newsreader"/>
          <w:color w:val="161412"/>
          <w:sz w:val="38"/>
        </w:rPr>
        <w:t xml:space="preserve">Dirección</w:t>
      </w:r>
    </w:p>
    <w:p>
      <w:pPr>
        <w:spacing w:after="120" w:line="320" w:lineRule="auto"/>
        <w:jc w:val="both"/>
      </w:pPr>
      <w:r>
        <w:rPr>
          <w:rFonts w:ascii="Newsreader" w:hAnsi="Newsreader" w:cs="Newsreader"/>
          <w:b w:val="0"/>
          <w:i w:val="0"/>
          <w:color w:val="161412"/>
        </w:rPr>
        <w:t xml:space="preserve">Motion comunica de dónde viene algo y hacia dónde va. Un dropdown que emerge desde su trigger se entiende como dependiente de ese control. Un modal que aparece centrado comunica un marco dominante. Un panel que entra desde un borde comunica procedencia lateral. Una tarjeta que colapsa hacia una zona de descarte comunica retirada o pérdida. La dirección no es decorativa: es orientación.</w:t>
      </w:r>
    </w:p>
    <w:p>
      <w:pPr>
        <w:spacing w:before="320" w:after="40"/>
      </w:pPr>
      <w:r>
        <w:rPr>
          <w:rFonts w:ascii="IBM Plex Sans" w:hAnsi="IBM Plex Sans" w:cs="IBM Plex Sans"/>
          <w:b/>
          <w:color w:val="1F3A5F"/>
          <w:sz w:val="18"/>
        </w:rPr>
        <w:t xml:space="preserve">§ 6</w:t>
      </w:r>
    </w:p>
    <w:p>
      <w:pPr>
        <w:spacing w:after="160" w:line="240" w:lineRule="auto"/>
      </w:pPr>
      <w:r>
        <w:rPr>
          <w:rFonts w:ascii="Newsreader" w:hAnsi="Newsreader" w:cs="Newsreader"/>
          <w:color w:val="161412"/>
          <w:sz w:val="38"/>
        </w:rPr>
        <w:t xml:space="preserve">Motion y familias</w:t>
      </w:r>
    </w:p>
    <w:p>
      <w:pPr>
        <w:spacing w:after="120" w:line="320" w:lineRule="auto"/>
        <w:jc w:val="both"/>
      </w:pPr>
      <w:r>
        <w:rPr>
          <w:rFonts w:ascii="Newsreader" w:hAnsi="Newsreader" w:cs="Newsreader"/>
          <w:b w:val="0"/>
          <w:i w:val="0"/>
          <w:color w:val="161412"/>
        </w:rPr>
        <w:t xml:space="preserve">Cada familia usa el motion para lo suyo. contact, para la causalidad inmediata; commit, para el asentamiento y el cierre; signal, para llamar la atención; handle, para el control continuo. emerge, para la aparición y la retirada; shift, para el cambio de contexto; y sustain, para la continuidad.</w:t>
      </w:r>
    </w:p>
    <w:p>
      <w:pPr>
        <w:spacing w:before="320" w:after="40"/>
      </w:pPr>
      <w:r>
        <w:rPr>
          <w:rFonts w:ascii="IBM Plex Sans" w:hAnsi="IBM Plex Sans" w:cs="IBM Plex Sans"/>
          <w:b/>
          <w:color w:val="1F3A5F"/>
          <w:sz w:val="18"/>
        </w:rPr>
        <w:t xml:space="preserve">§ 7</w:t>
      </w:r>
    </w:p>
    <w:p>
      <w:pPr>
        <w:spacing w:after="160" w:line="240" w:lineRule="auto"/>
      </w:pPr>
      <w:r>
        <w:rPr>
          <w:rFonts w:ascii="Newsreader" w:hAnsi="Newsreader" w:cs="Newsreader"/>
          <w:color w:val="161412"/>
          <w:sz w:val="38"/>
        </w:rPr>
        <w:t xml:space="preserve">Motion y accesibilidad</w:t>
      </w:r>
    </w:p>
    <w:p>
      <w:pPr>
        <w:spacing w:after="120" w:line="320" w:lineRule="auto"/>
        <w:jc w:val="both"/>
      </w:pPr>
      <w:r>
        <w:rPr>
          <w:rFonts w:ascii="Newsreader" w:hAnsi="Newsreader" w:cs="Newsreader"/>
          <w:b w:val="0"/>
          <w:i w:val="0"/>
          <w:color w:val="161412"/>
        </w:rPr>
        <w:t xml:space="preserve">Motion es poderoso, pero delicado. Puede ayudar a entender causalidad y continuidad; también puede producir mareo, distracción, fatiga o malestar vestibular. Reducir motion no debe significar eliminar semántica. Si motion transportaba contacto, debe migrar a estado visual, sonido opcional o háptica; si transportaba continuidad, a texto o estado. Si transportaba cambio de contexto, a foco, título, estructura y landmarks.</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Reducir motion no significa eliminar el tiempo ni el significado. Significa expresarlos sin movimiento problemático.</w:t>
      </w:r>
    </w:p>
    <w:p>
      <w:pPr>
        <w:spacing w:before="320" w:after="40"/>
      </w:pPr>
      <w:r>
        <w:rPr>
          <w:rFonts w:ascii="IBM Plex Sans" w:hAnsi="IBM Plex Sans" w:cs="IBM Plex Sans"/>
          <w:b/>
          <w:color w:val="1F3A5F"/>
          <w:sz w:val="18"/>
        </w:rPr>
        <w:t xml:space="preserve">§ 8</w:t>
      </w:r>
    </w:p>
    <w:p>
      <w:pPr>
        <w:spacing w:after="160" w:line="240" w:lineRule="auto"/>
      </w:pPr>
      <w:r>
        <w:rPr>
          <w:rFonts w:ascii="Newsreader" w:hAnsi="Newsreader" w:cs="Newsreader"/>
          <w:color w:val="161412"/>
          <w:sz w:val="38"/>
        </w:rPr>
        <w:t xml:space="preserve">Síntesis</w:t>
      </w:r>
    </w:p>
    <w:p>
      <w:pPr>
        <w:spacing w:after="120" w:line="320" w:lineRule="auto"/>
        <w:jc w:val="both"/>
      </w:pPr>
      <w:r>
        <w:rPr>
          <w:rFonts w:ascii="Newsreader" w:hAnsi="Newsreader" w:cs="Newsreader"/>
          <w:b w:val="0"/>
          <w:i w:val="0"/>
          <w:color w:val="161412"/>
        </w:rPr>
        <w:t xml:space="preserve">Motion es la física percibida del evento. Su pregunta no es «cómo animar esto», sino «qué clase de cambio necesita percibir el usuario».</w:t>
      </w:r>
    </w:p>
    <w:p>
      <w:r>
        <w:br w:type="page"/>
      </w:r>
    </w:p>
    <w:p>
      <w:pPr>
        <w:spacing w:after="40"/>
      </w:pPr>
      <w:r>
        <w:rPr>
          <w:rFonts w:ascii="IBM Plex Sans" w:hAnsi="IBM Plex Sans" w:cs="IBM Plex Sans"/>
          <w:b/>
          <w:color w:val="1F3A5F"/>
          <w:sz w:val="18"/>
        </w:rPr>
        <w:t>CAPÍTULO 14</w:t>
      </w:r>
    </w:p>
    <w:p>
      <w:pPr>
        <w:spacing w:after="80" w:line="240" w:lineRule="auto"/>
      </w:pPr>
      <w:r>
        <w:rPr>
          <w:rFonts w:ascii="IBM Plex Sans" w:hAnsi="IBM Plex Sans" w:cs="IBM Plex Sans"/>
          <w:color w:val="161412"/>
          <w:sz w:val="220"/>
        </w:rPr>
        <w:t>14</w:t>
      </w:r>
    </w:p>
    <w:p>
      <w:pPr>
        <w:spacing w:after="60" w:line="240" w:lineRule="auto"/>
      </w:pPr>
      <w:r>
        <w:rPr>
          <w:rFonts w:ascii="Newsreader" w:hAnsi="Newsreader" w:cs="Newsreader"/>
          <w:color w:val="161412"/>
          <w:sz w:val="60"/>
        </w:rPr>
        <w:t>Presencia y profundidad</w:t>
      </w:r>
    </w:p>
    <w:p>
      <w:pPr>
        <w:spacing w:after="280"/>
      </w:pPr>
      <w:r>
        <w:rPr>
          <w:rFonts w:ascii="IBM Plex Sans" w:hAnsi="IBM Plex Sans" w:cs="IBM Plex Sans"/>
          <w:color w:val="6A635A"/>
          <w:sz w:val="26"/>
        </w:rPr>
        <w:t>Lo que está, lo que aparece y lo que ocupa un plano</w:t>
      </w:r>
    </w:p>
    <w:p>
      <w:pPr>
        <w:pBdr>
          <w:bottom w:val="single" w:sz="4" w:space="4" w:color="1F3A5F"/>
        </w:pBdr>
      </w:pP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¿Qué distingue estar, aparecer y ocupar un plano en el campo perceptivo de la interfaz?</w:t>
      </w:r>
    </w:p>
    <w:p>
      <w:pPr>
        <w:spacing w:after="120" w:line="320" w:lineRule="auto"/>
        <w:jc w:val="both"/>
      </w:pPr>
      <w:r>
        <w:rPr>
          <w:rFonts w:ascii="Newsreader" w:hAnsi="Newsreader" w:cs="Newsreader"/>
          <w:b w:val="0"/>
          <w:i w:val="0"/>
          <w:color w:val="161412"/>
        </w:rPr>
        <w:t>A veces lo decisivo no es que algo se mueva, sino que algo aparece. Un tooltip entra en el campo. Un dropdown se abre bajo un botón. Un panel lateral se despliega. Un modal se impone sobre la página. Una tarjeta desaparece de una lista. Una barra de undo aparece después de eliminar. Un objeto arrastrado se eleva sobre el layout. En todos esos casos, la interfaz no solo muestra o esconde elementos: reorganiza la presencia y la profundidad del campo perceptivo.</w:t>
      </w:r>
    </w:p>
    <w:p>
      <w:pPr>
        <w:spacing w:after="120" w:line="320" w:lineRule="auto"/>
        <w:jc w:val="both"/>
      </w:pPr>
      <w:r>
        <w:rPr>
          <w:rFonts w:ascii="Newsreader" w:hAnsi="Newsreader" w:cs="Newsreader"/>
          <w:b w:val="0"/>
          <w:i w:val="0"/>
          <w:color w:val="161412"/>
        </w:rPr>
        <w:t>La presencia responde a: ¿esto está aquí, aparece, permanece o se retira? La profundidad responde a: ¿en qué plano ocurre y qué prioridad tiene? Ambos canales son esenciales para entender emerge, shift, handle, signal y commit.delete + loss.</w:t>
      </w:r>
    </w:p>
    <w:p>
      <w:pPr>
        <w:spacing w:before="320" w:after="40"/>
      </w:pPr>
      <w:r>
        <w:rPr>
          <w:rFonts w:ascii="IBM Plex Sans" w:hAnsi="IBM Plex Sans" w:cs="IBM Plex Sans"/>
          <w:b/>
          <w:color w:val="1F3A5F"/>
          <w:sz w:val="18"/>
        </w:rPr>
        <w:t>§ 1</w:t>
      </w:r>
    </w:p>
    <w:p>
      <w:pPr>
        <w:spacing w:after="160" w:line="240" w:lineRule="auto"/>
      </w:pPr>
      <w:r>
        <w:rPr>
          <w:rFonts w:ascii="Newsreader" w:hAnsi="Newsreader" w:cs="Newsreader"/>
          <w:color w:val="161412"/>
          <w:sz w:val="38"/>
        </w:rPr>
        <w:t>Presencia no es existencia técnica</w:t>
      </w:r>
    </w:p>
    <w:p>
      <w:pPr>
        <w:spacing w:after="120" w:line="320" w:lineRule="auto"/>
        <w:jc w:val="both"/>
      </w:pPr>
      <w:r>
        <w:rPr>
          <w:rFonts w:ascii="Newsreader" w:hAnsi="Newsreader" w:cs="Newsreader"/>
          <w:b w:val="0"/>
          <w:i w:val="0"/>
          <w:color w:val="161412"/>
        </w:rPr>
        <w:t>Un elemento puede existir técnicamente y no estar presente para el usuario: puede estar en el DOM pero oculto, fuera del viewport, colapsado, subordinado, inaccesible por foco; puede existir como estado interno pero no como experiencia. Y al revés: algo puede ser técnicamente transitorio y tener una presencia perceptiva muy fuerte, como un modal, una alerta o un toast.</w:t>
      </w:r>
    </w:p>
    <w:p>
      <w:pPr>
        <w:spacing w:after="120" w:line="320" w:lineRule="auto"/>
        <w:jc w:val="both"/>
      </w:pPr>
      <w:r>
        <w:rPr>
          <w:rFonts w:ascii="Newsreader" w:hAnsi="Newsreader" w:cs="Newsreader"/>
          <w:b w:val="0"/>
          <w:i w:val="0"/>
          <w:color w:val="161412"/>
        </w:rPr>
        <w:t>Por eso, en este libro, presencia no significa existencia técnica: significa existencia perceptiva. La pregunta no es «¿está renderizado?», sino «¿forma parte del campo perceptivo del usuario?».</w:t>
      </w:r>
    </w:p>
    <w:p>
      <w:pPr>
        <w:spacing w:before="320" w:after="40"/>
      </w:pPr>
      <w:r>
        <w:rPr>
          <w:rFonts w:ascii="IBM Plex Sans" w:hAnsi="IBM Plex Sans" w:cs="IBM Plex Sans"/>
          <w:b/>
          <w:color w:val="1F3A5F"/>
          <w:sz w:val="18"/>
        </w:rPr>
        <w:t>§ 2</w:t>
      </w:r>
    </w:p>
    <w:p>
      <w:pPr>
        <w:spacing w:after="160" w:line="240" w:lineRule="auto"/>
      </w:pPr>
      <w:r>
        <w:rPr>
          <w:rFonts w:ascii="Newsreader" w:hAnsi="Newsreader" w:cs="Newsreader"/>
          <w:color w:val="161412"/>
          <w:sz w:val="38"/>
        </w:rPr>
        <w:t>Fundamento psicoperceptivo: figura/fondo, plano y claves de profundidad</w:t>
      </w:r>
    </w:p>
    <w:p>
      <w:pPr>
        <w:spacing w:after="120" w:line="320" w:lineRule="auto"/>
        <w:jc w:val="both"/>
      </w:pPr>
      <w:r>
        <w:rPr>
          <w:rFonts w:ascii="Newsreader" w:hAnsi="Newsreader" w:cs="Newsreader"/>
          <w:b w:val="0"/>
          <w:i w:val="0"/>
          <w:color w:val="161412"/>
        </w:rPr>
        <w:t>Presencia y profundidad se apoyan en la forma en que la percepción organiza el campo visual. La psicología Gestalt mostró que no percibimos elementos aislados, sino relaciones: agrupación, continuidad, figura/fondo, cierre, proximidad, semejanza y destino común. Esto es fundamental para entender por qué un modal, un tooltip o un dropdown no son solo rectángulos que aparecen en pantalla: cada uno reorganiza el campo de una manera distinta.</w:t>
      </w:r>
    </w:p>
    <w:p>
      <w:pPr>
        <w:spacing w:after="120" w:line="320" w:lineRule="auto"/>
        <w:jc w:val="both"/>
      </w:pPr>
      <w:r>
        <w:rPr>
          <w:rFonts w:ascii="Newsreader" w:hAnsi="Newsreader" w:cs="Newsreader"/>
          <w:b w:val="0"/>
          <w:i w:val="0"/>
          <w:color w:val="161412"/>
        </w:rPr>
        <w:t>La distinción figura/fondo es especialmente importante. Cuando un modal aparece sobre una página, el contenido anterior no desaparece necesariamente, pero pasa a funcionar como fondo subordinado; el modal se convierte en figura operativa.</w:t>
      </w:r>
    </w:p>
    <w:p>
      <w:pPr>
        <w:spacing w:after="120" w:line="320" w:lineRule="auto"/>
        <w:jc w:val="both"/>
      </w:pPr>
      <w:r>
        <w:rPr>
          <w:rFonts w:ascii="Newsreader" w:hAnsi="Newsreader" w:cs="Newsreader"/>
          <w:b w:val="0"/>
          <w:i w:val="0"/>
          <w:color w:val="161412"/>
        </w:rPr>
        <w:t>La profundidad se construye mediante claves perceptivas como oclusión, sombra, escala relativa, desenfoque, superposición y tratamiento del fondo. La pantalla es plana, pero esas claves permiten leer relaciones: esto está delante, esto queda detrás, esto flota, esto depende de aquello, esto domina el marco actual. Por eso shift.enter-mode no se comunica solo porque aparece un modal, sino porque cambia la relación de planos. En handle.pick, la profundidad comunica otro cambio: el objeto pasa del layout al régimen de manipulación. En emerge, la presencia permite leer aparición o retirada. En loss, la ausencia misma puede comunicar que algo dejó de estar disponible.</w:t>
      </w:r>
    </w:p>
    <w:p>
      <w:pPr>
        <w:spacing w:before="320" w:after="40"/>
      </w:pPr>
      <w:r>
        <w:rPr>
          <w:rFonts w:ascii="IBM Plex Sans" w:hAnsi="IBM Plex Sans" w:cs="IBM Plex Sans"/>
          <w:b/>
          <w:color w:val="1F3A5F"/>
          <w:sz w:val="18"/>
        </w:rPr>
        <w:t>§ 3</w:t>
      </w:r>
    </w:p>
    <w:p>
      <w:pPr>
        <w:spacing w:after="160" w:line="240" w:lineRule="auto"/>
      </w:pPr>
      <w:r>
        <w:rPr>
          <w:rFonts w:ascii="Newsreader" w:hAnsi="Newsreader" w:cs="Newsreader"/>
          <w:color w:val="161412"/>
          <w:sz w:val="38"/>
        </w:rPr>
        <w:t>emerge, shift y signal: tres formas de aparecer</w:t>
      </w:r>
    </w:p>
    <w:p>
      <w:pPr>
        <w:spacing w:after="120" w:line="320" w:lineRule="auto"/>
        <w:jc w:val="both"/>
      </w:pPr>
      <w:r>
        <w:rPr>
          <w:rFonts w:ascii="Newsreader" w:hAnsi="Newsreader" w:cs="Newsreader"/>
          <w:b w:val="0"/>
          <w:i w:val="0"/>
          <w:color w:val="161412"/>
        </w:rPr>
        <w:t>No todo lo que aparece pertenece a la misma familia. Un tooltip, un dropdown, un modal, un toast y un error inline aparecen todos, pero no son el mismo evento:</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Tooltip</w:t>
      </w:r>
      <w:r>
        <w:rPr>
          <w:rFonts w:ascii="Newsreader" w:hAnsi="Newsreader" w:cs="Newsreader"/>
          <w:b w:val="0"/>
          <w:i w:val="0"/>
          <w:color w:val="161412"/>
        </w:rPr>
        <w:t xml:space="preserve"> → emerge.present: aparece información auxiliar; no cambia el marco ni reclama atención urgente, y debe estar anclado al elemento que explica.</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Dropdown</w:t>
      </w:r>
      <w:r>
        <w:rPr>
          <w:rFonts w:ascii="Newsreader" w:hAnsi="Newsreader" w:cs="Newsreader"/>
          <w:b w:val="0"/>
          <w:i w:val="0"/>
          <w:color w:val="161412"/>
        </w:rPr>
        <w:t xml:space="preserve"> → emerge.open: aparecen opciones locales; la superficie depende de un trigger, el fondo sigue activo, no hay cambio de régimen operativo completo.</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Modal</w:t>
      </w:r>
      <w:r>
        <w:rPr>
          <w:rFonts w:ascii="Newsreader" w:hAnsi="Newsreader" w:cs="Newsreader"/>
          <w:b w:val="0"/>
          <w:i w:val="0"/>
          <w:color w:val="161412"/>
        </w:rPr>
        <w:t xml:space="preserve"> → shift.enter-mode: aparece una superficie, sí, pero su función principal no es aparecer, sino cambiar el contexto —subordina el fondo, captura el foco y exige una acción dentro de un nuevo régimen—.</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Toast</w:t>
      </w:r>
      <w:r>
        <w:rPr>
          <w:rFonts w:ascii="Newsreader" w:hAnsi="Newsreader" w:cs="Newsreader"/>
          <w:b w:val="0"/>
          <w:i w:val="0"/>
          <w:color w:val="161412"/>
        </w:rPr>
        <w:t xml:space="preserve"> → signal.notify + neutral: aparece un mensaje iniciado por el sistema; la presencia sirve a la señal.</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Error inline</w:t>
      </w:r>
      <w:r>
        <w:rPr>
          <w:rFonts w:ascii="Newsreader" w:hAnsi="Newsreader" w:cs="Newsreader"/>
          <w:b w:val="0"/>
          <w:i w:val="0"/>
          <w:color w:val="161412"/>
        </w:rPr>
        <w:t xml:space="preserve"> → signal.warn + risk: aparece junto a un campo, pero su función no es solo presencia; reclama atención sobre un problema corregible.</w:t>
      </w:r>
    </w:p>
    <w:p>
      <w:pPr>
        <w:spacing w:after="120" w:line="320" w:lineRule="auto"/>
        <w:jc w:val="both"/>
      </w:pPr>
      <w:r>
        <w:rPr>
          <w:rFonts w:ascii="Newsreader" w:hAnsi="Newsreader" w:cs="Newsreader"/>
          <w:b w:val="0"/>
          <w:i w:val="0"/>
          <w:color w:val="161412"/>
        </w:rPr>
        <w:t>La pregunta clave es doble: ¿algo apareció, o el sistema está reclamando atención? ¿Algo apareció, o cambió el contexto?</w:t>
      </w:r>
    </w:p>
    <w:p>
      <w:pPr>
        <w:spacing w:before="200" w:after="60"/>
        <w:jc w:val="center"/>
      </w:pPr>
      <w:r>
        <w:drawing>
          <wp:inline xmlns:a="http://schemas.openxmlformats.org/drawingml/2006/main" xmlns:pic="http://schemas.openxmlformats.org/drawingml/2006/picture">
            <wp:extent cx="5029200" cy="2514600"/>
            <wp:docPr id="62" name="Picture 62"/>
            <wp:cNvGraphicFramePr>
              <a:graphicFrameLocks noChangeAspect="1"/>
            </wp:cNvGraphicFramePr>
            <a:graphic>
              <a:graphicData uri="http://schemas.openxmlformats.org/drawingml/2006/picture">
                <pic:pic>
                  <pic:nvPicPr>
                    <pic:cNvPr id="0" name="figura-14-1.png"/>
                    <pic:cNvPicPr/>
                  </pic:nvPicPr>
                  <pic:blipFill>
                    <a:blip r:embed="rId70"/>
                    <a:stretch>
                      <a:fillRect/>
                    </a:stretch>
                  </pic:blipFill>
                  <pic:spPr>
                    <a:xfrm>
                      <a:off x="0" y="0"/>
                      <a:ext cx="5029200" cy="2514600"/>
                    </a:xfrm>
                    <a:prstGeom prst="rect"/>
                  </pic:spPr>
                </pic:pic>
              </a:graphicData>
            </a:graphic>
          </wp:inline>
        </w:drawing>
      </w:r>
    </w:p>
    <w:p>
      <w:pPr>
        <w:spacing w:before="320" w:after="40"/>
      </w:pPr>
      <w:r>
        <w:rPr>
          <w:rFonts w:ascii="IBM Plex Sans" w:hAnsi="IBM Plex Sans" w:cs="IBM Plex Sans"/>
          <w:b/>
          <w:color w:val="1F3A5F"/>
          <w:sz w:val="18"/>
        </w:rPr>
        <w:t>§ 4</w:t>
      </w:r>
    </w:p>
    <w:p>
      <w:pPr>
        <w:spacing w:after="160" w:line="240" w:lineRule="auto"/>
      </w:pPr>
      <w:r>
        <w:rPr>
          <w:rFonts w:ascii="Newsreader" w:hAnsi="Newsreader" w:cs="Newsreader"/>
          <w:color w:val="161412"/>
          <w:sz w:val="38"/>
        </w:rPr>
        <w:t>Profundidad no significa importancia</w:t>
      </w:r>
    </w:p>
    <w:p>
      <w:pPr>
        <w:spacing w:after="120" w:line="320" w:lineRule="auto"/>
        <w:jc w:val="both"/>
      </w:pPr>
      <w:r>
        <w:rPr>
          <w:rFonts w:ascii="Newsreader" w:hAnsi="Newsreader" w:cs="Newsreader"/>
          <w:b w:val="0"/>
          <w:i w:val="0"/>
          <w:color w:val="161412"/>
        </w:rPr>
        <w:t>Un error frecuente es asumir que todo lo que está «más arriba» es más importante. No necesariamente: un dropdown puede flotar sin ser importante, un tooltip puede estar por encima sin ser urgente, un objeto arrastrado puede elevarse porque está bajo control —no porque sea crítico— y un modal puede estar delante porque cambia el marco, no porque su contenido sea peligroso.</w:t>
      </w:r>
    </w:p>
    <w:p>
      <w:pPr>
        <w:spacing w:after="120" w:line="320" w:lineRule="auto"/>
        <w:jc w:val="both"/>
      </w:pPr>
      <w:r>
        <w:rPr>
          <w:rFonts w:ascii="Newsreader" w:hAnsi="Newsreader" w:cs="Newsreader"/>
          <w:b w:val="0"/>
          <w:i w:val="0"/>
          <w:color w:val="161412"/>
        </w:rPr>
        <w:t>La profundidad comunica plano, relación y régimen operativo; la importancia afectiva depende del evento evaluable. Por eso shift.enter-mode seguido de signal.warn + threat es más preciso que shift.enter-mode + threat: el modal cambia el plano; la advertencia porta la amenaza.</w:t>
      </w:r>
    </w:p>
    <w:p>
      <w:pPr>
        <w:spacing w:before="160" w:after="40"/>
        <w:pBdr>
          <w:left w:val="single" w:sz="18" w:space="12" w:color="1F3A5F"/>
        </w:pBdr>
      </w:pPr>
      <w:r>
        <w:rPr>
          <w:rFonts w:ascii="IBM Plex Sans" w:hAnsi="IBM Plex Sans" w:cs="IBM Plex Sans"/>
          <w:b/>
          <w:color w:val="1F3A5F"/>
          <w:sz w:val="16"/>
        </w:rPr>
        <w:t>DISTINCIÓN</w:t>
      </w:r>
    </w:p>
    <w:p>
      <w:pPr>
        <w:spacing w:after="120" w:line="312" w:lineRule="auto"/>
        <w:pBdr>
          <w:left w:val="single" w:sz="18" w:space="12" w:color="1F3A5F"/>
        </w:pBdr>
      </w:pPr>
      <w:r>
        <w:rPr>
          <w:rFonts w:ascii="Newsreader" w:hAnsi="Newsreader" w:cs="Newsreader"/>
          <w:b w:val="0"/>
          <w:i/>
          <w:color w:val="3A352F"/>
        </w:rPr>
        <w:t>Más profundidad no significa más peligro. Significa otro plano operativo.</w:t>
      </w:r>
    </w:p>
    <w:p>
      <w:pPr>
        <w:spacing w:before="320" w:after="40"/>
      </w:pPr>
      <w:r>
        <w:rPr>
          <w:rFonts w:ascii="IBM Plex Sans" w:hAnsi="IBM Plex Sans" w:cs="IBM Plex Sans"/>
          <w:b/>
          <w:color w:val="1F3A5F"/>
          <w:sz w:val="18"/>
        </w:rPr>
        <w:t>§ 5</w:t>
      </w:r>
    </w:p>
    <w:p>
      <w:pPr>
        <w:spacing w:after="160" w:line="240" w:lineRule="auto"/>
      </w:pPr>
      <w:r>
        <w:rPr>
          <w:rFonts w:ascii="Newsreader" w:hAnsi="Newsreader" w:cs="Newsreader"/>
          <w:color w:val="161412"/>
          <w:sz w:val="38"/>
        </w:rPr>
        <w:t>Desaparecer no significa perder</w:t>
      </w:r>
    </w:p>
    <w:p>
      <w:pPr>
        <w:spacing w:after="120" w:line="320" w:lineRule="auto"/>
        <w:jc w:val="both"/>
      </w:pPr>
      <w:r>
        <w:rPr>
          <w:rFonts w:ascii="Newsreader" w:hAnsi="Newsreader" w:cs="Newsreader"/>
          <w:b w:val="0"/>
          <w:i w:val="0"/>
          <w:color w:val="161412"/>
        </w:rPr>
        <w:t>La desaparición visual es ambigua. Una tarjeta puede desaparecer porque se cerró, se ocultó, se filtró, se colapsó, se descartó, se eliminó o se perdió, y si la interfaz no distingue esas diferencias, el usuario debe adivinarlas. La gramática las separa: emerge.close dice «se cerró una superficie»; emerge.hide dice «sigue existiendo, pero no está visible»; emerge.collapse dice «el contenido volvió a estar contenido»; commit.delete + loss dice «dejó de estar disponible». La presencia debe hacer legible si algo se retira de la vista o si realmente deja de existir operativamente.</w:t>
      </w:r>
    </w:p>
    <w:p>
      <w:pPr>
        <w:spacing w:before="200" w:after="60"/>
        <w:jc w:val="center"/>
      </w:pPr>
      <w:r>
        <w:drawing>
          <wp:inline xmlns:a="http://schemas.openxmlformats.org/drawingml/2006/main" xmlns:pic="http://schemas.openxmlformats.org/drawingml/2006/picture">
            <wp:extent cx="5029200" cy="2514600"/>
            <wp:docPr id="63" name="Picture 63"/>
            <wp:cNvGraphicFramePr>
              <a:graphicFrameLocks noChangeAspect="1"/>
            </wp:cNvGraphicFramePr>
            <a:graphic>
              <a:graphicData uri="http://schemas.openxmlformats.org/drawingml/2006/picture">
                <pic:pic>
                  <pic:nvPicPr>
                    <pic:cNvPr id="0" name="figura-14-2.png"/>
                    <pic:cNvPicPr/>
                  </pic:nvPicPr>
                  <pic:blipFill>
                    <a:blip r:embed="rId71"/>
                    <a:stretch>
                      <a:fillRect/>
                    </a:stretch>
                  </pic:blipFill>
                  <pic:spPr>
                    <a:xfrm>
                      <a:off x="0" y="0"/>
                      <a:ext cx="5029200" cy="2514600"/>
                    </a:xfrm>
                    <a:prstGeom prst="rect"/>
                  </pic:spPr>
                </pic:pic>
              </a:graphicData>
            </a:graphic>
          </wp:inline>
        </w:drawing>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La desaparición visual es ambigua. La semántica debe distinguir retirada, ocultación, colapso y pérdida.</w:t>
      </w:r>
    </w:p>
    <w:p>
      <w:pPr>
        <w:spacing w:before="320" w:after="40"/>
      </w:pPr>
      <w:r>
        <w:rPr>
          <w:rFonts w:ascii="IBM Plex Sans" w:hAnsi="IBM Plex Sans" w:cs="IBM Plex Sans"/>
          <w:b/>
          <w:color w:val="1F3A5F"/>
          <w:sz w:val="18"/>
        </w:rPr>
        <w:t>§ 6</w:t>
      </w:r>
    </w:p>
    <w:p>
      <w:pPr>
        <w:spacing w:after="160" w:line="240" w:lineRule="auto"/>
      </w:pPr>
      <w:r>
        <w:rPr>
          <w:rFonts w:ascii="Newsreader" w:hAnsi="Newsreader" w:cs="Newsreader"/>
          <w:color w:val="161412"/>
          <w:sz w:val="38"/>
        </w:rPr>
        <w:t>Ejemplo narrativo: tarjeta eliminada con undo</w:t>
      </w:r>
    </w:p>
    <w:p>
      <w:pPr>
        <w:spacing w:after="120" w:line="320" w:lineRule="auto"/>
        <w:jc w:val="both"/>
      </w:pPr>
      <w:r>
        <w:rPr>
          <w:rFonts w:ascii="Newsreader" w:hAnsi="Newsreader" w:cs="Newsreader"/>
          <w:b w:val="0"/>
          <w:i w:val="0"/>
          <w:color w:val="161412"/>
        </w:rPr>
        <w:t>Un usuario elimina una tarjeta de una lista. La solución pobre: la tarjeta hace fade out, y el usuario puede no saber si se ocultó, se filtró, se movió o se eliminó. La solución semántica es una secuencia: signal.warn + threat si la acción es destructiva; al confirmar, commit.delete + loss —la tarjeta se retira como consecuencia—; y después, emerge.present con la barra de deshacer, cerrando con signal.announce + neutral.</w:t>
      </w:r>
    </w:p>
    <w:p>
      <w:pPr>
        <w:spacing w:after="120" w:line="320" w:lineRule="auto"/>
        <w:jc w:val="both"/>
      </w:pPr>
      <w:r>
        <w:rPr>
          <w:rFonts w:ascii="Newsreader" w:hAnsi="Newsreader" w:cs="Newsreader"/>
          <w:b w:val="0"/>
          <w:i w:val="0"/>
          <w:color w:val="161412"/>
        </w:rPr>
        <w:t>La barra de undo no es la pérdida: la pérdida ya ocurrió en el commit. La barra emerge como posibilidad temporal de reparación. En canales: la presencia retira la tarjeta, el motion expresa la retirada, la forma trae la barra, el texto dice «Tarjeta eliminada», el tiempo mantiene el undo lo suficiente, el color refuerza con sobriedad y la accesibilidad anuncia si procede. La lectura final: «esto se eliminó, pero todavía puedes deshacerlo».</w:t>
      </w:r>
    </w:p>
    <w:p>
      <w:pPr>
        <w:spacing w:before="320" w:after="40"/>
      </w:pPr>
      <w:r>
        <w:rPr>
          <w:rFonts w:ascii="IBM Plex Sans" w:hAnsi="IBM Plex Sans" w:cs="IBM Plex Sans"/>
          <w:b/>
          <w:color w:val="1F3A5F"/>
          <w:sz w:val="18"/>
        </w:rPr>
        <w:t>§ 7</w:t>
      </w:r>
    </w:p>
    <w:p>
      <w:pPr>
        <w:spacing w:after="160" w:line="240" w:lineRule="auto"/>
      </w:pPr>
      <w:r>
        <w:rPr>
          <w:rFonts w:ascii="Newsreader" w:hAnsi="Newsreader" w:cs="Newsreader"/>
          <w:color w:val="161412"/>
          <w:sz w:val="38"/>
        </w:rPr>
        <w:t>Ejemplo narrativo: command palette</w:t>
      </w:r>
    </w:p>
    <w:p>
      <w:pPr>
        <w:spacing w:after="120" w:line="320" w:lineRule="auto"/>
        <w:jc w:val="both"/>
      </w:pPr>
      <w:r>
        <w:rPr>
          <w:rFonts w:ascii="Newsreader" w:hAnsi="Newsreader" w:cs="Newsreader"/>
          <w:b w:val="0"/>
          <w:i w:val="0"/>
          <w:color w:val="161412"/>
        </w:rPr>
        <w:t>Una command palette aparece sobre la interfaz. Podría parecer un caso de emerge, porque «aparece algo», pero semánticamente es más fuerte: captura el foco, convierte el teclado en canal principal, permite ejecutar acciones globales, subordina el fondo e introduce un modo temporal. Cambia el régimen operativo. Por tanto es shift.enter-mode, no emerge.open: aunque la superficie aparezca, su función principal no es presencia local, sino cambio de contexto.</w:t>
      </w:r>
    </w:p>
    <w:p>
      <w:pPr>
        <w:spacing w:after="120" w:line="320" w:lineRule="auto"/>
        <w:jc w:val="both"/>
      </w:pPr>
      <w:r>
        <w:rPr>
          <w:rFonts w:ascii="Newsreader" w:hAnsi="Newsreader" w:cs="Newsreader"/>
          <w:b w:val="0"/>
          <w:i w:val="0"/>
          <w:color w:val="161412"/>
        </w:rPr>
        <w:t>En canales: profundidad de superficie dominante, entrada clara, foco en el input, shell reconocible, motion rápido, y gestión accesible de foco, escape y retorno. La lectura: «ahora estás operando sobre el sistema entero desde otro modo».</w:t>
      </w:r>
    </w:p>
    <w:p>
      <w:pPr>
        <w:spacing w:before="320" w:after="40"/>
      </w:pPr>
      <w:r>
        <w:rPr>
          <w:rFonts w:ascii="IBM Plex Sans" w:hAnsi="IBM Plex Sans" w:cs="IBM Plex Sans"/>
          <w:b/>
          <w:color w:val="1F3A5F"/>
          <w:sz w:val="18"/>
        </w:rPr>
        <w:t>§ 8</w:t>
      </w:r>
    </w:p>
    <w:p>
      <w:pPr>
        <w:spacing w:after="160" w:line="240" w:lineRule="auto"/>
      </w:pPr>
      <w:r>
        <w:rPr>
          <w:rFonts w:ascii="Newsreader" w:hAnsi="Newsreader" w:cs="Newsreader"/>
          <w:color w:val="161412"/>
          <w:sz w:val="38"/>
        </w:rPr>
        <w:t>Accesibilidad de presencia y profundidad</w:t>
      </w:r>
    </w:p>
    <w:p>
      <w:pPr>
        <w:spacing w:after="120" w:line="320" w:lineRule="auto"/>
        <w:jc w:val="both"/>
      </w:pPr>
      <w:r>
        <w:rPr>
          <w:rFonts w:ascii="Newsreader" w:hAnsi="Newsreader" w:cs="Newsreader"/>
          <w:b w:val="0"/>
          <w:i w:val="0"/>
          <w:color w:val="161412"/>
        </w:rPr>
        <w:t>Presencia y profundidad pueden ser claras visualmente y opacas para otros modos de interacción. Un modal visualmente evidente puede fallar si no gestiona el foco; un fondo oscurecido puede parecer subordinado pero seguir activo para el teclado; un toast puede aparecer sin ser anunciado; un dropdown puede flotar sin estar relacionado con su trigger; un cambio de vista puede ser visible sin mover el foco ni actualizar el título.</w:t>
      </w:r>
    </w:p>
    <w:p>
      <w:pPr>
        <w:spacing w:after="120" w:line="320" w:lineRule="auto"/>
        <w:jc w:val="both"/>
      </w:pPr>
      <w:r>
        <w:rPr>
          <w:rFonts w:ascii="Newsreader" w:hAnsi="Newsreader" w:cs="Newsreader"/>
          <w:b w:val="0"/>
          <w:i w:val="0"/>
          <w:color w:val="161412"/>
        </w:rPr>
        <w:t>La accesibilidad exige coherencia entre el plano visual, el foco, el árbol accesible, el orden de lectura y el estado operativo. Si algo emerge visualmente, también debe emerger operativamente; si un fondo queda subordinado visualmente, también debe quedarlo en la interacción.</w:t>
      </w:r>
    </w:p>
    <w:p>
      <w:pPr>
        <w:spacing w:before="320" w:after="40"/>
      </w:pPr>
      <w:r>
        <w:rPr>
          <w:rFonts w:ascii="IBM Plex Sans" w:hAnsi="IBM Plex Sans" w:cs="IBM Plex Sans"/>
          <w:b/>
          <w:color w:val="1F3A5F"/>
          <w:sz w:val="18"/>
        </w:rPr>
        <w:t>§ 9</w:t>
      </w:r>
    </w:p>
    <w:p>
      <w:pPr>
        <w:spacing w:after="160" w:line="240" w:lineRule="auto"/>
      </w:pPr>
      <w:r>
        <w:rPr>
          <w:rFonts w:ascii="Newsreader" w:hAnsi="Newsreader" w:cs="Newsreader"/>
          <w:color w:val="161412"/>
          <w:sz w:val="38"/>
        </w:rPr>
        <w:t>Antipatrones</w:t>
      </w:r>
    </w:p>
    <w:p>
      <w:pPr>
        <w:spacing w:after="120" w:line="320" w:lineRule="auto"/>
        <w:jc w:val="both"/>
      </w:pPr>
      <w:r>
        <w:rPr>
          <w:rFonts w:ascii="Newsreader" w:hAnsi="Newsreader" w:cs="Newsreader"/>
          <w:b/>
          <w:i w:val="0"/>
          <w:color w:val="161412"/>
        </w:rPr>
        <w:t>Profundidad decorativa.</w:t>
      </w:r>
      <w:r>
        <w:rPr>
          <w:rFonts w:ascii="Newsreader" w:hAnsi="Newsreader" w:cs="Newsreader"/>
          <w:b w:val="0"/>
          <w:i w:val="0"/>
          <w:color w:val="161412"/>
        </w:rPr>
        <w:t xml:space="preserve"> Sombras y elevaciones repartidas por estética, sin régimen operativo detrás. Si todo flota, ningún plano significa nada. La profundidad declara jerarquía de régimen: se usa cuando el régimen cambia.</w:t>
      </w:r>
    </w:p>
    <w:p>
      <w:pPr>
        <w:spacing w:after="120" w:line="320" w:lineRule="auto"/>
        <w:jc w:val="both"/>
      </w:pPr>
      <w:r>
        <w:rPr>
          <w:rFonts w:ascii="Newsreader" w:hAnsi="Newsreader" w:cs="Newsreader"/>
          <w:b/>
          <w:i w:val="0"/>
          <w:color w:val="161412"/>
        </w:rPr>
        <w:t>Fondo vivo.</w:t>
      </w:r>
      <w:r>
        <w:rPr>
          <w:rFonts w:ascii="Newsreader" w:hAnsi="Newsreader" w:cs="Newsreader"/>
          <w:b w:val="0"/>
          <w:i w:val="0"/>
          <w:color w:val="161412"/>
        </w:rPr>
        <w:t xml:space="preserve"> El contenido queda visualmente subordinado —oscurecido, desenfocado— pero sigue aceptando interacción. La percepción dice «esto está apartado» y el sistema dice lo contrario. Subordinación visual y subordinación operativa van juntas.</w:t>
      </w:r>
    </w:p>
    <w:p>
      <w:pPr>
        <w:spacing w:after="120" w:line="320" w:lineRule="auto"/>
        <w:jc w:val="both"/>
      </w:pPr>
      <w:r>
        <w:rPr>
          <w:rFonts w:ascii="Newsreader" w:hAnsi="Newsreader" w:cs="Newsreader"/>
          <w:b/>
          <w:i w:val="0"/>
          <w:color w:val="161412"/>
        </w:rPr>
        <w:t>El marco que grita.</w:t>
      </w:r>
      <w:r>
        <w:rPr>
          <w:rFonts w:ascii="Newsreader" w:hAnsi="Newsreader" w:cs="Newsreader"/>
          <w:b w:val="0"/>
          <w:i w:val="0"/>
          <w:color w:val="161412"/>
        </w:rPr>
        <w:t xml:space="preserve"> Cargar la amenaza en el plano elevado —el modal entero teñido, la capa que tiembla— en lugar de en el mensaje evaluable que contiene. El plano organiza; la señal evalúa.</w:t>
      </w:r>
    </w:p>
    <w:p>
      <w:pPr>
        <w:spacing w:before="320" w:after="40"/>
      </w:pPr>
      <w:r>
        <w:rPr>
          <w:rFonts w:ascii="IBM Plex Sans" w:hAnsi="IBM Plex Sans" w:cs="IBM Plex Sans"/>
          <w:b/>
          <w:color w:val="1F3A5F"/>
          <w:sz w:val="18"/>
        </w:rPr>
        <w:t>§ 10</w:t>
      </w:r>
    </w:p>
    <w:p>
      <w:pPr>
        <w:spacing w:after="160" w:line="240" w:lineRule="auto"/>
      </w:pPr>
      <w:r>
        <w:rPr>
          <w:rFonts w:ascii="Newsreader" w:hAnsi="Newsreader" w:cs="Newsreader"/>
          <w:color w:val="161412"/>
          <w:sz w:val="38"/>
        </w:rPr>
        <w:t>Síntesis</w:t>
      </w:r>
    </w:p>
    <w:p>
      <w:pPr>
        <w:spacing w:after="120" w:line="320" w:lineRule="auto"/>
        <w:jc w:val="both"/>
      </w:pPr>
      <w:r>
        <w:rPr>
          <w:rFonts w:ascii="Newsreader" w:hAnsi="Newsreader" w:cs="Newsreader"/>
          <w:b w:val="0"/>
          <w:i w:val="0"/>
          <w:color w:val="161412"/>
        </w:rPr>
        <w:t>Presencia y profundidad comunican existencia perceptiva, plano y régimen. La presencia pregunta si esto está, aparece, permanece o se retira; la profundidad, en qué plano ocurre y qué prioridad tiene. Y las reglas centrales del capítulo caben en cuatro negaciones: aparecer no es advertir; aparecer no es cambiar de marco; flotar no significa ser importante; desaparecer no significa perder.</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La interfaz no solo muestra elementos. Hace entrar, salir, elevarse, subordinarse y desaparecer partes del contexto operativo.</w:t>
      </w:r>
    </w:p>
    <w:p>
      <w:pPr>
        <w:spacing w:after="200" w:before="40"/>
      </w:pPr>
      <w:r>
        <w:rPr>
          <w:rFonts w:ascii="IBM Plex Sans" w:hAnsi="IBM Plex Sans" w:cs="IBM Plex Sans"/>
          <w:b/>
          <w:color w:val="1F3A5F"/>
          <w:sz w:val="17"/>
        </w:rPr>
        <w:t xml:space="preserve">TABLA 14.1   </w:t>
      </w:r>
      <w:r>
        <w:rPr>
          <w:rFonts w:ascii="IBM Plex Sans" w:hAnsi="IBM Plex Sans" w:cs="IBM Plex Sans"/>
          <w:color w:val="3A352F"/>
          <w:sz w:val="18"/>
        </w:rPr>
        <w:t xml:space="preserve">Superficies de aparición y familia dominante</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SUPERFICIE</w:t>
            </w:r>
          </w:p>
        </w:tc>
        <w:tc>
          <w:tcPr>
            <w:tcW w:type="dxa" w:w="2772"/>
            <w:shd w:val="clear" w:color="auto" w:fill="EAE4D8"/>
          </w:tcPr>
          <w:p>
            <w:pPr>
              <w:spacing w:after="40"/>
            </w:pPr>
            <w:r>
              <w:rPr>
                <w:sz w:val="17"/>
              </w:rPr>
            </w:r>
            <w:r>
              <w:rPr>
                <w:rFonts w:ascii="IBM Plex Sans" w:hAnsi="IBM Plex Sans" w:cs="IBM Plex Sans"/>
                <w:b/>
                <w:i w:val="0"/>
                <w:color w:val="1F3A5F"/>
                <w:sz w:val="17"/>
              </w:rPr>
              <w:t>FAMILIA DOMINANTE</w:t>
            </w:r>
          </w:p>
        </w:tc>
        <w:tc>
          <w:tcPr>
            <w:tcW w:type="dxa" w:w="2772"/>
            <w:shd w:val="clear" w:color="auto" w:fill="EAE4D8"/>
          </w:tcPr>
          <w:p>
            <w:pPr>
              <w:spacing w:after="40"/>
            </w:pPr>
            <w:r>
              <w:rPr>
                <w:sz w:val="17"/>
              </w:rPr>
            </w:r>
            <w:r>
              <w:rPr>
                <w:rFonts w:ascii="IBM Plex Sans" w:hAnsi="IBM Plex Sans" w:cs="IBM Plex Sans"/>
                <w:b/>
                <w:i w:val="0"/>
                <w:color w:val="1F3A5F"/>
                <w:sz w:val="17"/>
              </w:rPr>
              <w:t>LECTURA</w:t>
            </w:r>
          </w:p>
        </w:tc>
      </w:tr>
      <w:tr>
        <w:tc>
          <w:tcPr>
            <w:tcW w:type="dxa" w:w="2772"/>
          </w:tcPr>
          <w:p>
            <w:pPr>
              <w:spacing w:after="40"/>
            </w:pPr>
            <w:r>
              <w:rPr>
                <w:sz w:val="17"/>
              </w:rPr>
            </w:r>
            <w:r>
              <w:rPr>
                <w:rFonts w:ascii="IBM Plex Sans" w:hAnsi="IBM Plex Sans" w:cs="IBM Plex Sans"/>
                <w:b w:val="0"/>
                <w:i w:val="0"/>
                <w:color w:val="161412"/>
                <w:sz w:val="17"/>
              </w:rPr>
              <w:t>Tooltip</w:t>
            </w:r>
          </w:p>
        </w:tc>
        <w:tc>
          <w:tcPr>
            <w:tcW w:type="dxa" w:w="2772"/>
          </w:tcPr>
          <w:p>
            <w:pPr>
              <w:spacing w:after="40"/>
            </w:pPr>
            <w:r>
              <w:rPr>
                <w:sz w:val="17"/>
              </w:rPr>
            </w:r>
            <w:r>
              <w:rPr>
                <w:rFonts w:ascii="IBM Plex Sans" w:hAnsi="IBM Plex Sans" w:cs="IBM Plex Sans"/>
                <w:b w:val="0"/>
                <w:i w:val="0"/>
                <w:color w:val="161412"/>
                <w:sz w:val="17"/>
              </w:rPr>
              <w:t>emerge.present</w:t>
            </w:r>
          </w:p>
        </w:tc>
        <w:tc>
          <w:tcPr>
            <w:tcW w:type="dxa" w:w="2772"/>
          </w:tcPr>
          <w:p>
            <w:pPr>
              <w:spacing w:after="40"/>
            </w:pPr>
            <w:r>
              <w:rPr>
                <w:sz w:val="17"/>
              </w:rPr>
            </w:r>
            <w:r>
              <w:rPr>
                <w:rFonts w:ascii="IBM Plex Sans" w:hAnsi="IBM Plex Sans" w:cs="IBM Plex Sans"/>
                <w:b w:val="0"/>
                <w:i w:val="0"/>
                <w:color w:val="161412"/>
                <w:sz w:val="17"/>
              </w:rPr>
              <w:t>aparece ayuda auxiliar</w:t>
            </w:r>
          </w:p>
        </w:tc>
      </w:tr>
      <w:tr>
        <w:tc>
          <w:tcPr>
            <w:tcW w:type="dxa" w:w="2772"/>
          </w:tcPr>
          <w:p>
            <w:pPr>
              <w:spacing w:after="40"/>
            </w:pPr>
            <w:r>
              <w:rPr>
                <w:sz w:val="17"/>
              </w:rPr>
            </w:r>
            <w:r>
              <w:rPr>
                <w:rFonts w:ascii="IBM Plex Sans" w:hAnsi="IBM Plex Sans" w:cs="IBM Plex Sans"/>
                <w:b w:val="0"/>
                <w:i w:val="0"/>
                <w:color w:val="161412"/>
                <w:sz w:val="17"/>
              </w:rPr>
              <w:t>Dropdown</w:t>
            </w:r>
          </w:p>
        </w:tc>
        <w:tc>
          <w:tcPr>
            <w:tcW w:type="dxa" w:w="2772"/>
          </w:tcPr>
          <w:p>
            <w:pPr>
              <w:spacing w:after="40"/>
            </w:pPr>
            <w:r>
              <w:rPr>
                <w:sz w:val="17"/>
              </w:rPr>
            </w:r>
            <w:r>
              <w:rPr>
                <w:rFonts w:ascii="IBM Plex Sans" w:hAnsi="IBM Plex Sans" w:cs="IBM Plex Sans"/>
                <w:b w:val="0"/>
                <w:i w:val="0"/>
                <w:color w:val="161412"/>
                <w:sz w:val="17"/>
              </w:rPr>
              <w:t>emerge.open</w:t>
            </w:r>
          </w:p>
        </w:tc>
        <w:tc>
          <w:tcPr>
            <w:tcW w:type="dxa" w:w="2772"/>
          </w:tcPr>
          <w:p>
            <w:pPr>
              <w:spacing w:after="40"/>
            </w:pPr>
            <w:r>
              <w:rPr>
                <w:sz w:val="17"/>
              </w:rPr>
            </w:r>
            <w:r>
              <w:rPr>
                <w:rFonts w:ascii="IBM Plex Sans" w:hAnsi="IBM Plex Sans" w:cs="IBM Plex Sans"/>
                <w:b w:val="0"/>
                <w:i w:val="0"/>
                <w:color w:val="161412"/>
                <w:sz w:val="17"/>
              </w:rPr>
              <w:t>aparecen opciones locales</w:t>
            </w:r>
          </w:p>
        </w:tc>
      </w:tr>
      <w:tr>
        <w:tc>
          <w:tcPr>
            <w:tcW w:type="dxa" w:w="2772"/>
          </w:tcPr>
          <w:p>
            <w:pPr>
              <w:spacing w:after="40"/>
            </w:pPr>
            <w:r>
              <w:rPr>
                <w:sz w:val="17"/>
              </w:rPr>
            </w:r>
            <w:r>
              <w:rPr>
                <w:rFonts w:ascii="IBM Plex Sans" w:hAnsi="IBM Plex Sans" w:cs="IBM Plex Sans"/>
                <w:b w:val="0"/>
                <w:i w:val="0"/>
                <w:color w:val="161412"/>
                <w:sz w:val="17"/>
              </w:rPr>
              <w:t>Modal</w:t>
            </w:r>
          </w:p>
        </w:tc>
        <w:tc>
          <w:tcPr>
            <w:tcW w:type="dxa" w:w="2772"/>
          </w:tcPr>
          <w:p>
            <w:pPr>
              <w:spacing w:after="40"/>
            </w:pPr>
            <w:r>
              <w:rPr>
                <w:sz w:val="17"/>
              </w:rPr>
            </w:r>
            <w:r>
              <w:rPr>
                <w:rFonts w:ascii="IBM Plex Sans" w:hAnsi="IBM Plex Sans" w:cs="IBM Plex Sans"/>
                <w:b w:val="0"/>
                <w:i w:val="0"/>
                <w:color w:val="161412"/>
                <w:sz w:val="17"/>
              </w:rPr>
              <w:t>shift.enter-mode</w:t>
            </w:r>
          </w:p>
        </w:tc>
        <w:tc>
          <w:tcPr>
            <w:tcW w:type="dxa" w:w="2772"/>
          </w:tcPr>
          <w:p>
            <w:pPr>
              <w:spacing w:after="40"/>
            </w:pPr>
            <w:r>
              <w:rPr>
                <w:sz w:val="17"/>
              </w:rPr>
            </w:r>
            <w:r>
              <w:rPr>
                <w:rFonts w:ascii="IBM Plex Sans" w:hAnsi="IBM Plex Sans" w:cs="IBM Plex Sans"/>
                <w:b w:val="0"/>
                <w:i w:val="0"/>
                <w:color w:val="161412"/>
                <w:sz w:val="17"/>
              </w:rPr>
              <w:t>cambia el contexto</w:t>
            </w:r>
          </w:p>
        </w:tc>
      </w:tr>
      <w:tr>
        <w:tc>
          <w:tcPr>
            <w:tcW w:type="dxa" w:w="2772"/>
          </w:tcPr>
          <w:p>
            <w:pPr>
              <w:spacing w:after="40"/>
            </w:pPr>
            <w:r>
              <w:rPr>
                <w:sz w:val="17"/>
              </w:rPr>
            </w:r>
            <w:r>
              <w:rPr>
                <w:rFonts w:ascii="IBM Plex Sans" w:hAnsi="IBM Plex Sans" w:cs="IBM Plex Sans"/>
                <w:b w:val="0"/>
                <w:i w:val="0"/>
                <w:color w:val="161412"/>
                <w:sz w:val="17"/>
              </w:rPr>
              <w:t>Toast</w:t>
            </w:r>
          </w:p>
        </w:tc>
        <w:tc>
          <w:tcPr>
            <w:tcW w:type="dxa" w:w="2772"/>
          </w:tcPr>
          <w:p>
            <w:pPr>
              <w:spacing w:after="40"/>
            </w:pPr>
            <w:r>
              <w:rPr>
                <w:sz w:val="17"/>
              </w:rPr>
            </w:r>
            <w:r>
              <w:rPr>
                <w:rFonts w:ascii="IBM Plex Sans" w:hAnsi="IBM Plex Sans" w:cs="IBM Plex Sans"/>
                <w:b w:val="0"/>
                <w:i w:val="0"/>
                <w:color w:val="161412"/>
                <w:sz w:val="17"/>
              </w:rPr>
              <w:t>signal.notify</w:t>
            </w:r>
          </w:p>
        </w:tc>
        <w:tc>
          <w:tcPr>
            <w:tcW w:type="dxa" w:w="2772"/>
          </w:tcPr>
          <w:p>
            <w:pPr>
              <w:spacing w:after="40"/>
            </w:pPr>
            <w:r>
              <w:rPr>
                <w:sz w:val="17"/>
              </w:rPr>
            </w:r>
            <w:r>
              <w:rPr>
                <w:rFonts w:ascii="IBM Plex Sans" w:hAnsi="IBM Plex Sans" w:cs="IBM Plex Sans"/>
                <w:b w:val="0"/>
                <w:i w:val="0"/>
                <w:color w:val="161412"/>
                <w:sz w:val="17"/>
              </w:rPr>
              <w:t>el sistema comunica algo</w:t>
            </w:r>
          </w:p>
        </w:tc>
      </w:tr>
      <w:tr>
        <w:tc>
          <w:tcPr>
            <w:tcW w:type="dxa" w:w="2772"/>
          </w:tcPr>
          <w:p>
            <w:pPr>
              <w:spacing w:after="40"/>
            </w:pPr>
            <w:r>
              <w:rPr>
                <w:sz w:val="17"/>
              </w:rPr>
            </w:r>
            <w:r>
              <w:rPr>
                <w:rFonts w:ascii="IBM Plex Sans" w:hAnsi="IBM Plex Sans" w:cs="IBM Plex Sans"/>
                <w:b w:val="0"/>
                <w:i w:val="0"/>
                <w:color w:val="161412"/>
                <w:sz w:val="17"/>
              </w:rPr>
              <w:t>Error inline</w:t>
            </w:r>
          </w:p>
        </w:tc>
        <w:tc>
          <w:tcPr>
            <w:tcW w:type="dxa" w:w="2772"/>
          </w:tcPr>
          <w:p>
            <w:pPr>
              <w:spacing w:after="40"/>
            </w:pPr>
            <w:r>
              <w:rPr>
                <w:sz w:val="17"/>
              </w:rPr>
            </w:r>
            <w:r>
              <w:rPr>
                <w:rFonts w:ascii="IBM Plex Sans" w:hAnsi="IBM Plex Sans" w:cs="IBM Plex Sans"/>
                <w:b w:val="0"/>
                <w:i w:val="0"/>
                <w:color w:val="161412"/>
                <w:sz w:val="17"/>
              </w:rPr>
              <w:t>signal.warn + risk</w:t>
            </w:r>
          </w:p>
        </w:tc>
        <w:tc>
          <w:tcPr>
            <w:tcW w:type="dxa" w:w="2772"/>
          </w:tcPr>
          <w:p>
            <w:pPr>
              <w:spacing w:after="40"/>
            </w:pPr>
            <w:r>
              <w:rPr>
                <w:sz w:val="17"/>
              </w:rPr>
            </w:r>
            <w:r>
              <w:rPr>
                <w:rFonts w:ascii="IBM Plex Sans" w:hAnsi="IBM Plex Sans" w:cs="IBM Plex Sans"/>
                <w:b w:val="0"/>
                <w:i w:val="0"/>
                <w:color w:val="161412"/>
                <w:sz w:val="17"/>
              </w:rPr>
              <w:t>hay un problema corregible</w:t>
            </w:r>
          </w:p>
        </w:tc>
      </w:tr>
    </w:tbl>
    <w:p>
      <w:pPr>
        <w:spacing w:after="80"/>
      </w:pPr>
    </w:p>
    <w:p>
      <w:pPr>
        <w:spacing w:after="200" w:before="40"/>
      </w:pPr>
      <w:r>
        <w:rPr>
          <w:rFonts w:ascii="IBM Plex Sans" w:hAnsi="IBM Plex Sans" w:cs="IBM Plex Sans"/>
          <w:b/>
          <w:color w:val="1F3A5F"/>
          <w:sz w:val="17"/>
        </w:rPr>
        <w:t xml:space="preserve">TABLA 14.2   </w:t>
      </w:r>
      <w:r>
        <w:rPr>
          <w:rFonts w:ascii="IBM Plex Sans" w:hAnsi="IBM Plex Sans" w:cs="IBM Plex Sans"/>
          <w:color w:val="3A352F"/>
          <w:sz w:val="18"/>
        </w:rPr>
        <w:t xml:space="preserve">Antipatrones de presencia y profundidad</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ANTIPATRÓN</w:t>
            </w:r>
          </w:p>
        </w:tc>
        <w:tc>
          <w:tcPr>
            <w:tcW w:type="dxa" w:w="2772"/>
            <w:shd w:val="clear" w:color="auto" w:fill="EAE4D8"/>
          </w:tcPr>
          <w:p>
            <w:pPr>
              <w:spacing w:after="40"/>
            </w:pPr>
            <w:r>
              <w:rPr>
                <w:sz w:val="17"/>
              </w:rPr>
            </w:r>
            <w:r>
              <w:rPr>
                <w:rFonts w:ascii="IBM Plex Sans" w:hAnsi="IBM Plex Sans" w:cs="IBM Plex Sans"/>
                <w:b/>
                <w:i w:val="0"/>
                <w:color w:val="1F3A5F"/>
                <w:sz w:val="17"/>
              </w:rPr>
              <w:t>QUÉ FALLA</w:t>
            </w:r>
          </w:p>
        </w:tc>
        <w:tc>
          <w:tcPr>
            <w:tcW w:type="dxa" w:w="2772"/>
            <w:shd w:val="clear" w:color="auto" w:fill="EAE4D8"/>
          </w:tcPr>
          <w:p>
            <w:pPr>
              <w:spacing w:after="40"/>
            </w:pPr>
            <w:r>
              <w:rPr>
                <w:sz w:val="17"/>
              </w:rPr>
            </w:r>
            <w:r>
              <w:rPr>
                <w:rFonts w:ascii="IBM Plex Sans" w:hAnsi="IBM Plex Sans" w:cs="IBM Plex Sans"/>
                <w:b/>
                <w:i w:val="0"/>
                <w:color w:val="1F3A5F"/>
                <w:sz w:val="17"/>
              </w:rPr>
              <w:t>CORRECCIÓN</w:t>
            </w:r>
          </w:p>
        </w:tc>
      </w:tr>
      <w:tr>
        <w:tc>
          <w:tcPr>
            <w:tcW w:type="dxa" w:w="2772"/>
          </w:tcPr>
          <w:p>
            <w:pPr>
              <w:spacing w:after="40"/>
            </w:pPr>
            <w:r>
              <w:rPr>
                <w:sz w:val="17"/>
              </w:rPr>
            </w:r>
            <w:r>
              <w:rPr>
                <w:rFonts w:ascii="IBM Plex Sans" w:hAnsi="IBM Plex Sans" w:cs="IBM Plex Sans"/>
                <w:b w:val="0"/>
                <w:i w:val="0"/>
                <w:color w:val="161412"/>
                <w:sz w:val="17"/>
              </w:rPr>
              <w:t>Dropdown como modal</w:t>
            </w:r>
          </w:p>
        </w:tc>
        <w:tc>
          <w:tcPr>
            <w:tcW w:type="dxa" w:w="2772"/>
          </w:tcPr>
          <w:p>
            <w:pPr>
              <w:spacing w:after="40"/>
            </w:pPr>
            <w:r>
              <w:rPr>
                <w:sz w:val="17"/>
              </w:rPr>
            </w:r>
            <w:r>
              <w:rPr>
                <w:rFonts w:ascii="IBM Plex Sans" w:hAnsi="IBM Plex Sans" w:cs="IBM Plex Sans"/>
                <w:b w:val="0"/>
                <w:i w:val="0"/>
                <w:color w:val="161412"/>
                <w:sz w:val="17"/>
              </w:rPr>
              <w:t>profundidad excesiva</w:t>
            </w:r>
          </w:p>
        </w:tc>
        <w:tc>
          <w:tcPr>
            <w:tcW w:type="dxa" w:w="2772"/>
          </w:tcPr>
          <w:p>
            <w:pPr>
              <w:spacing w:after="40"/>
            </w:pPr>
            <w:r>
              <w:rPr>
                <w:sz w:val="17"/>
              </w:rPr>
            </w:r>
            <w:r>
              <w:rPr>
                <w:rFonts w:ascii="IBM Plex Sans" w:hAnsi="IBM Plex Sans" w:cs="IBM Plex Sans"/>
                <w:b w:val="0"/>
                <w:i w:val="0"/>
                <w:color w:val="161412"/>
                <w:sz w:val="17"/>
              </w:rPr>
              <w:t>mantener anclaje local</w:t>
            </w:r>
          </w:p>
        </w:tc>
      </w:tr>
      <w:tr>
        <w:tc>
          <w:tcPr>
            <w:tcW w:type="dxa" w:w="2772"/>
          </w:tcPr>
          <w:p>
            <w:pPr>
              <w:spacing w:after="40"/>
            </w:pPr>
            <w:r>
              <w:rPr>
                <w:sz w:val="17"/>
              </w:rPr>
            </w:r>
            <w:r>
              <w:rPr>
                <w:rFonts w:ascii="IBM Plex Sans" w:hAnsi="IBM Plex Sans" w:cs="IBM Plex Sans"/>
                <w:b w:val="0"/>
                <w:i w:val="0"/>
                <w:color w:val="161412"/>
                <w:sz w:val="17"/>
              </w:rPr>
              <w:t>Modal como popover</w:t>
            </w:r>
          </w:p>
        </w:tc>
        <w:tc>
          <w:tcPr>
            <w:tcW w:type="dxa" w:w="2772"/>
          </w:tcPr>
          <w:p>
            <w:pPr>
              <w:spacing w:after="40"/>
            </w:pPr>
            <w:r>
              <w:rPr>
                <w:sz w:val="17"/>
              </w:rPr>
            </w:r>
            <w:r>
              <w:rPr>
                <w:rFonts w:ascii="IBM Plex Sans" w:hAnsi="IBM Plex Sans" w:cs="IBM Plex Sans"/>
                <w:b w:val="0"/>
                <w:i w:val="0"/>
                <w:color w:val="161412"/>
                <w:sz w:val="17"/>
              </w:rPr>
              <w:t>marco insuficiente</w:t>
            </w:r>
          </w:p>
        </w:tc>
        <w:tc>
          <w:tcPr>
            <w:tcW w:type="dxa" w:w="2772"/>
          </w:tcPr>
          <w:p>
            <w:pPr>
              <w:spacing w:after="40"/>
            </w:pPr>
            <w:r>
              <w:rPr>
                <w:sz w:val="17"/>
              </w:rPr>
            </w:r>
            <w:r>
              <w:rPr>
                <w:rFonts w:ascii="IBM Plex Sans" w:hAnsi="IBM Plex Sans" w:cs="IBM Plex Sans"/>
                <w:b w:val="0"/>
                <w:i w:val="0"/>
                <w:color w:val="161412"/>
                <w:sz w:val="17"/>
              </w:rPr>
              <w:t>subordinar fondo y foco</w:t>
            </w:r>
          </w:p>
        </w:tc>
      </w:tr>
      <w:tr>
        <w:tc>
          <w:tcPr>
            <w:tcW w:type="dxa" w:w="2772"/>
          </w:tcPr>
          <w:p>
            <w:pPr>
              <w:spacing w:after="40"/>
            </w:pPr>
            <w:r>
              <w:rPr>
                <w:sz w:val="17"/>
              </w:rPr>
            </w:r>
            <w:r>
              <w:rPr>
                <w:rFonts w:ascii="IBM Plex Sans" w:hAnsi="IBM Plex Sans" w:cs="IBM Plex Sans"/>
                <w:b w:val="0"/>
                <w:i w:val="0"/>
                <w:color w:val="161412"/>
                <w:sz w:val="17"/>
              </w:rPr>
              <w:t>Todo lo que aparece parece alerta</w:t>
            </w:r>
          </w:p>
        </w:tc>
        <w:tc>
          <w:tcPr>
            <w:tcW w:type="dxa" w:w="2772"/>
          </w:tcPr>
          <w:p>
            <w:pPr>
              <w:spacing w:after="40"/>
            </w:pPr>
            <w:r>
              <w:rPr>
                <w:sz w:val="17"/>
              </w:rPr>
            </w:r>
            <w:r>
              <w:rPr>
                <w:rFonts w:ascii="IBM Plex Sans" w:hAnsi="IBM Plex Sans" w:cs="IBM Plex Sans"/>
                <w:b w:val="0"/>
                <w:i w:val="0"/>
                <w:color w:val="161412"/>
                <w:sz w:val="17"/>
              </w:rPr>
              <w:t>exceso de saliencia</w:t>
            </w:r>
          </w:p>
        </w:tc>
        <w:tc>
          <w:tcPr>
            <w:tcW w:type="dxa" w:w="2772"/>
          </w:tcPr>
          <w:p>
            <w:pPr>
              <w:spacing w:after="40"/>
            </w:pPr>
            <w:r>
              <w:rPr>
                <w:sz w:val="17"/>
              </w:rPr>
            </w:r>
            <w:r>
              <w:rPr>
                <w:rFonts w:ascii="IBM Plex Sans" w:hAnsi="IBM Plex Sans" w:cs="IBM Plex Sans"/>
                <w:b w:val="0"/>
                <w:i w:val="0"/>
                <w:color w:val="161412"/>
                <w:sz w:val="17"/>
              </w:rPr>
              <w:t xml:space="preserve">separar </w:t>
            </w:r>
            <w:r>
              <w:rPr>
                <w:rFonts w:ascii="IBM Plex Sans" w:hAnsi="IBM Plex Sans" w:cs="IBM Plex Sans"/>
                <w:b w:val="0"/>
                <w:i w:val="0"/>
                <w:color w:val="161412"/>
                <w:sz w:val="17"/>
              </w:rPr>
              <w:t>emerge</w:t>
            </w:r>
            <w:r>
              <w:rPr>
                <w:rFonts w:ascii="IBM Plex Sans" w:hAnsi="IBM Plex Sans" w:cs="IBM Plex Sans"/>
                <w:b w:val="0"/>
                <w:i w:val="0"/>
                <w:color w:val="161412"/>
                <w:sz w:val="17"/>
              </w:rPr>
              <w:t xml:space="preserve"> de </w:t>
            </w:r>
            <w:r>
              <w:rPr>
                <w:rFonts w:ascii="IBM Plex Sans" w:hAnsi="IBM Plex Sans" w:cs="IBM Plex Sans"/>
                <w:b w:val="0"/>
                <w:i w:val="0"/>
                <w:color w:val="161412"/>
                <w:sz w:val="17"/>
              </w:rPr>
              <w:t>signal</w:t>
            </w:r>
          </w:p>
        </w:tc>
      </w:tr>
      <w:tr>
        <w:tc>
          <w:tcPr>
            <w:tcW w:type="dxa" w:w="2772"/>
          </w:tcPr>
          <w:p>
            <w:pPr>
              <w:spacing w:after="40"/>
            </w:pPr>
            <w:r>
              <w:rPr>
                <w:sz w:val="17"/>
              </w:rPr>
            </w:r>
            <w:r>
              <w:rPr>
                <w:rFonts w:ascii="IBM Plex Sans" w:hAnsi="IBM Plex Sans" w:cs="IBM Plex Sans"/>
                <w:b w:val="0"/>
                <w:i w:val="0"/>
                <w:color w:val="161412"/>
                <w:sz w:val="17"/>
              </w:rPr>
              <w:t>Desaparición ambigua</w:t>
            </w:r>
          </w:p>
        </w:tc>
        <w:tc>
          <w:tcPr>
            <w:tcW w:type="dxa" w:w="2772"/>
          </w:tcPr>
          <w:p>
            <w:pPr>
              <w:spacing w:after="40"/>
            </w:pPr>
            <w:r>
              <w:rPr>
                <w:sz w:val="17"/>
              </w:rPr>
            </w:r>
            <w:r>
              <w:rPr>
                <w:rFonts w:ascii="IBM Plex Sans" w:hAnsi="IBM Plex Sans" w:cs="IBM Plex Sans"/>
                <w:b w:val="0"/>
                <w:i w:val="0"/>
                <w:color w:val="161412"/>
                <w:sz w:val="17"/>
              </w:rPr>
              <w:t>no se sabe si se ocultó o perdió</w:t>
            </w:r>
          </w:p>
        </w:tc>
        <w:tc>
          <w:tcPr>
            <w:tcW w:type="dxa" w:w="2772"/>
          </w:tcPr>
          <w:p>
            <w:pPr>
              <w:spacing w:after="40"/>
            </w:pPr>
            <w:r>
              <w:rPr>
                <w:sz w:val="17"/>
              </w:rPr>
            </w:r>
            <w:r>
              <w:rPr>
                <w:rFonts w:ascii="IBM Plex Sans" w:hAnsi="IBM Plex Sans" w:cs="IBM Plex Sans"/>
                <w:b w:val="0"/>
                <w:i w:val="0"/>
                <w:color w:val="161412"/>
                <w:sz w:val="17"/>
              </w:rPr>
              <w:t xml:space="preserve">distinguir </w:t>
            </w:r>
            <w:r>
              <w:rPr>
                <w:rFonts w:ascii="IBM Plex Sans" w:hAnsi="IBM Plex Sans" w:cs="IBM Plex Sans"/>
                <w:b w:val="0"/>
                <w:i w:val="0"/>
                <w:color w:val="161412"/>
                <w:sz w:val="17"/>
              </w:rPr>
              <w:t>hide</w:t>
            </w:r>
            <w:r>
              <w:rPr>
                <w:rFonts w:ascii="IBM Plex Sans" w:hAnsi="IBM Plex Sans" w:cs="IBM Plex Sans"/>
                <w:b w:val="0"/>
                <w:i w:val="0"/>
                <w:color w:val="161412"/>
                <w:sz w:val="17"/>
              </w:rPr>
              <w:t xml:space="preserve"> / </w:t>
            </w:r>
            <w:r>
              <w:rPr>
                <w:rFonts w:ascii="IBM Plex Sans" w:hAnsi="IBM Plex Sans" w:cs="IBM Plex Sans"/>
                <w:b w:val="0"/>
                <w:i w:val="0"/>
                <w:color w:val="161412"/>
                <w:sz w:val="17"/>
              </w:rPr>
              <w:t>delete + loss</w:t>
            </w:r>
          </w:p>
        </w:tc>
      </w:tr>
      <w:tr>
        <w:tc>
          <w:tcPr>
            <w:tcW w:type="dxa" w:w="2772"/>
          </w:tcPr>
          <w:p>
            <w:pPr>
              <w:spacing w:after="40"/>
            </w:pPr>
            <w:r>
              <w:rPr>
                <w:sz w:val="17"/>
              </w:rPr>
            </w:r>
            <w:r>
              <w:rPr>
                <w:rFonts w:ascii="IBM Plex Sans" w:hAnsi="IBM Plex Sans" w:cs="IBM Plex Sans"/>
                <w:b w:val="0"/>
                <w:i w:val="0"/>
                <w:color w:val="161412"/>
                <w:sz w:val="17"/>
              </w:rPr>
              <w:t>Fondo visualmente bloqueado pero activo</w:t>
            </w:r>
          </w:p>
        </w:tc>
        <w:tc>
          <w:tcPr>
            <w:tcW w:type="dxa" w:w="2772"/>
          </w:tcPr>
          <w:p>
            <w:pPr>
              <w:spacing w:after="40"/>
            </w:pPr>
            <w:r>
              <w:rPr>
                <w:sz w:val="17"/>
              </w:rPr>
            </w:r>
            <w:r>
              <w:rPr>
                <w:rFonts w:ascii="IBM Plex Sans" w:hAnsi="IBM Plex Sans" w:cs="IBM Plex Sans"/>
                <w:b w:val="0"/>
                <w:i w:val="0"/>
                <w:color w:val="161412"/>
                <w:sz w:val="17"/>
              </w:rPr>
              <w:t>incoherencia</w:t>
            </w:r>
          </w:p>
        </w:tc>
        <w:tc>
          <w:tcPr>
            <w:tcW w:type="dxa" w:w="2772"/>
          </w:tcPr>
          <w:p>
            <w:pPr>
              <w:spacing w:after="40"/>
            </w:pPr>
            <w:r>
              <w:rPr>
                <w:sz w:val="17"/>
              </w:rPr>
            </w:r>
            <w:r>
              <w:rPr>
                <w:rFonts w:ascii="IBM Plex Sans" w:hAnsi="IBM Plex Sans" w:cs="IBM Plex Sans"/>
                <w:b w:val="0"/>
                <w:i w:val="0"/>
                <w:color w:val="161412"/>
                <w:sz w:val="17"/>
              </w:rPr>
              <w:t>gestionar foco e interacción</w:t>
            </w:r>
          </w:p>
        </w:tc>
      </w:tr>
      <w:tr>
        <w:tc>
          <w:tcPr>
            <w:tcW w:type="dxa" w:w="2772"/>
          </w:tcPr>
          <w:p>
            <w:pPr>
              <w:spacing w:after="40"/>
            </w:pPr>
            <w:r>
              <w:rPr>
                <w:sz w:val="17"/>
              </w:rPr>
            </w:r>
            <w:r>
              <w:rPr>
                <w:rFonts w:ascii="IBM Plex Sans" w:hAnsi="IBM Plex Sans" w:cs="IBM Plex Sans"/>
                <w:b w:val="0"/>
                <w:i w:val="0"/>
                <w:color w:val="161412"/>
                <w:sz w:val="17"/>
              </w:rPr>
              <w:t>Toast efímero importante</w:t>
            </w:r>
          </w:p>
        </w:tc>
        <w:tc>
          <w:tcPr>
            <w:tcW w:type="dxa" w:w="2772"/>
          </w:tcPr>
          <w:p>
            <w:pPr>
              <w:spacing w:after="40"/>
            </w:pPr>
            <w:r>
              <w:rPr>
                <w:sz w:val="17"/>
              </w:rPr>
            </w:r>
            <w:r>
              <w:rPr>
                <w:rFonts w:ascii="IBM Plex Sans" w:hAnsi="IBM Plex Sans" w:cs="IBM Plex Sans"/>
                <w:b w:val="0"/>
                <w:i w:val="0"/>
                <w:color w:val="161412"/>
                <w:sz w:val="17"/>
              </w:rPr>
              <w:t>pérdida de información</w:t>
            </w:r>
          </w:p>
        </w:tc>
        <w:tc>
          <w:tcPr>
            <w:tcW w:type="dxa" w:w="2772"/>
          </w:tcPr>
          <w:p>
            <w:pPr>
              <w:spacing w:after="40"/>
            </w:pPr>
            <w:r>
              <w:rPr>
                <w:sz w:val="17"/>
              </w:rPr>
            </w:r>
            <w:r>
              <w:rPr>
                <w:rFonts w:ascii="IBM Plex Sans" w:hAnsi="IBM Plex Sans" w:cs="IBM Plex Sans"/>
                <w:b w:val="0"/>
                <w:i w:val="0"/>
                <w:color w:val="161412"/>
                <w:sz w:val="17"/>
              </w:rPr>
              <w:t>persistencia / historial</w:t>
            </w:r>
          </w:p>
        </w:tc>
      </w:tr>
    </w:tbl>
    <w:p>
      <w:pPr>
        <w:spacing w:after="80"/>
      </w:pPr>
    </w:p>
    <w:p>
      <w:r>
        <w:br w:type="page"/>
      </w:r>
    </w:p>
    <w:p>
      <w:pPr>
        <w:spacing w:after="40"/>
      </w:pPr>
      <w:r>
        <w:rPr>
          <w:rFonts w:ascii="IBM Plex Sans" w:hAnsi="IBM Plex Sans" w:cs="IBM Plex Sans"/>
          <w:b/>
          <w:color w:val="1F3A5F"/>
          <w:sz w:val="18"/>
        </w:rPr>
        <w:t>CAPÍTULO 15</w:t>
      </w:r>
    </w:p>
    <w:p>
      <w:pPr>
        <w:spacing w:after="80" w:line="240" w:lineRule="auto"/>
      </w:pPr>
      <w:r>
        <w:rPr>
          <w:rFonts w:ascii="IBM Plex Sans" w:hAnsi="IBM Plex Sans" w:cs="IBM Plex Sans"/>
          <w:color w:val="161412"/>
          <w:sz w:val="220"/>
        </w:rPr>
        <w:t>15</w:t>
      </w:r>
    </w:p>
    <w:p>
      <w:pPr>
        <w:spacing w:after="60" w:line="240" w:lineRule="auto"/>
      </w:pPr>
      <w:r>
        <w:rPr>
          <w:rFonts w:ascii="Newsreader" w:hAnsi="Newsreader" w:cs="Newsreader"/>
          <w:color w:val="161412"/>
          <w:sz w:val="60"/>
        </w:rPr>
        <w:t>Forma: límite, affordance e iconografía</w:t>
      </w:r>
    </w:p>
    <w:p>
      <w:pPr>
        <w:spacing w:after="280"/>
      </w:pPr>
      <w:r>
        <w:rPr>
          <w:rFonts w:ascii="IBM Plex Sans" w:hAnsi="IBM Plex Sans" w:cs="IBM Plex Sans"/>
          <w:color w:val="6A635A"/>
          <w:sz w:val="26"/>
        </w:rPr>
        <w:t>Lo que se reconoce antes de colorearse, moverse o sonar</w:t>
      </w:r>
    </w:p>
    <w:p>
      <w:pPr>
        <w:pBdr>
          <w:bottom w:val="single" w:sz="4" w:space="4" w:color="1F3A5F"/>
        </w:pBdr>
      </w:pP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¿Qué comunica la forma de un elemento antes de que el color, el motion o el sonido intervengan?</w:t>
      </w:r>
    </w:p>
    <w:p>
      <w:pPr>
        <w:spacing w:after="120" w:line="320" w:lineRule="auto"/>
        <w:jc w:val="both"/>
      </w:pPr>
      <w:r>
        <w:rPr>
          <w:rFonts w:ascii="Newsreader" w:hAnsi="Newsreader" w:cs="Newsreader"/>
          <w:b w:val="0"/>
          <w:i w:val="0"/>
          <w:color w:val="161412"/>
        </w:rPr>
        <w:t>Antes de que una interfaz use color, motion, sonido o háptica, ya está diciendo algo mediante la forma. Un botón parece pulsable antes de estar coloreado. Un campo parece editable antes de mostrar validación. Un icono sugiere una acción antes de recibir un tooltip. Un borde separa una región antes de que haya profundidad. Una tarjeta agrupa contenido antes de que se eleve.</w:t>
      </w:r>
    </w:p>
    <w:p>
      <w:pPr>
        <w:spacing w:after="120" w:line="320" w:lineRule="auto"/>
        <w:jc w:val="both"/>
      </w:pPr>
      <w:r>
        <w:rPr>
          <w:rFonts w:ascii="Newsreader" w:hAnsi="Newsreader" w:cs="Newsreader"/>
          <w:b w:val="0"/>
          <w:i w:val="0"/>
          <w:color w:val="161412"/>
        </w:rPr>
        <w:t>La forma es uno de los canales más discretos de la interfaz, pero también uno de los más persistentes: no aparece solo cuando ocurre un evento, sino que está ahí continuamente, estructurando lo que puede tocarse, leerse, separarse, agruparse o reconocerse. Responde a preguntas como: ¿esto es accionable?, ¿está separado?, ¿pertenece a este grupo?, ¿es editable?, ¿está activo?, ¿está enfocado?, ¿representa una acción conocida?</w:t>
      </w:r>
    </w:p>
    <w:p>
      <w:pPr>
        <w:spacing w:before="320" w:after="40"/>
      </w:pPr>
      <w:r>
        <w:rPr>
          <w:rFonts w:ascii="IBM Plex Sans" w:hAnsi="IBM Plex Sans" w:cs="IBM Plex Sans"/>
          <w:b/>
          <w:color w:val="1F3A5F"/>
          <w:sz w:val="18"/>
        </w:rPr>
        <w:t>§ 1</w:t>
      </w:r>
    </w:p>
    <w:p>
      <w:pPr>
        <w:spacing w:after="160" w:line="240" w:lineRule="auto"/>
      </w:pPr>
      <w:r>
        <w:rPr>
          <w:rFonts w:ascii="Newsreader" w:hAnsi="Newsreader" w:cs="Newsreader"/>
          <w:color w:val="161412"/>
          <w:sz w:val="38"/>
        </w:rPr>
        <w:t>Fundamento psicoperceptivo: Gestalt, contorno y affordance</w:t>
      </w:r>
    </w:p>
    <w:p>
      <w:pPr>
        <w:spacing w:after="120" w:line="320" w:lineRule="auto"/>
        <w:jc w:val="both"/>
      </w:pPr>
      <w:r>
        <w:rPr>
          <w:rFonts w:ascii="Newsreader" w:hAnsi="Newsreader" w:cs="Newsreader"/>
          <w:b w:val="0"/>
          <w:i w:val="0"/>
          <w:color w:val="161412"/>
        </w:rPr>
        <w:t>La forma se apoya en dos familias de fundamentos: la organización perceptiva y la percepción de acción posible.</w:t>
      </w:r>
    </w:p>
    <w:p>
      <w:pPr>
        <w:spacing w:after="120" w:line="320" w:lineRule="auto"/>
        <w:jc w:val="both"/>
      </w:pPr>
      <w:r>
        <w:rPr>
          <w:rFonts w:ascii="Newsreader" w:hAnsi="Newsreader" w:cs="Newsreader"/>
          <w:b w:val="0"/>
          <w:i w:val="0"/>
          <w:color w:val="161412"/>
        </w:rPr>
        <w:t>Desde la organización perceptiva, la Gestalt mostró que el sistema perceptivo tiende a agrupar y separar elementos según proximidad, semejanza, continuidad, cierre, región común y figura/fondo. Un borde puede convertir varios elementos en una región común; una forma repetida puede indicar pertenencia; una discontinuidad puede marcar separación; un contorno cerrado puede hacer que algo se perciba como unidad.</w:t>
      </w:r>
    </w:p>
    <w:p>
      <w:pPr>
        <w:spacing w:after="120" w:line="320" w:lineRule="auto"/>
        <w:jc w:val="both"/>
      </w:pPr>
      <w:r>
        <w:rPr>
          <w:rFonts w:ascii="Newsreader" w:hAnsi="Newsreader" w:cs="Newsreader"/>
          <w:b w:val="0"/>
          <w:i w:val="0"/>
          <w:color w:val="161412"/>
        </w:rPr>
        <w:t>Desde la teoría de affordances, especialmente en Gibson, la forma también sugiere posibilidades de acción. Una superficie con relieve, borde, tamaño táctil y posición estable puede sugerir presión; un asa visible, arrastre; un campo rectangular con cursor, escritura; un chevron, expansión; un icono de papelera, eliminación.</w:t>
      </w:r>
    </w:p>
    <w:p>
      <w:pPr>
        <w:spacing w:after="120" w:line="320" w:lineRule="auto"/>
        <w:jc w:val="both"/>
      </w:pPr>
      <w:r>
        <w:rPr>
          <w:rFonts w:ascii="Newsreader" w:hAnsi="Newsreader" w:cs="Newsreader"/>
          <w:b w:val="0"/>
          <w:i w:val="0"/>
          <w:color w:val="161412"/>
        </w:rPr>
        <w:t>La iconografía añade una capa más: condensa acciones o estados en siluetas aprendidas. Pero los iconos no son universales —funcionan cuando el sistema cultural, el contexto y la redundancia los sostienen—. Por eso una X puede ser cerrar, cancelar, borrar o eliminar; un check, seleccionar, confirmar o completar; un triángulo, play, expansión o advertencia; un punto rojo, nuevo, grabando, error o alerta. La forma no es solo lo que algo parece: es parte de lo que el sistema ofrece hacer.</w:t>
      </w:r>
    </w:p>
    <w:p>
      <w:pPr>
        <w:spacing w:before="320" w:after="40"/>
      </w:pPr>
      <w:r>
        <w:rPr>
          <w:rFonts w:ascii="IBM Plex Sans" w:hAnsi="IBM Plex Sans" w:cs="IBM Plex Sans"/>
          <w:b/>
          <w:color w:val="1F3A5F"/>
          <w:sz w:val="18"/>
        </w:rPr>
        <w:t>§ 2</w:t>
      </w:r>
    </w:p>
    <w:p>
      <w:pPr>
        <w:spacing w:after="160" w:line="240" w:lineRule="auto"/>
      </w:pPr>
      <w:r>
        <w:rPr>
          <w:rFonts w:ascii="Newsreader" w:hAnsi="Newsreader" w:cs="Newsreader"/>
          <w:color w:val="161412"/>
          <w:sz w:val="38"/>
        </w:rPr>
        <w:t>Forma como límite</w:t>
      </w:r>
    </w:p>
    <w:p>
      <w:pPr>
        <w:spacing w:after="120" w:line="320" w:lineRule="auto"/>
        <w:jc w:val="both"/>
      </w:pPr>
      <w:r>
        <w:rPr>
          <w:rFonts w:ascii="Newsreader" w:hAnsi="Newsreader" w:cs="Newsreader"/>
          <w:b w:val="0"/>
          <w:i w:val="0"/>
          <w:color w:val="161412"/>
        </w:rPr>
        <w:t>Una de las funciones principales de la forma es establecer límite. Un límite permite saber que esto es una unidad, que pertenece aquí y no allí, que puede manipularse como objeto, que es una región de acción. Sin límites, la interfaz se vuelve ambigua: un bloque de contenido sin borde, sombra, fondo o separación puede no parecer una tarjeta; un grupo de botones sin región común puede parecer una lista de acciones inconexas; un área de drop sin contorno puede no parecer destino; un campo sin forma puede no parecer editable; una alerta sin contenedor puede confundirse con texto ordinario.</w:t>
      </w:r>
    </w:p>
    <w:p>
      <w:pPr>
        <w:spacing w:after="120" w:line="320" w:lineRule="auto"/>
        <w:jc w:val="both"/>
      </w:pPr>
      <w:r>
        <w:rPr>
          <w:rFonts w:ascii="Newsreader" w:hAnsi="Newsreader" w:cs="Newsreader"/>
          <w:b w:val="0"/>
          <w:i w:val="0"/>
          <w:color w:val="161412"/>
        </w:rPr>
        <w:t>El límite puede expresarse con borde, fondo, espacio, radio, sombra, contorno, región común o alineación. No siempre hace falta una línea: a veces el espacio basta, a veces el fondo basta. Pero cuando la estructura lo requiere, debe haber una señal de pertenencia y separación.</w:t>
      </w:r>
    </w:p>
    <w:p>
      <w:pPr>
        <w:spacing w:before="320" w:after="40"/>
      </w:pPr>
      <w:r>
        <w:rPr>
          <w:rFonts w:ascii="IBM Plex Sans" w:hAnsi="IBM Plex Sans" w:cs="IBM Plex Sans"/>
          <w:b/>
          <w:color w:val="1F3A5F"/>
          <w:sz w:val="18"/>
        </w:rPr>
        <w:t>§ 3</w:t>
      </w:r>
    </w:p>
    <w:p>
      <w:pPr>
        <w:spacing w:after="160" w:line="240" w:lineRule="auto"/>
      </w:pPr>
      <w:r>
        <w:rPr>
          <w:rFonts w:ascii="Newsreader" w:hAnsi="Newsreader" w:cs="Newsreader"/>
          <w:color w:val="161412"/>
          <w:sz w:val="38"/>
        </w:rPr>
        <w:t>Forma como affordance</w:t>
      </w:r>
    </w:p>
    <w:p>
      <w:pPr>
        <w:spacing w:after="120" w:line="320" w:lineRule="auto"/>
        <w:jc w:val="both"/>
      </w:pPr>
      <w:r>
        <w:rPr>
          <w:rFonts w:ascii="Newsreader" w:hAnsi="Newsreader" w:cs="Newsreader"/>
          <w:b w:val="0"/>
          <w:i w:val="0"/>
          <w:color w:val="161412"/>
        </w:rPr>
        <w:t>Una forma puede invitar o bloquear acción. Un botón bien formado no necesita explicar demasiado que puede pulsarse; un slider bien formado no necesita decir que puede arrastrarse; un input bien formado no necesita tutorial para indicar escritura; un chip sugiere selección, filtro o etiqueta; un handle visible sugiere que algo puede moverse. La forma participa en las familias semánticas antes de que el evento ocurra:</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En contact</w:t>
      </w:r>
      <w:r>
        <w:rPr>
          <w:rFonts w:ascii="Newsreader" w:hAnsi="Newsreader" w:cs="Newsreader"/>
          <w:b w:val="0"/>
          <w:i w:val="0"/>
          <w:color w:val="161412"/>
        </w:rPr>
        <w:t>, un control debe parecer activable antes de recibir contacto —button, icon button, toolbar item, card clickable—. Si su forma no sugiere acción, el usuario primero debe adivinar que puede actuar.</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En commit</w:t>
      </w:r>
      <w:r>
        <w:rPr>
          <w:rFonts w:ascii="Newsreader" w:hAnsi="Newsreader" w:cs="Newsreader"/>
          <w:b w:val="0"/>
          <w:i w:val="0"/>
          <w:color w:val="161412"/>
        </w:rPr>
        <w:t>, una opción seleccionable debe distinguirse del texto ordinario —checkbox, radio, switch, chip, toggle—: la forma ayuda a decir «esto puede quedar elegido».</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En signal</w:t>
      </w:r>
      <w:r>
        <w:rPr>
          <w:rFonts w:ascii="Newsreader" w:hAnsi="Newsreader" w:cs="Newsreader"/>
          <w:b w:val="0"/>
          <w:i w:val="0"/>
          <w:color w:val="161412"/>
        </w:rPr>
        <w:t>, la señal necesita forma reconocible —banner, badge, callout, error inline, toast— para no confundirse con contenido ordinario: la forma marca que eso debe leerse como comunicación del sistema.</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En handle</w:t>
      </w:r>
      <w:r>
        <w:rPr>
          <w:rFonts w:ascii="Newsreader" w:hAnsi="Newsreader" w:cs="Newsreader"/>
          <w:b w:val="0"/>
          <w:i w:val="0"/>
          <w:color w:val="161412"/>
        </w:rPr>
        <w:t>, la manipulación necesita affordances explícitas —drag handle, grip dots, drop zone, resize corner—; sin forma que sugiera agarre, la manipulación depende del descubrimiento accidental.</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En emerge</w:t>
      </w:r>
      <w:r>
        <w:rPr>
          <w:rFonts w:ascii="Newsreader" w:hAnsi="Newsreader" w:cs="Newsreader"/>
          <w:b w:val="0"/>
          <w:i w:val="0"/>
          <w:color w:val="161412"/>
        </w:rPr>
        <w:t>, un trigger debe sugerir que puede abrir algo —chevron, caret, plus, disclosure—: la forma anticipa el evento de aparición.</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En sustain</w:t>
      </w:r>
      <w:r>
        <w:rPr>
          <w:rFonts w:ascii="Newsreader" w:hAnsi="Newsreader" w:cs="Newsreader"/>
          <w:b w:val="0"/>
          <w:i w:val="0"/>
          <w:color w:val="161412"/>
        </w:rPr>
        <w:t>, el proceso necesita una forma que represente continuidad —barra, círculo, skeleton, track, línea de tiempo—: la forma hace visible el tipo de espera.</w:t>
      </w:r>
    </w:p>
    <w:p>
      <w:pPr>
        <w:spacing w:before="200" w:after="60"/>
        <w:jc w:val="center"/>
      </w:pPr>
      <w:r>
        <w:drawing>
          <wp:inline xmlns:a="http://schemas.openxmlformats.org/drawingml/2006/main" xmlns:pic="http://schemas.openxmlformats.org/drawingml/2006/picture">
            <wp:extent cx="5029200" cy="2514600"/>
            <wp:docPr id="64" name="Picture 64"/>
            <wp:cNvGraphicFramePr>
              <a:graphicFrameLocks noChangeAspect="1"/>
            </wp:cNvGraphicFramePr>
            <a:graphic>
              <a:graphicData uri="http://schemas.openxmlformats.org/drawingml/2006/picture">
                <pic:pic>
                  <pic:nvPicPr>
                    <pic:cNvPr id="0" name="figura-15-1.png"/>
                    <pic:cNvPicPr/>
                  </pic:nvPicPr>
                  <pic:blipFill>
                    <a:blip r:embed="rId72"/>
                    <a:stretch>
                      <a:fillRect/>
                    </a:stretch>
                  </pic:blipFill>
                  <pic:spPr>
                    <a:xfrm>
                      <a:off x="0" y="0"/>
                      <a:ext cx="5029200" cy="2514600"/>
                    </a:xfrm>
                    <a:prstGeom prst="rect"/>
                  </pic:spPr>
                </pic:pic>
              </a:graphicData>
            </a:graphic>
          </wp:inline>
        </w:drawing>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La forma puede anticipar, sostener o fijar la lectura semántica de un evento.</w:t>
      </w:r>
    </w:p>
    <w:p>
      <w:pPr>
        <w:spacing w:before="320" w:after="40"/>
      </w:pPr>
      <w:r>
        <w:rPr>
          <w:rFonts w:ascii="IBM Plex Sans" w:hAnsi="IBM Plex Sans" w:cs="IBM Plex Sans"/>
          <w:b/>
          <w:color w:val="1F3A5F"/>
          <w:sz w:val="18"/>
        </w:rPr>
        <w:t>§ 4</w:t>
      </w:r>
    </w:p>
    <w:p>
      <w:pPr>
        <w:spacing w:after="160" w:line="240" w:lineRule="auto"/>
      </w:pPr>
      <w:r>
        <w:rPr>
          <w:rFonts w:ascii="Newsreader" w:hAnsi="Newsreader" w:cs="Newsreader"/>
          <w:color w:val="161412"/>
          <w:sz w:val="38"/>
        </w:rPr>
        <w:t>Forma y estado</w:t>
      </w:r>
    </w:p>
    <w:p>
      <w:pPr>
        <w:spacing w:after="120" w:line="320" w:lineRule="auto"/>
        <w:jc w:val="both"/>
      </w:pPr>
      <w:r>
        <w:rPr>
          <w:rFonts w:ascii="Newsreader" w:hAnsi="Newsreader" w:cs="Newsreader"/>
          <w:b w:val="0"/>
          <w:i w:val="0"/>
          <w:color w:val="161412"/>
        </w:rPr>
        <w:t>La forma también comunica estado, y no solo mediante color: muchas veces el estado debe poder reconocerse por forma, contorno, icono, densidad, posición o marca —seleccionado, enfocado, desactivado, expandido, colapsado, inválido, editable, arrastrable, bloqueado—. Si el estado solo cambia de color, la semántica es frágil.</w:t>
      </w:r>
    </w:p>
    <w:p>
      <w:pPr>
        <w:spacing w:after="120" w:line="320" w:lineRule="auto"/>
        <w:jc w:val="both"/>
      </w:pPr>
      <w:r>
        <w:rPr>
          <w:rFonts w:ascii="Newsreader" w:hAnsi="Newsreader" w:cs="Newsreader"/>
          <w:b w:val="0"/>
          <w:i w:val="0"/>
          <w:color w:val="161412"/>
        </w:rPr>
        <w:t>Una opción seleccionada puede necesitar check, borde, fondo, marca persistente o cambio de peso. Un campo inválido puede necesitar icono, mensaje, borde y relación espacial. Un accordion expandido puede necesitar cambio de chevron, contorno y relación con el contenido desplegado. La forma permite que el estado sobreviva cuando el color no basta o cuando el motion se reduce.</w:t>
      </w:r>
    </w:p>
    <w:p>
      <w:pPr>
        <w:spacing w:before="320" w:after="40"/>
      </w:pPr>
      <w:r>
        <w:rPr>
          <w:rFonts w:ascii="IBM Plex Sans" w:hAnsi="IBM Plex Sans" w:cs="IBM Plex Sans"/>
          <w:b/>
          <w:color w:val="1F3A5F"/>
          <w:sz w:val="18"/>
        </w:rPr>
        <w:t>§ 5</w:t>
      </w:r>
    </w:p>
    <w:p>
      <w:pPr>
        <w:spacing w:after="160" w:line="240" w:lineRule="auto"/>
      </w:pPr>
      <w:r>
        <w:rPr>
          <w:rFonts w:ascii="Newsreader" w:hAnsi="Newsreader" w:cs="Newsreader"/>
          <w:color w:val="161412"/>
          <w:sz w:val="38"/>
        </w:rPr>
        <w:t>Forma e intent</w:t>
      </w:r>
    </w:p>
    <w:p>
      <w:pPr>
        <w:spacing w:after="120" w:line="320" w:lineRule="auto"/>
        <w:jc w:val="both"/>
      </w:pPr>
      <w:r>
        <w:rPr>
          <w:rFonts w:ascii="Newsreader" w:hAnsi="Newsreader" w:cs="Newsreader"/>
          <w:b w:val="0"/>
          <w:i w:val="0"/>
          <w:color w:val="161412"/>
        </w:rPr>
        <w:t>La forma no es intent, pero puede reforzarlo. Un risk puede usar forma de advertencia moderada: icono, callout, borde, contenedor local. Un threat, forma más contundente: bloque dominante, icono claro, agrupación crítica. Un loss, formas de ausencia o registro: espacio vacío, estado tachado, undo, recurso retirado. Un affirm, forma pequeña y estable: check discreto, marca de guardado, estado aplicado. Un fulfill, forma más resolutiva: check grande, pantalla de completado, progreso al cien por cien. Esto importa porque los intents no deben depender solo del color.</w:t>
      </w:r>
    </w:p>
    <w:p>
      <w:pPr>
        <w:spacing w:before="320" w:after="40"/>
      </w:pPr>
      <w:r>
        <w:rPr>
          <w:rFonts w:ascii="IBM Plex Sans" w:hAnsi="IBM Plex Sans" w:cs="IBM Plex Sans"/>
          <w:b/>
          <w:color w:val="1F3A5F"/>
          <w:sz w:val="18"/>
        </w:rPr>
        <w:t>§ 6</w:t>
      </w:r>
    </w:p>
    <w:p>
      <w:pPr>
        <w:spacing w:after="160" w:line="240" w:lineRule="auto"/>
      </w:pPr>
      <w:r>
        <w:rPr>
          <w:rFonts w:ascii="Newsreader" w:hAnsi="Newsreader" w:cs="Newsreader"/>
          <w:color w:val="161412"/>
          <w:sz w:val="38"/>
        </w:rPr>
        <w:t>Ejemplo narrativo: campo inválido</w:t>
      </w:r>
    </w:p>
    <w:p>
      <w:pPr>
        <w:spacing w:after="120" w:line="320" w:lineRule="auto"/>
        <w:jc w:val="both"/>
      </w:pPr>
      <w:r>
        <w:rPr>
          <w:rFonts w:ascii="Newsreader" w:hAnsi="Newsreader" w:cs="Newsreader"/>
          <w:b w:val="0"/>
          <w:i w:val="0"/>
          <w:color w:val="161412"/>
        </w:rPr>
        <w:t>Un usuario deja vacío un campo obligatorio: signal.warn + risk. La solución pobre —</w:t>
      </w:r>
      <w:r>
        <w:rPr>
          <w:rFonts w:ascii="IBM Plex Sans" w:hAnsi="IBM Plex Sans" w:cs="IBM Plex Sans"/>
          <w:b w:val="0"/>
          <w:i w:val="0"/>
          <w:color w:val="161412"/>
          <w:sz w:val="20"/>
        </w:rPr>
        <w:t>border-color: red;</w:t>
      </w:r>
      <w:r>
        <w:rPr>
          <w:rFonts w:ascii="Newsreader" w:hAnsi="Newsreader" w:cs="Newsreader"/>
          <w:b w:val="0"/>
          <w:i w:val="0"/>
          <w:color w:val="161412"/>
        </w:rPr>
        <w:t xml:space="preserve">— cambia el color, pero hace que el evento dependa casi por completo del canal cromático. La solución semántica combina borde o contorno, icono de advertencia, mensaje vinculado, forma de callout local, relación espacial clara, persistencia hasta la corrección, </w:t>
      </w:r>
      <w:r>
        <w:rPr>
          <w:rFonts w:ascii="IBM Plex Sans" w:hAnsi="IBM Plex Sans" w:cs="IBM Plex Sans"/>
          <w:b w:val="0"/>
          <w:i w:val="0"/>
          <w:color w:val="161412"/>
          <w:sz w:val="20"/>
        </w:rPr>
        <w:t>aria-describedby</w:t>
      </w:r>
      <w:r>
        <w:rPr>
          <w:rFonts w:ascii="Newsreader" w:hAnsi="Newsreader" w:cs="Newsreader"/>
          <w:b w:val="0"/>
          <w:i w:val="0"/>
          <w:color w:val="161412"/>
        </w:rPr>
        <w:t xml:space="preserve"> y, sobre todo, no solo rojo.</w:t>
      </w:r>
    </w:p>
    <w:p>
      <w:pPr>
        <w:spacing w:after="120" w:line="320" w:lineRule="auto"/>
        <w:jc w:val="both"/>
      </w:pPr>
      <w:r>
        <w:rPr>
          <w:rFonts w:ascii="Newsreader" w:hAnsi="Newsreader" w:cs="Newsreader"/>
          <w:b w:val="0"/>
          <w:i w:val="0"/>
          <w:color w:val="161412"/>
        </w:rPr>
        <w:t>La forma ayuda a responder dónde está el problema, a qué campo afecta, si es corregible y qué hacer. El error no debería sentirse como amenaza global si solo es un riesgo local corregible.</w:t>
      </w:r>
    </w:p>
    <w:p>
      <w:pPr>
        <w:spacing w:before="320" w:after="40"/>
      </w:pPr>
      <w:r>
        <w:rPr>
          <w:rFonts w:ascii="IBM Plex Sans" w:hAnsi="IBM Plex Sans" w:cs="IBM Plex Sans"/>
          <w:b/>
          <w:color w:val="1F3A5F"/>
          <w:sz w:val="18"/>
        </w:rPr>
        <w:t>§ 7</w:t>
      </w:r>
    </w:p>
    <w:p>
      <w:pPr>
        <w:spacing w:after="160" w:line="240" w:lineRule="auto"/>
      </w:pPr>
      <w:r>
        <w:rPr>
          <w:rFonts w:ascii="Newsreader" w:hAnsi="Newsreader" w:cs="Newsreader"/>
          <w:color w:val="161412"/>
          <w:sz w:val="38"/>
        </w:rPr>
        <w:t>Ejemplo narrativo: selección de filtro</w:t>
      </w:r>
    </w:p>
    <w:p>
      <w:pPr>
        <w:spacing w:after="120" w:line="320" w:lineRule="auto"/>
        <w:jc w:val="both"/>
      </w:pPr>
      <w:r>
        <w:rPr>
          <w:rFonts w:ascii="Newsreader" w:hAnsi="Newsreader" w:cs="Newsreader"/>
          <w:b w:val="0"/>
          <w:i w:val="0"/>
          <w:color w:val="161412"/>
        </w:rPr>
        <w:t>Un usuario selecciona un filtro en una lista de chips: commit.select + affirm. Si solo cambia el color del chip, puede entenderse, pero depende demasiado del canal cromático. La forma puede reforzar el estado con un check interno, un borde más definido, un fondo persistente, un cambio de peso, un botón de remove o la posición dentro de un grupo activo.</w:t>
      </w:r>
    </w:p>
    <w:p>
      <w:pPr>
        <w:spacing w:after="120" w:line="320" w:lineRule="auto"/>
        <w:jc w:val="both"/>
      </w:pPr>
      <w:r>
        <w:rPr>
          <w:rFonts w:ascii="Newsreader" w:hAnsi="Newsreader" w:cs="Newsreader"/>
          <w:b w:val="0"/>
          <w:i w:val="0"/>
          <w:color w:val="161412"/>
        </w:rPr>
        <w:t>La pregunta perceptiva es «¿esto quedó elegido?», y la forma debe dejar huella: un contacto se siente y desaparece; una selección debe permanecer.</w:t>
      </w:r>
    </w:p>
    <w:p>
      <w:pPr>
        <w:spacing w:before="320" w:after="40"/>
      </w:pPr>
      <w:r>
        <w:rPr>
          <w:rFonts w:ascii="IBM Plex Sans" w:hAnsi="IBM Plex Sans" w:cs="IBM Plex Sans"/>
          <w:b/>
          <w:color w:val="1F3A5F"/>
          <w:sz w:val="18"/>
        </w:rPr>
        <w:t>§ 8</w:t>
      </w:r>
    </w:p>
    <w:p>
      <w:pPr>
        <w:spacing w:after="160" w:line="240" w:lineRule="auto"/>
      </w:pPr>
      <w:r>
        <w:rPr>
          <w:rFonts w:ascii="Newsreader" w:hAnsi="Newsreader" w:cs="Newsreader"/>
          <w:color w:val="161412"/>
          <w:sz w:val="38"/>
        </w:rPr>
        <w:t>Ejemplo narrativo: área de drop</w:t>
      </w:r>
    </w:p>
    <w:p>
      <w:pPr>
        <w:spacing w:after="120" w:line="320" w:lineRule="auto"/>
        <w:jc w:val="both"/>
      </w:pPr>
      <w:r>
        <w:rPr>
          <w:rFonts w:ascii="Newsreader" w:hAnsi="Newsreader" w:cs="Newsreader"/>
          <w:b w:val="0"/>
          <w:i w:val="0"/>
          <w:color w:val="161412"/>
        </w:rPr>
        <w:t>Un usuario arrastra un archivo a una zona de subida. Antes de que el archivo entre, la zona debe sugerir que acepta drop: eso es forma como affordance. Los recursos son conocidos: contorno discontinuo, icono de upload, texto breve, tamaño suficiente, fondo suave, cambio de forma al hover, estado válido o inválido. La secuencia completa: handle.carry, la affordance de destino, handle.drop y commit.upload + affirm o fulfill.</w:t>
      </w:r>
    </w:p>
    <w:p>
      <w:pPr>
        <w:spacing w:after="120" w:line="320" w:lineRule="auto"/>
        <w:jc w:val="both"/>
      </w:pPr>
      <w:r>
        <w:rPr>
          <w:rFonts w:ascii="Newsreader" w:hAnsi="Newsreader" w:cs="Newsreader"/>
          <w:b w:val="0"/>
          <w:i w:val="0"/>
          <w:color w:val="161412"/>
        </w:rPr>
        <w:t>Si la zona no tiene forma suficiente, el usuario no sabe dónde soltar; si solo se colorea al pasar por encima, quizá llega tarde. La forma debe anticipar la posibilidad de acción.</w:t>
      </w:r>
    </w:p>
    <w:p>
      <w:pPr>
        <w:spacing w:before="320" w:after="40"/>
      </w:pPr>
      <w:r>
        <w:rPr>
          <w:rFonts w:ascii="IBM Plex Sans" w:hAnsi="IBM Plex Sans" w:cs="IBM Plex Sans"/>
          <w:b/>
          <w:color w:val="1F3A5F"/>
          <w:sz w:val="18"/>
        </w:rPr>
        <w:t>§ 9</w:t>
      </w:r>
    </w:p>
    <w:p>
      <w:pPr>
        <w:spacing w:after="160" w:line="240" w:lineRule="auto"/>
      </w:pPr>
      <w:r>
        <w:rPr>
          <w:rFonts w:ascii="Newsreader" w:hAnsi="Newsreader" w:cs="Newsreader"/>
          <w:color w:val="161412"/>
          <w:sz w:val="38"/>
        </w:rPr>
        <w:t>Accesibilidad de la forma</w:t>
      </w:r>
    </w:p>
    <w:p>
      <w:pPr>
        <w:spacing w:after="120" w:line="320" w:lineRule="auto"/>
        <w:jc w:val="both"/>
      </w:pPr>
      <w:r>
        <w:rPr>
          <w:rFonts w:ascii="Newsreader" w:hAnsi="Newsreader" w:cs="Newsreader"/>
          <w:b w:val="0"/>
          <w:i w:val="0"/>
          <w:color w:val="161412"/>
        </w:rPr>
        <w:t>La forma es crucial para la accesibilidad: si todo depende del color, la forma debe sostener el significado; si una animación se reduce, la forma puede dejar estado persistente; si el sonido no está disponible, la forma puede reforzar la señal; si el usuario navega con teclado, el foco debe tener forma clara.</w:t>
      </w:r>
    </w:p>
    <w:p>
      <w:pPr>
        <w:spacing w:after="120" w:line="320" w:lineRule="auto"/>
        <w:jc w:val="both"/>
      </w:pPr>
      <w:r>
        <w:rPr>
          <w:rFonts w:ascii="Newsreader" w:hAnsi="Newsreader" w:cs="Newsreader"/>
          <w:b w:val="0"/>
          <w:i w:val="0"/>
          <w:color w:val="161412"/>
        </w:rPr>
        <w:t>Los problemas frecuentes son reconocibles: foco invisible, iconos sin texto, áreas clicables sin forma clara, contornos demasiado sutiles, targets demasiado pequeños, drop zones inaccesibles por teclado, botones que parecen texto y texto que parece botón. La accesibilidad de la forma no es solo contraste: es reconocimiento de función.</w:t>
      </w:r>
    </w:p>
    <w:p>
      <w:pPr>
        <w:spacing w:before="320" w:after="40"/>
      </w:pPr>
      <w:r>
        <w:rPr>
          <w:rFonts w:ascii="IBM Plex Sans" w:hAnsi="IBM Plex Sans" w:cs="IBM Plex Sans"/>
          <w:b/>
          <w:color w:val="1F3A5F"/>
          <w:sz w:val="18"/>
        </w:rPr>
        <w:t>§ 10</w:t>
      </w:r>
    </w:p>
    <w:p>
      <w:pPr>
        <w:spacing w:after="160" w:line="240" w:lineRule="auto"/>
      </w:pPr>
      <w:r>
        <w:rPr>
          <w:rFonts w:ascii="Newsreader" w:hAnsi="Newsreader" w:cs="Newsreader"/>
          <w:color w:val="161412"/>
          <w:sz w:val="38"/>
        </w:rPr>
        <w:t>Síntesis</w:t>
      </w:r>
    </w:p>
    <w:p>
      <w:pPr>
        <w:spacing w:after="120" w:line="320" w:lineRule="auto"/>
        <w:jc w:val="both"/>
      </w:pPr>
      <w:r>
        <w:rPr>
          <w:rFonts w:ascii="Newsreader" w:hAnsi="Newsreader" w:cs="Newsreader"/>
          <w:b w:val="0"/>
          <w:i w:val="0"/>
          <w:color w:val="161412"/>
        </w:rPr>
        <w:t>La forma es el canal del límite, la affordance y el reconocimiento estructural: comunica dónde empieza y termina algo, qué pertenece junto, qué puede hacerse, qué estado tiene y qué acción representa.</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La forma no dice solo cómo se ve algo. Dice qué es, dónde termina y qué permite hacer.</w:t>
      </w:r>
    </w:p>
    <w:p>
      <w:r>
        <w:br w:type="page"/>
      </w:r>
    </w:p>
    <w:p>
      <w:pPr>
        <w:spacing w:after="40"/>
      </w:pPr>
      <w:r>
        <w:rPr>
          <w:rFonts w:ascii="IBM Plex Sans" w:hAnsi="IBM Plex Sans" w:cs="IBM Plex Sans"/>
          <w:b/>
          <w:color w:val="1F3A5F"/>
          <w:sz w:val="18"/>
        </w:rPr>
        <w:t>CAPÍTULO 16</w:t>
      </w:r>
    </w:p>
    <w:p>
      <w:pPr>
        <w:spacing w:after="80" w:line="240" w:lineRule="auto"/>
      </w:pPr>
      <w:r>
        <w:rPr>
          <w:rFonts w:ascii="IBM Plex Sans" w:hAnsi="IBM Plex Sans" w:cs="IBM Plex Sans"/>
          <w:color w:val="161412"/>
          <w:sz w:val="220"/>
        </w:rPr>
        <w:t>16</w:t>
      </w:r>
    </w:p>
    <w:p>
      <w:pPr>
        <w:spacing w:after="60" w:line="240" w:lineRule="auto"/>
      </w:pPr>
      <w:r>
        <w:rPr>
          <w:rFonts w:ascii="Newsreader" w:hAnsi="Newsreader" w:cs="Newsreader"/>
          <w:color w:val="161412"/>
          <w:sz w:val="60"/>
        </w:rPr>
        <w:t xml:space="preserve">Color: refuerzo semántico y valencia</w:t>
      </w:r>
    </w:p>
    <w:p>
      <w:pPr>
        <w:spacing w:after="280"/>
      </w:pPr>
      <w:r>
        <w:rPr>
          <w:rFonts w:ascii="IBM Plex Sans" w:hAnsi="IBM Plex Sans" w:cs="IBM Plex Sans"/>
          <w:color w:val="6A635A"/>
          <w:sz w:val="26"/>
        </w:rPr>
        <w:t>El canal que más hemos confundido con la semántica</w:t>
      </w:r>
    </w:p>
    <w:p>
      <w:pPr>
        <w:pBdr>
          <w:bottom w:val="single" w:sz="4" w:space="4" w:color="1F3A5F"/>
        </w:pBdr>
      </w:pP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¿Qué puede decir el color de un evento, y qué le hemos pedido decir que no le corresponde?</w:t>
      </w:r>
    </w:p>
    <w:p>
      <w:pPr>
        <w:spacing w:after="120" w:line="320" w:lineRule="auto"/>
        <w:jc w:val="both"/>
      </w:pPr>
      <w:r>
        <w:rPr>
          <w:rFonts w:ascii="Newsreader" w:hAnsi="Newsreader" w:cs="Newsreader"/>
          <w:b w:val="0"/>
          <w:i w:val="0"/>
          <w:color w:val="161412"/>
        </w:rPr>
        <w:t xml:space="preserve">Para casi uno de cada doce hombres, el rojo de un error y el verde de un acierto se parecen mucho más de lo que el diseñador supone. El daltonismo rojo-verde afecta en torno al 8 % de los hombres — y a una de cada doscientas mujeres—. Su forma más común, la deuteranomalía, a menudo ni se nota hasta que un test la revela. Para todas esas personas, una interfaz que separa «correcto» de «incorrecto» solo por el color no separa nada. Y aun para quien distingue todos los colores, el rojo no significa lo mismo en todas partes: peligro en una cultura, suerte o celebración en otra.</w:t>
      </w:r>
    </w:p>
    <w:p>
      <w:pPr>
        <w:spacing w:after="120" w:line="320" w:lineRule="auto"/>
        <w:jc w:val="both"/>
      </w:pPr>
      <w:r>
        <w:rPr>
          <w:rFonts w:ascii="Newsreader" w:hAnsi="Newsreader" w:cs="Newsreader"/>
          <w:b w:val="0"/>
          <w:i w:val="0"/>
          <w:color w:val="161412"/>
        </w:rPr>
        <w:t xml:space="preserve">El color es uno de los canales más poderosos de la interfaz, y también uno de los más peligrosos. Durante décadas, buena parte de la semántica visual se ha delegado en él: rojo para error, amarillo para advertencia, verde para éxito, azul para información. Este capítulo intenta devolverlo a su sitio: el color no es la semántica; es un canal que puede reforzarla.</w:t>
      </w:r>
    </w:p>
    <w:p>
      <w:pPr>
        <w:spacing w:before="200" w:after="60"/>
        <w:jc w:val="center"/>
      </w:pPr>
      <w:r>
        <w:drawing>
          <wp:inline xmlns:a="http://schemas.openxmlformats.org/drawingml/2006/main" xmlns:pic="http://schemas.openxmlformats.org/drawingml/2006/picture">
            <wp:extent cx="5029200" cy="2891790"/>
            <wp:docPr id="9003" name="fig16_1"/>
            <wp:cNvGraphicFramePr>
              <a:graphicFrameLocks noChangeAspect="1"/>
            </wp:cNvGraphicFramePr>
            <a:graphic>
              <a:graphicData uri="http://schemas.openxmlformats.org/drawingml/2006/picture">
                <pic:pic>
                  <pic:nvPicPr>
                    <pic:cNvPr id="9003" name="fig16_1"/>
                    <pic:cNvPicPr/>
                  </pic:nvPicPr>
                  <pic:blipFill>
                    <a:blip r:embed="rId902"/>
                    <a:stretch>
                      <a:fillRect/>
                    </a:stretch>
                  </pic:blipFill>
                  <pic:spPr>
                    <a:xfrm>
                      <a:off x="0" y="0"/>
                      <a:ext cx="5029200" cy="2891790"/>
                    </a:xfrm>
                    <a:prstGeom prst="rect"/>
                  </pic:spPr>
                </pic:pic>
              </a:graphicData>
            </a:graphic>
          </wp:inline>
        </w:drawing>
      </w:r>
    </w:p>
    <w:p>
      <w:pPr>
        <w:spacing w:before="320" w:after="40"/>
      </w:pPr>
      <w:r>
        <w:rPr>
          <w:rFonts w:ascii="IBM Plex Sans" w:hAnsi="IBM Plex Sans" w:cs="IBM Plex Sans"/>
          <w:b/>
          <w:color w:val="1F3A5F"/>
          <w:sz w:val="18"/>
        </w:rPr>
        <w:t xml:space="preserve">§ 1</w:t>
      </w:r>
    </w:p>
    <w:p>
      <w:pPr>
        <w:spacing w:after="160" w:line="240" w:lineRule="auto"/>
      </w:pPr>
      <w:r>
        <w:rPr>
          <w:rFonts w:ascii="Newsreader" w:hAnsi="Newsreader" w:cs="Newsreader"/>
          <w:color w:val="161412"/>
          <w:sz w:val="38"/>
        </w:rPr>
        <w:t xml:space="preserve">Fundamento psicoperceptivo: saliencia, contraste y codificación</w:t>
      </w:r>
    </w:p>
    <w:p>
      <w:pPr>
        <w:spacing w:after="120" w:line="320" w:lineRule="auto"/>
        <w:jc w:val="both"/>
      </w:pPr>
      <w:r>
        <w:rPr>
          <w:rFonts w:ascii="Newsreader" w:hAnsi="Newsreader" w:cs="Newsreader"/>
          <w:b w:val="0"/>
          <w:i w:val="0"/>
          <w:color w:val="161412"/>
        </w:rPr>
        <w:t xml:space="preserve">El color se apoya en varios mecanismos perceptivos, y conviene distinguirlos porque no fallan igual. El primero es la saliencia: un color que contrasta con su entorno puede capturar la atención antes de que el usuario lea nada. Un punto rojo sobre un campo gris se encuentra sin buscarlo. Ese poder de captura es anterior a cualquier significado, y por eso mismo debe administrarse: una pantalla donde todo es saliente es una pantalla donde nada lo es.</w:t>
      </w:r>
    </w:p>
    <w:p>
      <w:pPr>
        <w:spacing w:after="120" w:line="320" w:lineRule="auto"/>
        <w:jc w:val="both"/>
      </w:pPr>
      <w:r>
        <w:rPr>
          <w:rFonts w:ascii="Newsreader" w:hAnsi="Newsreader" w:cs="Newsreader"/>
          <w:b w:val="0"/>
          <w:i w:val="0"/>
          <w:color w:val="161412"/>
        </w:rPr>
        <w:t xml:space="preserve">El segundo es el contraste. El color no se percibe de forma aislada, sino en relación con el fondo, la luminancia, la saturación y el contexto. El mismo verde que funciona sobre blanco puede desaparecer sobre gris claro, y un amarillo de advertencia puede volverse ilegible en modo oscuro. El color de una interfaz no es un valor hexadecimal, sino una relación.</w:t>
      </w:r>
    </w:p>
    <w:p>
      <w:pPr>
        <w:spacing w:after="120" w:line="320" w:lineRule="auto"/>
        <w:jc w:val="both"/>
      </w:pPr>
      <w:r>
        <w:rPr>
          <w:rFonts w:ascii="Newsreader" w:hAnsi="Newsreader" w:cs="Newsreader"/>
          <w:b w:val="0"/>
          <w:i w:val="0"/>
          <w:color w:val="161412"/>
        </w:rPr>
        <w:t xml:space="preserve">El tercero es la codificación aprendida. Rojo como peligro, verde como positivo, amarillo como precaución y azul como información funcionan porque los usuarios los han visto muchas veces, no porque formen por sí solos una teoría del afecto. Son convenciones potentes —sería absurdo no aprovecharlas— pero convenciones al fin: dependen de la cultura, del dominio y del contexto de uso.</w:t>
      </w:r>
    </w:p>
    <w:p>
      <w:pPr>
        <w:spacing w:after="120" w:line="320" w:lineRule="auto"/>
        <w:jc w:val="both"/>
      </w:pPr>
      <w:r>
        <w:rPr>
          <w:rFonts w:ascii="Newsreader" w:hAnsi="Newsreader" w:cs="Newsreader"/>
          <w:b w:val="0"/>
          <w:i w:val="0"/>
          <w:color w:val="161412"/>
        </w:rPr>
        <w:t xml:space="preserve">El cuarto es la variabilidad perceptiva. No todos los usuarios distinguen los mismos colores, ni en las mismas condiciones. La deuteranomalía del arranque del capítulo es solo el caso más frecuente; hay pantallas mal calibradas, luz solar directa, modos de alto contraste, filtros nocturnos. Por todo ello el color es fuerte, pero incompleto: rápido para orientar, frágil para sostener él solo un significado.</w:t>
      </w:r>
    </w:p>
    <w:p>
      <w:pPr>
        <w:spacing w:before="320" w:after="40"/>
      </w:pPr>
      <w:r>
        <w:rPr>
          <w:rFonts w:ascii="IBM Plex Sans" w:hAnsi="IBM Plex Sans" w:cs="IBM Plex Sans"/>
          <w:b/>
          <w:color w:val="1F3A5F"/>
          <w:sz w:val="18"/>
        </w:rPr>
        <w:t xml:space="preserve">§ 2</w:t>
      </w:r>
    </w:p>
    <w:p>
      <w:pPr>
        <w:spacing w:after="160" w:line="240" w:lineRule="auto"/>
      </w:pPr>
      <w:r>
        <w:rPr>
          <w:rFonts w:ascii="Newsreader" w:hAnsi="Newsreader" w:cs="Newsreader"/>
          <w:color w:val="161412"/>
          <w:sz w:val="38"/>
        </w:rPr>
        <w:t xml:space="preserve">Color e intent</w:t>
      </w:r>
    </w:p>
    <w:p>
      <w:pPr>
        <w:spacing w:after="120" w:line="320" w:lineRule="auto"/>
        <w:jc w:val="both"/>
      </w:pPr>
      <w:r>
        <w:rPr>
          <w:rFonts w:ascii="Newsreader" w:hAnsi="Newsreader" w:cs="Newsreader"/>
          <w:b w:val="0"/>
          <w:i w:val="0"/>
          <w:color w:val="161412"/>
        </w:rPr>
        <w:t xml:space="preserve">El color no define el intent. El intent proviene de la evaluación del evento en el espacio valencia/activación; el color es solo uno de los canales que puede reforzarlo. Rojo, amarillo, verde o azul no son la semántica: son recursos expresivos que pueden ayudar a comunicar amenaza, riesgo, confirmación, resolución, pérdida o neutralidad.</w:t>
      </w:r>
    </w:p>
    <w:p>
      <w:pPr>
        <w:spacing w:after="120" w:line="320" w:lineRule="auto"/>
        <w:jc w:val="both"/>
      </w:pPr>
      <w:r>
        <w:rPr>
          <w:rFonts w:ascii="Newsreader" w:hAnsi="Newsreader" w:cs="Newsreader"/>
          <w:b w:val="0"/>
          <w:i w:val="0"/>
          <w:color w:val="161412"/>
        </w:rPr>
        <w:t xml:space="preserve">La diferencia entre threat y loss no nace de dos tonos de rojo: nace de la distinción evaluativa que el Capítulo 10 argumentó — lo evitable frente a lo consumado. Si ambos comparten el mismo rojo saturado, el usuario aprende que el rojo «grita» siempre igual, y deja de distinguir cuándo puede actuar y cuándo solo puede aceptar. La separación correcta no pide dos pigmentos, sino dos expresiones. El threat admite un rojo saliente con presencia dominante; el loss pide gravedad contenida —un rojo desaturado, una ausencia, una huella— sin la energía de la alarma.</w:t>
      </w:r>
    </w:p>
    <w:p>
      <w:pPr>
        <w:spacing w:after="120" w:line="320" w:lineRule="auto"/>
        <w:jc w:val="both"/>
      </w:pPr>
      <w:r>
        <w:rPr>
          <w:rFonts w:ascii="Newsreader" w:hAnsi="Newsreader" w:cs="Newsreader"/>
          <w:b w:val="0"/>
          <w:i w:val="0"/>
          <w:color w:val="161412"/>
        </w:rPr>
        <w:t xml:space="preserve">La diferencia entre affirm y fulfill tampoco nace de dos verdes. Nace de la diferencia entre confirmación suave y resolución positiva. Un autoguardado no debería estrenar el mismo verde festivo que la culminación de un proceso largo: si todo lo positivo brilla igual, nada culmina. El color puede reforzar esa gradación —un verde discreto para affirm, uno más pleno para fulfill—, pero no debe sustituirla.</w:t>
      </w:r>
    </w:p>
    <w:p>
      <w:pPr>
        <w:spacing w:before="320" w:after="40"/>
      </w:pPr>
      <w:r>
        <w:rPr>
          <w:rFonts w:ascii="IBM Plex Sans" w:hAnsi="IBM Plex Sans" w:cs="IBM Plex Sans"/>
          <w:b/>
          <w:color w:val="1F3A5F"/>
          <w:sz w:val="18"/>
        </w:rPr>
        <w:t xml:space="preserve">§ 3</w:t>
      </w:r>
    </w:p>
    <w:p>
      <w:pPr>
        <w:spacing w:after="160" w:line="240" w:lineRule="auto"/>
      </w:pPr>
      <w:r>
        <w:rPr>
          <w:rFonts w:ascii="Newsreader" w:hAnsi="Newsreader" w:cs="Newsreader"/>
          <w:color w:val="161412"/>
          <w:sz w:val="38"/>
        </w:rPr>
        <w:t xml:space="preserve">La herencia del semáforo</w:t>
      </w:r>
    </w:p>
    <w:p>
      <w:pPr>
        <w:spacing w:after="120" w:line="320" w:lineRule="auto"/>
        <w:jc w:val="both"/>
      </w:pPr>
      <w:r>
        <w:rPr>
          <w:rFonts w:ascii="Newsreader" w:hAnsi="Newsreader" w:cs="Newsreader"/>
          <w:b w:val="0"/>
          <w:i w:val="0"/>
          <w:color w:val="161412"/>
        </w:rPr>
        <w:t xml:space="preserve">El Capítulo 10 desarrolló la crítica al semáforo; aquí solo aplicamos su consecuencia al canal color. La convención heredada funciona como atajo cromático, pero no como teoría semántica completa: danger mezcla threat y loss; success mezcla affirm y fulfill; info mezcla saliencia con evaluación. Mientras el color fue el único vehículo del intent, esas mezclas parecían inevitables. En una gramática multicanal dejan de serlo: el color queda subordinado al evento, no al revés.</w:t>
      </w:r>
    </w:p>
    <w:p>
      <w:pPr>
        <w:spacing w:before="320" w:after="40"/>
      </w:pPr>
      <w:r>
        <w:rPr>
          <w:rFonts w:ascii="IBM Plex Sans" w:hAnsi="IBM Plex Sans" w:cs="IBM Plex Sans"/>
          <w:b/>
          <w:color w:val="1F3A5F"/>
          <w:sz w:val="18"/>
        </w:rPr>
        <w:t xml:space="preserve">§ 4</w:t>
      </w:r>
    </w:p>
    <w:p>
      <w:pPr>
        <w:spacing w:after="160" w:line="240" w:lineRule="auto"/>
      </w:pPr>
      <w:r>
        <w:rPr>
          <w:rFonts w:ascii="Newsreader" w:hAnsi="Newsreader" w:cs="Newsreader"/>
          <w:color w:val="161412"/>
          <w:sz w:val="38"/>
        </w:rPr>
        <w:t xml:space="preserve">Lo que el color hace bien</w:t>
      </w:r>
    </w:p>
    <w:p>
      <w:pPr>
        <w:spacing w:after="120" w:line="320" w:lineRule="auto"/>
        <w:jc w:val="both"/>
      </w:pPr>
      <w:r>
        <w:rPr>
          <w:rFonts w:ascii="Newsreader" w:hAnsi="Newsreader" w:cs="Newsreader"/>
          <w:b w:val="0"/>
          <w:i w:val="0"/>
          <w:color w:val="161412"/>
        </w:rPr>
        <w:t xml:space="preserve">Criticar la sobrecarga del color no es negarle funciones: bien empleado, es insustituible. Orienta la atención más rápido que casi cualquier otro canal visual. Marca estado con una economía envidiable: un campo activo, una pestaña seleccionada, un elemento deshabilitado. Agrupa por categoría cuando hay que distinguir series, etiquetas o capas. Modula la valencia de un evento evaluable reforzando lo que la forma y el texto ya dicen. Y construye identidad: la paleta de un producto es también memoria de marca.</w:t>
      </w:r>
    </w:p>
    <w:p>
      <w:pPr>
        <w:spacing w:after="120" w:line="320" w:lineRule="auto"/>
        <w:jc w:val="both"/>
      </w:pPr>
      <w:r>
        <w:rPr>
          <w:rFonts w:ascii="Newsreader" w:hAnsi="Newsreader" w:cs="Newsreader"/>
          <w:b w:val="0"/>
          <w:i w:val="0"/>
          <w:color w:val="161412"/>
        </w:rPr>
        <w:t xml:space="preserve">La regla operativa que reúne todo esto: el color acompaña de maravilla y sostiene mal. Puede ser el primero en llegar a la atención, pero no debería ser el único que quede cuando el usuario necesita entender qué ocurrió.</w:t>
      </w:r>
    </w:p>
    <w:p>
      <w:pPr>
        <w:spacing w:before="320" w:after="40"/>
      </w:pPr>
      <w:r>
        <w:rPr>
          <w:rFonts w:ascii="IBM Plex Sans" w:hAnsi="IBM Plex Sans" w:cs="IBM Plex Sans"/>
          <w:b/>
          <w:color w:val="1F3A5F"/>
          <w:sz w:val="18"/>
        </w:rPr>
        <w:t xml:space="preserve">§ 5</w:t>
      </w:r>
    </w:p>
    <w:p>
      <w:pPr>
        <w:spacing w:after="160" w:line="240" w:lineRule="auto"/>
      </w:pPr>
      <w:r>
        <w:rPr>
          <w:rFonts w:ascii="Newsreader" w:hAnsi="Newsreader" w:cs="Newsreader"/>
          <w:color w:val="161412"/>
          <w:sz w:val="38"/>
        </w:rPr>
        <w:t xml:space="preserve">Accesibilidad cromática</w:t>
      </w:r>
    </w:p>
    <w:p>
      <w:pPr>
        <w:spacing w:after="120" w:line="320" w:lineRule="auto"/>
        <w:jc w:val="both"/>
      </w:pPr>
      <w:r>
        <w:rPr>
          <w:rFonts w:ascii="Newsreader" w:hAnsi="Newsreader" w:cs="Newsreader"/>
          <w:b w:val="0"/>
          <w:i w:val="0"/>
          <w:color w:val="161412"/>
        </w:rPr>
        <w:t xml:space="preserve">El color no debe ser el único medio para comunicar información crítica. La lista de fragilidades habituales es conocida: el error señalado solo con un borde rojo; el enlace distinguido solo por el color del texto; la selección marcada solo con un fondo verde. O la gráfica cuyas series solo se separan por tono; la validación que responde solo con verde o rojo. Cada uno de esos casos funciona en el escritorio del diseñador y falla en el mundo: con deuteranomalía, con poco contraste, con luz solar, con una impresión en blanco y negro.</w:t>
      </w:r>
    </w:p>
    <w:p>
      <w:pPr>
        <w:spacing w:after="120" w:line="320" w:lineRule="auto"/>
        <w:jc w:val="both"/>
      </w:pPr>
      <w:r>
        <w:rPr>
          <w:rFonts w:ascii="Newsreader" w:hAnsi="Newsreader" w:cs="Newsreader"/>
          <w:b w:val="0"/>
          <w:i w:val="0"/>
          <w:color w:val="161412"/>
        </w:rPr>
        <w:t xml:space="preserve">La corrección no es renunciar al color, sino acompañarlo. El error suma icono, mensaje y vínculo con el campo; el enlace suma subrayado; la selección suma marca de verificación y borde. La gráfica suma patrones, etiquetas o formas; la validación suma texto y estado persistente. El color sigue ahí, haciendo su trabajo de refuerzo; pero el significado ya no depende de él.</w:t>
      </w:r>
    </w:p>
    <w:p>
      <w:pPr>
        <w:spacing w:before="320" w:after="40"/>
      </w:pPr>
      <w:r>
        <w:rPr>
          <w:rFonts w:ascii="IBM Plex Sans" w:hAnsi="IBM Plex Sans" w:cs="IBM Plex Sans"/>
          <w:b/>
          <w:color w:val="1F3A5F"/>
          <w:sz w:val="18"/>
        </w:rPr>
        <w:t xml:space="preserve">§ 6</w:t>
      </w:r>
    </w:p>
    <w:p>
      <w:pPr>
        <w:spacing w:after="160" w:line="240" w:lineRule="auto"/>
      </w:pPr>
      <w:r>
        <w:rPr>
          <w:rFonts w:ascii="Newsreader" w:hAnsi="Newsreader" w:cs="Newsreader"/>
          <w:color w:val="161412"/>
          <w:sz w:val="38"/>
        </w:rPr>
        <w:t xml:space="preserve">Antipatrones</w:t>
      </w:r>
    </w:p>
    <w:p>
      <w:pPr>
        <w:spacing w:after="120" w:line="320" w:lineRule="auto"/>
        <w:jc w:val="both"/>
      </w:pPr>
      <w:r>
        <w:rPr>
          <w:rFonts w:ascii="Newsreader" w:hAnsi="Newsreader" w:cs="Newsreader"/>
          <w:b/>
          <w:i w:val="0"/>
          <w:color w:val="161412"/>
        </w:rPr>
        <w:t xml:space="preserve">Color como significado único.</w:t>
      </w:r>
      <w:r>
        <w:rPr>
          <w:rFonts w:ascii="Newsreader" w:hAnsi="Newsreader" w:cs="Newsreader"/>
          <w:b w:val="0"/>
          <w:i w:val="0"/>
          <w:color w:val="161412"/>
        </w:rPr>
        <w:t xml:space="preserve"> El intent vive solo en el pigmento: sin él, el evento enmudece. Corrección: forma, icono, texto y posición cargan el significado; el color refuerza.</w:t>
      </w:r>
    </w:p>
    <w:p>
      <w:pPr>
        <w:spacing w:after="120" w:line="320" w:lineRule="auto"/>
        <w:jc w:val="both"/>
      </w:pPr>
      <w:r>
        <w:rPr>
          <w:rFonts w:ascii="Newsreader" w:hAnsi="Newsreader" w:cs="Newsreader"/>
          <w:b/>
          <w:i w:val="0"/>
          <w:color w:val="161412"/>
        </w:rPr>
        <w:t xml:space="preserve">Un solo rojo para todo lo negativo.</w:t>
      </w:r>
      <w:r>
        <w:rPr>
          <w:rFonts w:ascii="Newsreader" w:hAnsi="Newsreader" w:cs="Newsreader"/>
          <w:b w:val="0"/>
          <w:i w:val="0"/>
          <w:color w:val="161412"/>
        </w:rPr>
        <w:t xml:space="preserve"> threat y loss comparten expresión, y el usuario no distingue lo evitable de lo consumado. Corrección: separar energía y gravedad.</w:t>
      </w:r>
    </w:p>
    <w:p>
      <w:pPr>
        <w:spacing w:after="120" w:line="320" w:lineRule="auto"/>
        <w:jc w:val="both"/>
      </w:pPr>
      <w:r>
        <w:rPr>
          <w:rFonts w:ascii="Newsreader" w:hAnsi="Newsreader" w:cs="Newsreader"/>
          <w:b/>
          <w:i w:val="0"/>
          <w:color w:val="161412"/>
        </w:rPr>
        <w:t xml:space="preserve">Un solo verde para todo lo positivo.</w:t>
      </w:r>
      <w:r>
        <w:rPr>
          <w:rFonts w:ascii="Newsreader" w:hAnsi="Newsreader" w:cs="Newsreader"/>
          <w:b w:val="0"/>
          <w:i w:val="0"/>
          <w:color w:val="161412"/>
        </w:rPr>
        <w:t xml:space="preserve"> affirm y fulfill brillan igual, y la culminación pierde valor. Corrección: graduar la intensidad según la resolución.</w:t>
      </w:r>
    </w:p>
    <w:p>
      <w:pPr>
        <w:spacing w:after="120" w:line="320" w:lineRule="auto"/>
        <w:jc w:val="both"/>
      </w:pPr>
      <w:r>
        <w:rPr>
          <w:rFonts w:ascii="Newsreader" w:hAnsi="Newsreader" w:cs="Newsreader"/>
          <w:b/>
          <w:i w:val="0"/>
          <w:color w:val="161412"/>
        </w:rPr>
        <w:t xml:space="preserve">Azul informativo decorativo.</w:t>
      </w:r>
      <w:r>
        <w:rPr>
          <w:rFonts w:ascii="Newsreader" w:hAnsi="Newsreader" w:cs="Newsreader"/>
          <w:b w:val="0"/>
          <w:i w:val="0"/>
          <w:color w:val="161412"/>
        </w:rPr>
        <w:t xml:space="preserve"> Todo lo que no es error ni éxito recibe azul «info», mezcle o no saliencia con evaluación. Corrección: preguntar primero si el evento es evaluable; si solo necesita ser notado, es cuestión de saliencia, no de intent.</w:t>
      </w:r>
    </w:p>
    <w:p>
      <w:pPr>
        <w:spacing w:before="320" w:after="40"/>
      </w:pPr>
      <w:r>
        <w:rPr>
          <w:rFonts w:ascii="IBM Plex Sans" w:hAnsi="IBM Plex Sans" w:cs="IBM Plex Sans"/>
          <w:b/>
          <w:color w:val="1F3A5F"/>
          <w:sz w:val="18"/>
        </w:rPr>
        <w:t xml:space="preserve">§ 7</w:t>
      </w:r>
    </w:p>
    <w:p>
      <w:pPr>
        <w:spacing w:after="160" w:line="240" w:lineRule="auto"/>
      </w:pPr>
      <w:r>
        <w:rPr>
          <w:rFonts w:ascii="Newsreader" w:hAnsi="Newsreader" w:cs="Newsreader"/>
          <w:color w:val="161412"/>
          <w:sz w:val="38"/>
        </w:rPr>
        <w:t xml:space="preserve">Síntesis</w:t>
      </w:r>
    </w:p>
    <w:p>
      <w:pPr>
        <w:spacing w:after="120" w:line="320" w:lineRule="auto"/>
        <w:jc w:val="both"/>
      </w:pPr>
      <w:r>
        <w:rPr>
          <w:rFonts w:ascii="Newsreader" w:hAnsi="Newsreader" w:cs="Newsreader"/>
          <w:b w:val="0"/>
          <w:i w:val="0"/>
          <w:color w:val="161412"/>
        </w:rPr>
        <w:t xml:space="preserve">El color orienta atención, refuerza estado, modula valencia y construye identidad visual. Pero cuando trabaja solo, la semántica queda expuesta: basta una condición perceptiva distinta para que el evento desaparezca.</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El color expresa el intent. No lo define.</w:t>
      </w:r>
    </w:p>
    <w:p>
      <w:r>
        <w:br w:type="page"/>
      </w:r>
    </w:p>
    <w:p>
      <w:pPr>
        <w:spacing w:after="40"/>
      </w:pPr>
      <w:r>
        <w:rPr>
          <w:rFonts w:ascii="IBM Plex Sans" w:hAnsi="IBM Plex Sans" w:cs="IBM Plex Sans"/>
          <w:b/>
          <w:color w:val="1F3A5F"/>
          <w:sz w:val="18"/>
        </w:rPr>
        <w:t>CAPÍTULO 17</w:t>
      </w:r>
    </w:p>
    <w:p>
      <w:pPr>
        <w:spacing w:after="80" w:line="240" w:lineRule="auto"/>
      </w:pPr>
      <w:r>
        <w:rPr>
          <w:rFonts w:ascii="IBM Plex Sans" w:hAnsi="IBM Plex Sans" w:cs="IBM Plex Sans"/>
          <w:color w:val="161412"/>
          <w:sz w:val="220"/>
        </w:rPr>
        <w:t>17</w:t>
      </w:r>
    </w:p>
    <w:p>
      <w:pPr>
        <w:spacing w:after="60" w:line="240" w:lineRule="auto"/>
      </w:pPr>
      <w:r>
        <w:rPr>
          <w:rFonts w:ascii="Newsreader" w:hAnsi="Newsreader" w:cs="Newsreader"/>
          <w:color w:val="161412"/>
          <w:sz w:val="60"/>
        </w:rPr>
        <w:t>Sonido: urgencia, valencia y microeventos auditivos</w:t>
      </w:r>
    </w:p>
    <w:p>
      <w:pPr>
        <w:spacing w:after="280"/>
      </w:pPr>
      <w:r>
        <w:rPr>
          <w:rFonts w:ascii="IBM Plex Sans" w:hAnsi="IBM Plex Sans" w:cs="IBM Plex Sans"/>
          <w:color w:val="6A635A"/>
          <w:sz w:val="26"/>
        </w:rPr>
        <w:t>Cuando la interfaz también se oye</w:t>
      </w:r>
    </w:p>
    <w:p>
      <w:pPr>
        <w:pBdr>
          <w:bottom w:val="single" w:sz="4" w:space="4" w:color="1F3A5F"/>
        </w:pBdr>
      </w:pP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¿Qué añade el sonido a la lectura de un evento, y cuándo sobra?</w:t>
      </w:r>
    </w:p>
    <w:p>
      <w:pPr>
        <w:spacing w:after="120" w:line="320" w:lineRule="auto"/>
        <w:jc w:val="both"/>
      </w:pPr>
      <w:r>
        <w:rPr>
          <w:rFonts w:ascii="Newsreader" w:hAnsi="Newsreader" w:cs="Newsreader"/>
          <w:b w:val="0"/>
          <w:i w:val="0"/>
          <w:color w:val="161412"/>
        </w:rPr>
        <w:t xml:space="preserve">La web ha tratado el sonido con desconfianza durante mucho tiempo, y no sin razón. Durante años, el sonido en interfaces web estuvo asociado a malas prácticas: música automática, anuncios intrusivos, notificaciones insistentes, páginas que sonaban sin permiso. Efectos gratuitos y experiencias imposibles de usar en oficinas, bibliotecas, transporte público o espacios compartidos. La consecuencia cultural fue clara: mejor que la interfaz no suene.</w:t>
      </w:r>
    </w:p>
    <w:p>
      <w:pPr>
        <w:spacing w:after="120" w:line="320" w:lineRule="auto"/>
        <w:jc w:val="both"/>
      </w:pPr>
      <w:r>
        <w:rPr>
          <w:rFonts w:ascii="Newsreader" w:hAnsi="Newsreader" w:cs="Newsreader"/>
          <w:b w:val="0"/>
          <w:i w:val="0"/>
          <w:color w:val="161412"/>
        </w:rPr>
        <w:t>Esa reacción era comprensible, pero produjo una simplificación peligrosa: confundir el mal uso del sonido con la inutilidad del sonido. El problema histórico no ha sido el sonido en sí, sino el sonido sin gramática. Un sonido arbitrario molesta; uno demasiado largo invade; uno inesperado sobresalta; uno repetido fatiga; uno sin relación clara con el evento parece decoración o ruido. Pero un sonido breve, proporcionado, sincronizado con el evento y opcional para el usuario puede comunicar cosas que otros canales comunican peor.</w:t>
      </w:r>
    </w:p>
    <w:p>
      <w:pPr>
        <w:spacing w:before="200" w:after="60"/>
        <w:jc w:val="center"/>
      </w:pPr>
      <w:r>
        <w:drawing>
          <wp:inline xmlns:a="http://schemas.openxmlformats.org/drawingml/2006/main" xmlns:pic="http://schemas.openxmlformats.org/drawingml/2006/picture">
            <wp:extent cx="5029200" cy="2703195"/>
            <wp:docPr id="9004" name="fig17_1"/>
            <wp:cNvGraphicFramePr>
              <a:graphicFrameLocks noChangeAspect="1"/>
            </wp:cNvGraphicFramePr>
            <a:graphic>
              <a:graphicData uri="http://schemas.openxmlformats.org/drawingml/2006/picture">
                <pic:pic>
                  <pic:nvPicPr>
                    <pic:cNvPr id="9004" name="fig17_1"/>
                    <pic:cNvPicPr/>
                  </pic:nvPicPr>
                  <pic:blipFill>
                    <a:blip r:embed="rId903"/>
                    <a:stretch>
                      <a:fillRect/>
                    </a:stretch>
                  </pic:blipFill>
                  <pic:spPr>
                    <a:xfrm>
                      <a:off x="0" y="0"/>
                      <a:ext cx="5029200" cy="2703195"/>
                    </a:xfrm>
                    <a:prstGeom prst="rect"/>
                  </pic:spPr>
                </pic:pic>
              </a:graphicData>
            </a:graphic>
          </wp:inline>
        </w:drawing>
      </w:r>
    </w:p>
    <w:p>
      <w:pPr>
        <w:spacing w:before="320" w:after="40"/>
      </w:pPr>
      <w:r>
        <w:rPr>
          <w:rFonts w:ascii="IBM Plex Sans" w:hAnsi="IBM Plex Sans" w:cs="IBM Plex Sans"/>
          <w:b/>
          <w:color w:val="1F3A5F"/>
          <w:sz w:val="18"/>
        </w:rPr>
        <w:t>§ 1</w:t>
      </w:r>
    </w:p>
    <w:p>
      <w:pPr>
        <w:spacing w:after="160" w:line="240" w:lineRule="auto"/>
      </w:pPr>
      <w:r>
        <w:rPr>
          <w:rFonts w:ascii="Newsreader" w:hAnsi="Newsreader" w:cs="Newsreader"/>
          <w:color w:val="161412"/>
          <w:sz w:val="38"/>
        </w:rPr>
        <w:t>Fundamento psicoperceptivo: correspondencias, roughness e integración audiovisual</w:t>
      </w:r>
    </w:p>
    <w:p>
      <w:pPr>
        <w:spacing w:after="120" w:line="320" w:lineRule="auto"/>
        <w:jc w:val="both"/>
      </w:pPr>
      <w:r>
        <w:rPr>
          <w:rFonts w:ascii="Newsreader" w:hAnsi="Newsreader" w:cs="Newsreader"/>
          <w:b w:val="0"/>
          <w:i w:val="0"/>
          <w:color w:val="161412"/>
        </w:rPr>
        <w:t>El sonido se apoya en varios fenómenos perceptivos relevantes para la interfaz.</w:t>
      </w:r>
    </w:p>
    <w:p>
      <w:pPr>
        <w:spacing w:after="120" w:line="320" w:lineRule="auto"/>
        <w:jc w:val="both"/>
      </w:pPr>
      <w:r>
        <w:rPr>
          <w:rFonts w:ascii="Newsreader" w:hAnsi="Newsreader" w:cs="Newsreader"/>
          <w:b w:val="0"/>
          <w:i w:val="0"/>
          <w:color w:val="161412"/>
        </w:rPr>
        <w:t xml:space="preserve">El primero son las correspondencias crossmodales. Charles Spence ha revisado un amplio cuerpo de investigaciones que muestra que las personas tienden a asociar ciertos rasgos auditivos con rasgos visuales o espaciales. Pitch alto con objetos más pequeños, brillantes o elevados; pitch bajo con objetos más grandes, oscuros o pesados. Estas correspondencias no deben leerse como reglas universales cerradas, pero sí como orientaciones útiles para diseñar congruencia entre canales. El tono agudo sugiere ligereza y puntualidad; el grave, peso y cierre. El ascenso tonal, apertura y logro; el descenso, cierre, caída o pérdida. El timbre limpio, claridad y baja tensión; el áspero, urgencia y alarma.</w:t>
      </w:r>
    </w:p>
    <w:p>
      <w:pPr>
        <w:spacing w:after="120" w:line="320" w:lineRule="auto"/>
        <w:jc w:val="both"/>
      </w:pPr>
      <w:r>
        <w:rPr>
          <w:rFonts w:ascii="Newsreader" w:hAnsi="Newsreader" w:cs="Newsreader"/>
          <w:b w:val="0"/>
          <w:i w:val="0"/>
          <w:color w:val="161412"/>
        </w:rPr>
        <w:t>El segundo fundamento es la roughness o aspereza acústica: ciertos timbres ásperos o modulados tienden a aumentar la saliencia y la sensación de alarma. Esto no significa que toda alerta deba sonar como alarma; significa lo contrario: la aspereza acústica tiene tanta carga atencional que debe reservarse para eventos donde esa carga esté justificada.</w:t>
      </w:r>
    </w:p>
    <w:p>
      <w:pPr>
        <w:spacing w:after="120" w:line="320" w:lineRule="auto"/>
        <w:jc w:val="both"/>
      </w:pPr>
      <w:r>
        <w:rPr>
          <w:rFonts w:ascii="Newsreader" w:hAnsi="Newsreader" w:cs="Newsreader"/>
          <w:b w:val="0"/>
          <w:i w:val="0"/>
          <w:color w:val="161412"/>
        </w:rPr>
        <w:t xml:space="preserve">El tercero es la integración audiovisual. Cuando un sonido ocurre en sincronía con un movimiento, una aparición o una vibración, el usuario puede percibirlos como un único evento. Si llega tarde, demasiado pronto o con una cualidad incongruente, se separa de la experiencia y se convierte en ruido añadido.</w:t>
      </w:r>
    </w:p>
    <w:p>
      <w:pPr>
        <w:spacing w:after="120" w:line="320" w:lineRule="auto"/>
        <w:jc w:val="both"/>
      </w:pPr>
      <w:r>
        <w:rPr>
          <w:rFonts w:ascii="Newsreader" w:hAnsi="Newsreader" w:cs="Newsreader"/>
          <w:b w:val="0"/>
          <w:i w:val="0"/>
          <w:color w:val="161412"/>
        </w:rPr>
        <w:t>El cuarto conecta con el sistema de intents: las variaciones en pitch, timbre, ataque y duración pueden modular la activación y la valencia percibida del evento. Un sonido no es «amenazante» por una frecuencia aislada: lo es por la relación entre pitch, timbre, ataque, duración, contexto, volumen, repetición y evento.</w:t>
      </w:r>
    </w:p>
    <w:p>
      <w:pPr>
        <w:spacing w:before="320" w:after="40"/>
      </w:pPr>
      <w:r>
        <w:rPr>
          <w:rFonts w:ascii="IBM Plex Sans" w:hAnsi="IBM Plex Sans" w:cs="IBM Plex Sans"/>
          <w:b/>
          <w:color w:val="1F3A5F"/>
          <w:sz w:val="18"/>
        </w:rPr>
        <w:t>§ 2</w:t>
      </w:r>
    </w:p>
    <w:p>
      <w:pPr>
        <w:spacing w:after="160" w:line="240" w:lineRule="auto"/>
      </w:pPr>
      <w:r>
        <w:rPr>
          <w:rFonts w:ascii="Newsreader" w:hAnsi="Newsreader" w:cs="Newsreader"/>
          <w:color w:val="161412"/>
          <w:sz w:val="38"/>
        </w:rPr>
        <w:t>Qué comunica el sonido</w:t>
      </w:r>
    </w:p>
    <w:p>
      <w:pPr>
        <w:spacing w:after="120" w:line="320" w:lineRule="auto"/>
        <w:jc w:val="both"/>
      </w:pPr>
      <w:r>
        <w:rPr>
          <w:rFonts w:ascii="Newsreader" w:hAnsi="Newsreader" w:cs="Newsreader"/>
          <w:b w:val="0"/>
          <w:i w:val="0"/>
          <w:color w:val="161412"/>
        </w:rPr>
        <w:t xml:space="preserve">El sonido puede comunicar contacto, cierre, urgencia, valencia, presencia fuera de foco, materialidad, pérdida y resolución. Su fuerza está en que no exige que el usuario mire el lugar donde ocurre el evento. Una señal visual puede pasar desapercibida si la atención está en otra zona; un sonido breve puede alcanzar al usuario igualmente. Eso no significa que deba usarse para todo: significa que, cuando un evento necesita atravesar el campo atencional, el sonido puede ser un canal muy eficaz.</w:t>
      </w:r>
    </w:p>
    <w:p>
      <w:pPr>
        <w:spacing w:before="320" w:after="40"/>
      </w:pPr>
      <w:r>
        <w:rPr>
          <w:rFonts w:ascii="IBM Plex Sans" w:hAnsi="IBM Plex Sans" w:cs="IBM Plex Sans"/>
          <w:b/>
          <w:color w:val="1F3A5F"/>
          <w:sz w:val="18"/>
        </w:rPr>
        <w:t>§ 3</w:t>
      </w:r>
    </w:p>
    <w:p>
      <w:pPr>
        <w:spacing w:after="160" w:line="240" w:lineRule="auto"/>
      </w:pPr>
      <w:r>
        <w:rPr>
          <w:rFonts w:ascii="Newsreader" w:hAnsi="Newsreader" w:cs="Newsreader"/>
          <w:color w:val="161412"/>
          <w:sz w:val="38"/>
        </w:rPr>
        <w:t>Sonido y familias semánticas</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contact</w:t>
      </w:r>
      <w:r>
        <w:rPr>
          <w:rFonts w:ascii="Newsreader" w:hAnsi="Newsreader" w:cs="Newsreader"/>
          <w:b w:val="0"/>
          <w:i w:val="0"/>
          <w:color w:val="161412"/>
        </w:rPr>
        <w:t xml:space="preserve"> — Un microclick breve puede reforzar que el sistema recibió la acción, pero no todos los contactos deben sonar: en interfaces de alta frecuencia, sonorizar cada press se vuelve insoportable. El sonido de contact debe ser breve, limpio, opcional y fácil de desactivar.</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commit</w:t>
      </w:r>
      <w:r>
        <w:rPr>
          <w:rFonts w:ascii="Newsreader" w:hAnsi="Newsreader" w:cs="Newsreader"/>
          <w:b w:val="0"/>
          <w:i w:val="0"/>
          <w:color w:val="161412"/>
        </w:rPr>
        <w:t xml:space="preserve"> — El sonido puede marcar cierre o resultado: affirm casi imperceptible, fulfill más resolutivo, loss más grave o descendente.</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signal</w:t>
      </w:r>
      <w:r>
        <w:rPr>
          <w:rFonts w:ascii="Newsreader" w:hAnsi="Newsreader" w:cs="Newsreader"/>
          <w:b w:val="0"/>
          <w:i w:val="0"/>
          <w:color w:val="161412"/>
        </w:rPr>
        <w:t xml:space="preserve"> — Es donde el sonido es más potente, porque alcanza al usuario fuera del foco visual; y también donde más riesgo hay de invadir. Una notificación informativa no debería sonar como alarma; una amenaza crítica sí puede justificar un sonido más saliente.</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handle</w:t>
      </w:r>
      <w:r>
        <w:rPr>
          <w:rFonts w:ascii="Newsreader" w:hAnsi="Newsreader" w:cs="Newsreader"/>
          <w:b w:val="0"/>
          <w:i w:val="0"/>
          <w:color w:val="161412"/>
        </w:rPr>
        <w:t xml:space="preserve"> — Puede reforzar pick y drop, no tanto carry: el carry es una fase de control continuo, y sonorizar el arrastre completo fatiga.</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emerge</w:t>
      </w:r>
      <w:r>
        <w:rPr>
          <w:rFonts w:ascii="Newsreader" w:hAnsi="Newsreader" w:cs="Newsreader"/>
          <w:b w:val="0"/>
          <w:i w:val="0"/>
          <w:color w:val="161412"/>
        </w:rPr>
        <w:t xml:space="preserve"> — Normalmente no necesita sonido: un tooltip, dropdown o popover no debería sonar salvo que contenga una señal evaluable.</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shift</w:t>
      </w:r>
      <w:r>
        <w:rPr>
          <w:rFonts w:ascii="Newsreader" w:hAnsi="Newsreader" w:cs="Newsreader"/>
          <w:b w:val="0"/>
          <w:i w:val="0"/>
          <w:color w:val="161412"/>
        </w:rPr>
        <w:t xml:space="preserve"> — El cambio de contexto puede tener sonido en casos específicos, pero normalmente profundidad, foco y motion bastan.</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sustain</w:t>
      </w:r>
      <w:r>
        <w:rPr>
          <w:rFonts w:ascii="Newsreader" w:hAnsi="Newsreader" w:cs="Newsreader"/>
          <w:b w:val="0"/>
          <w:i w:val="0"/>
          <w:color w:val="161412"/>
        </w:rPr>
        <w:t xml:space="preserve"> — El sonido sostenido es peligroso: un proceso en curso no debería emitir un loop audible salvo en contextos muy particulares. El sonido puede marcar inicio o fin, pero rara vez debe acompañar toda la espera.</w:t>
      </w:r>
    </w:p>
    <w:p>
      <w:pPr>
        <w:spacing w:before="320" w:after="40"/>
      </w:pPr>
      <w:r>
        <w:rPr>
          <w:rFonts w:ascii="IBM Plex Sans" w:hAnsi="IBM Plex Sans" w:cs="IBM Plex Sans"/>
          <w:b/>
          <w:color w:val="1F3A5F"/>
          <w:sz w:val="18"/>
        </w:rPr>
        <w:t>§ 4</w:t>
      </w:r>
    </w:p>
    <w:p>
      <w:pPr>
        <w:spacing w:after="160" w:line="240" w:lineRule="auto"/>
      </w:pPr>
      <w:r>
        <w:rPr>
          <w:rFonts w:ascii="Newsreader" w:hAnsi="Newsreader" w:cs="Newsreader"/>
          <w:color w:val="161412"/>
          <w:sz w:val="38"/>
        </w:rPr>
        <w:t>Sonido e intent</w:t>
      </w:r>
    </w:p>
    <w:p>
      <w:pPr>
        <w:spacing w:after="120" w:line="320" w:lineRule="auto"/>
        <w:jc w:val="both"/>
      </w:pPr>
      <w:r>
        <w:rPr>
          <w:rFonts w:ascii="Newsreader" w:hAnsi="Newsreader" w:cs="Newsreader"/>
          <w:b w:val="0"/>
          <w:i w:val="0"/>
          <w:color w:val="161412"/>
        </w:rPr>
        <w:t xml:space="preserve">El sonido puede modular el intent con mucha precisión. neutral pide silencio o sonido mínimo; affirm, algo breve, limpio y suave; fulfill, un perfil ascendente y resolutivo. risk, un sonido seco, moderado y contenido; threat, saliencia, aspereza y ataque claro; loss, gravedad, descenso y sequedad. La diferencia entre threat y loss es crucial: un sonido de amenaza prepara para actuar; un sonido de pérdida registra que algo ya ocurrió. No deben sonar igual.</w:t>
      </w:r>
    </w:p>
    <w:p>
      <w:pPr>
        <w:spacing w:after="120" w:line="320" w:lineRule="auto"/>
        <w:jc w:val="both"/>
      </w:pPr>
      <w:r>
        <w:rPr>
          <w:rFonts w:ascii="Newsreader" w:hAnsi="Newsreader" w:cs="Newsreader"/>
          <w:b w:val="0"/>
          <w:i w:val="0"/>
          <w:color w:val="161412"/>
        </w:rPr>
        <w:t xml:space="preserve">La misma disciplina vale para nombrar los sonidos del sistema: por su materia —breve, ascendente, áspero, grave—, no por su veredicto. Un contorno descendente no «es» una pérdida: tiende a leerse como cierre o descenso, y por eso sirve a loss; bautizarlo «sonido de error» lo encadena a una sola evaluación.</w:t>
      </w:r>
    </w:p>
    <w:p>
      <w:pPr>
        <w:spacing w:after="120" w:line="320" w:lineRule="auto"/>
        <w:jc w:val="both"/>
      </w:pPr>
      <w:r>
        <w:rPr>
          <w:rFonts w:ascii="Newsreader" w:hAnsi="Newsreader" w:cs="Newsreader"/>
          <w:b w:val="0"/>
          <w:i w:val="0"/>
          <w:color w:val="161412"/>
        </w:rPr>
        <w:t xml:space="preserve">Ese vocabulario de materia tiene un punto de partida concreto: la paleta sonora inicial del Apéndice B — contornos, registros, asperezas y ganancias orientativas por intent, con números de una implementación real.</w:t>
      </w:r>
    </w:p>
    <w:p>
      <w:pPr>
        <w:spacing w:before="320" w:after="40"/>
      </w:pPr>
      <w:r>
        <w:rPr>
          <w:rFonts w:ascii="IBM Plex Sans" w:hAnsi="IBM Plex Sans" w:cs="IBM Plex Sans"/>
          <w:b/>
          <w:color w:val="1F3A5F"/>
          <w:sz w:val="18"/>
        </w:rPr>
        <w:t>§ 5</w:t>
      </w:r>
    </w:p>
    <w:p>
      <w:pPr>
        <w:spacing w:after="160" w:line="240" w:lineRule="auto"/>
      </w:pPr>
      <w:r>
        <w:rPr>
          <w:rFonts w:ascii="Newsreader" w:hAnsi="Newsreader" w:cs="Newsreader"/>
          <w:color w:val="161412"/>
          <w:sz w:val="38"/>
        </w:rPr>
        <w:t>Ejemplo narrativo: autoguardado</w:t>
      </w:r>
    </w:p>
    <w:p>
      <w:pPr>
        <w:spacing w:after="120" w:line="320" w:lineRule="auto"/>
        <w:jc w:val="both"/>
      </w:pPr>
      <w:r>
        <w:rPr>
          <w:rFonts w:ascii="Newsreader" w:hAnsi="Newsreader" w:cs="Newsreader"/>
          <w:b w:val="0"/>
          <w:i w:val="0"/>
          <w:color w:val="161412"/>
        </w:rPr>
        <w:t>Un editor guarda cambios automáticamente: commit.save + affirm. ¿Debe sonar? Depende. Si el autoguardado ocurre cada pocos segundos, probablemente no: sería fatigante. Si ocurre al final de una edición importante, puede haber una confirmación discreta. La solución semántica: texto «guardado», marca visual breve, color positivo discreto, sin sonido por defecto y sonido opcional si el usuario lo activa. El intent es affirm, no fulfill: no hay tensión fuerte que celebrar, solo normalidad confirmada.</w:t>
      </w:r>
    </w:p>
    <w:p>
      <w:pPr>
        <w:spacing w:before="320" w:after="40"/>
      </w:pPr>
      <w:r>
        <w:rPr>
          <w:rFonts w:ascii="IBM Plex Sans" w:hAnsi="IBM Plex Sans" w:cs="IBM Plex Sans"/>
          <w:b/>
          <w:color w:val="1F3A5F"/>
          <w:sz w:val="18"/>
        </w:rPr>
        <w:t>§ 6</w:t>
      </w:r>
    </w:p>
    <w:p>
      <w:pPr>
        <w:spacing w:after="160" w:line="240" w:lineRule="auto"/>
      </w:pPr>
      <w:r>
        <w:rPr>
          <w:rFonts w:ascii="Newsreader" w:hAnsi="Newsreader" w:cs="Newsreader"/>
          <w:color w:val="161412"/>
          <w:sz w:val="38"/>
        </w:rPr>
        <w:t>Ejemplo narrativo: subida completada</w:t>
      </w:r>
    </w:p>
    <w:p>
      <w:pPr>
        <w:spacing w:after="120" w:line="320" w:lineRule="auto"/>
        <w:jc w:val="both"/>
      </w:pPr>
      <w:r>
        <w:rPr>
          <w:rFonts w:ascii="Newsreader" w:hAnsi="Newsreader" w:cs="Newsreader"/>
          <w:b w:val="0"/>
          <w:i w:val="0"/>
          <w:color w:val="161412"/>
        </w:rPr>
        <w:t>Un usuario sube un archivo grande: contact.press, sustain.progress, commit.complete + fulfill. Aquí el sonido puede tener sentido: durante sustain, silencio; al completar, un sonido breve y resolutivo puede marcar el cierre. El sonido no comunica que el proceso estaba vivo —eso lo hacía el progreso visual—: comunica que la tensión se resolvió.</w:t>
      </w:r>
    </w:p>
    <w:p>
      <w:pPr>
        <w:spacing w:before="320" w:after="40"/>
      </w:pPr>
      <w:r>
        <w:rPr>
          <w:rFonts w:ascii="IBM Plex Sans" w:hAnsi="IBM Plex Sans" w:cs="IBM Plex Sans"/>
          <w:b/>
          <w:color w:val="1F3A5F"/>
          <w:sz w:val="18"/>
        </w:rPr>
        <w:t>§ 7</w:t>
      </w:r>
    </w:p>
    <w:p>
      <w:pPr>
        <w:spacing w:after="160" w:line="240" w:lineRule="auto"/>
      </w:pPr>
      <w:r>
        <w:rPr>
          <w:rFonts w:ascii="Newsreader" w:hAnsi="Newsreader" w:cs="Newsreader"/>
          <w:color w:val="161412"/>
          <w:sz w:val="38"/>
        </w:rPr>
        <w:t>Ejemplo narrativo: alerta crítica</w:t>
      </w:r>
    </w:p>
    <w:p>
      <w:pPr>
        <w:spacing w:after="120" w:line="320" w:lineRule="auto"/>
        <w:jc w:val="both"/>
      </w:pPr>
      <w:r>
        <w:rPr>
          <w:rFonts w:ascii="Newsreader" w:hAnsi="Newsreader" w:cs="Newsreader"/>
          <w:b w:val="0"/>
          <w:i w:val="0"/>
          <w:color w:val="161412"/>
        </w:rPr>
        <w:t>Una alerta crítica —signal.alert + threat— puede justificar sonido saliente, porque necesita atravesar el campo atencional. Pero debe tener límites: no sonar indefinidamente, no ser exageradamente estridente, permitir silencio, tener equivalente visual persistente y no repetirse sin control. La alerta sonora debería decir «atiende ahora», no «entra en pánico».</w:t>
      </w:r>
    </w:p>
    <w:p>
      <w:pPr>
        <w:spacing w:before="320" w:after="40"/>
      </w:pPr>
      <w:r>
        <w:rPr>
          <w:rFonts w:ascii="IBM Plex Sans" w:hAnsi="IBM Plex Sans" w:cs="IBM Plex Sans"/>
          <w:b/>
          <w:color w:val="1F3A5F"/>
          <w:sz w:val="18"/>
        </w:rPr>
        <w:t>§ 8</w:t>
      </w:r>
    </w:p>
    <w:p>
      <w:pPr>
        <w:spacing w:after="160" w:line="240" w:lineRule="auto"/>
      </w:pPr>
      <w:r>
        <w:rPr>
          <w:rFonts w:ascii="Newsreader" w:hAnsi="Newsreader" w:cs="Newsreader"/>
          <w:color w:val="161412"/>
          <w:sz w:val="38"/>
        </w:rPr>
        <w:t>Ejemplo narrativo: eliminación</w:t>
      </w:r>
    </w:p>
    <w:p>
      <w:pPr>
        <w:spacing w:after="120" w:line="320" w:lineRule="auto"/>
        <w:jc w:val="both"/>
      </w:pPr>
      <w:r>
        <w:rPr>
          <w:rFonts w:ascii="Newsreader" w:hAnsi="Newsreader" w:cs="Newsreader"/>
          <w:b w:val="0"/>
          <w:i w:val="0"/>
          <w:color w:val="161412"/>
        </w:rPr>
        <w:t>El usuario elimina una tarjeta. Antes de confirmar —signal.warn + threat— puede haber sonido si el evento es grave y requiere atención. Después de confirmar —commit.delete + loss—, si hay sonido, debería ser distinto: el threat puede tener más ataque y saliencia; el loss, más sequedad, gravedad o descenso. El sonido de pérdida no debe sonar como alarma activa, porque ya no hay nada que evitar: debe registrar consecuencia.</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El sonido de amenaza prepara para actuar. El sonido de pérdida registra que algo ya ocurrió.</w:t>
      </w:r>
    </w:p>
    <w:p>
      <w:pPr>
        <w:spacing w:before="320" w:after="40"/>
      </w:pPr>
      <w:r>
        <w:rPr>
          <w:rFonts w:ascii="IBM Plex Sans" w:hAnsi="IBM Plex Sans" w:cs="IBM Plex Sans"/>
          <w:b/>
          <w:color w:val="1F3A5F"/>
          <w:sz w:val="18"/>
        </w:rPr>
        <w:t>§ 9</w:t>
      </w:r>
    </w:p>
    <w:p>
      <w:pPr>
        <w:spacing w:after="160" w:line="240" w:lineRule="auto"/>
      </w:pPr>
      <w:r>
        <w:rPr>
          <w:rFonts w:ascii="Newsreader" w:hAnsi="Newsreader" w:cs="Newsreader"/>
          <w:color w:val="161412"/>
          <w:sz w:val="38"/>
        </w:rPr>
        <w:t>Sonido y web</w:t>
      </w:r>
    </w:p>
    <w:p>
      <w:pPr>
        <w:spacing w:after="120" w:line="320" w:lineRule="auto"/>
        <w:jc w:val="both"/>
      </w:pPr>
      <w:r>
        <w:rPr>
          <w:rFonts w:ascii="Newsreader" w:hAnsi="Newsreader" w:cs="Newsreader"/>
          <w:b w:val="0"/>
          <w:i w:val="0"/>
          <w:color w:val="161412"/>
        </w:rPr>
        <w:t xml:space="preserve">En la web, el sonido necesita una doble justificación: perceptiva y social. Técnicamente puede producirse audio con Web Audio API, pero hay restricciones reales. Políticas de autoplay, necesidad de gesto del usuario, variación entre navegadores, dispositivos silenciados, entornos compartidos y un rechazo cultural al audio web que viene de lejos. Por eso en la web el sonido debe ser desactivable, estar bajo control del usuario y no ser crítico como única vía. Debe ser breve, estar vinculado a eventos claros, iniciarse probablemente tras una interacción y respetar el contexto.</w:t>
      </w:r>
    </w:p>
    <w:p>
      <w:pPr>
        <w:spacing w:before="320" w:after="40"/>
      </w:pPr>
      <w:r>
        <w:rPr>
          <w:rFonts w:ascii="IBM Plex Sans" w:hAnsi="IBM Plex Sans" w:cs="IBM Plex Sans"/>
          <w:b/>
          <w:color w:val="1F3A5F"/>
          <w:sz w:val="18"/>
        </w:rPr>
        <w:t>§ 10</w:t>
      </w:r>
    </w:p>
    <w:p>
      <w:pPr>
        <w:spacing w:after="160" w:line="240" w:lineRule="auto"/>
      </w:pPr>
      <w:r>
        <w:rPr>
          <w:rFonts w:ascii="Newsreader" w:hAnsi="Newsreader" w:cs="Newsreader"/>
          <w:color w:val="161412"/>
          <w:sz w:val="38"/>
        </w:rPr>
        <w:t>Accesibilidad sonora</w:t>
      </w:r>
    </w:p>
    <w:p>
      <w:pPr>
        <w:spacing w:after="120" w:line="320" w:lineRule="auto"/>
        <w:jc w:val="both"/>
      </w:pPr>
      <w:r>
        <w:rPr>
          <w:rFonts w:ascii="Newsreader" w:hAnsi="Newsreader" w:cs="Newsreader"/>
          <w:b w:val="0"/>
          <w:i w:val="0"/>
          <w:color w:val="161412"/>
        </w:rPr>
        <w:t xml:space="preserve">El sonido nunca debe ser el único canal de información crítica. Los usuarios sordos o con hipoacusia pueden no percibirlo, y quienes tienen el sonido desactivado no lo recibirán. En entornos ruidosos puede perderse, y las personas con sensibilidad auditiva pueden rechazarlo. Por tanto, una alerta sonora debe tener equivalente visual; una confirmación sonora, estado visible; una pérdida sonora, huella; una notificación sonora, texto; y el usuario debe poder reducir o desactivar el sonido.</w:t>
      </w:r>
    </w:p>
    <w:p>
      <w:pPr>
        <w:spacing w:before="320" w:after="40"/>
      </w:pPr>
      <w:r>
        <w:rPr>
          <w:rFonts w:ascii="IBM Plex Sans" w:hAnsi="IBM Plex Sans" w:cs="IBM Plex Sans"/>
          <w:b/>
          <w:color w:val="1F3A5F"/>
          <w:sz w:val="18"/>
        </w:rPr>
        <w:t>§ 11</w:t>
      </w:r>
    </w:p>
    <w:p>
      <w:pPr>
        <w:spacing w:after="160" w:line="240" w:lineRule="auto"/>
      </w:pPr>
      <w:r>
        <w:rPr>
          <w:rFonts w:ascii="Newsreader" w:hAnsi="Newsreader" w:cs="Newsreader"/>
          <w:color w:val="161412"/>
          <w:sz w:val="38"/>
        </w:rPr>
        <w:t>Antipatrones</w:t>
      </w:r>
    </w:p>
    <w:p>
      <w:pPr>
        <w:spacing w:after="120" w:line="320" w:lineRule="auto"/>
        <w:jc w:val="both"/>
      </w:pPr>
      <w:r>
        <w:rPr>
          <w:rFonts w:ascii="Newsreader" w:hAnsi="Newsreader" w:cs="Newsreader"/>
          <w:b/>
          <w:i w:val="0"/>
          <w:color w:val="161412"/>
        </w:rPr>
        <w:t>Sonido para todo.</w:t>
      </w:r>
      <w:r>
        <w:rPr>
          <w:rFonts w:ascii="Newsreader" w:hAnsi="Newsreader" w:cs="Newsreader"/>
          <w:b w:val="0"/>
          <w:i w:val="0"/>
          <w:color w:val="161412"/>
        </w:rPr>
        <w:t xml:space="preserve"> Marcar con audio cada contacto y cada notificación trivial. El canal se fatiga y deja de significar: cuando suene algo importante, ya nadie escucha. El sonido se reserva para consecuencia y urgencia real.</w:t>
      </w:r>
    </w:p>
    <w:p>
      <w:pPr>
        <w:spacing w:after="120" w:line="320" w:lineRule="auto"/>
        <w:jc w:val="both"/>
      </w:pPr>
      <w:r>
        <w:rPr>
          <w:rFonts w:ascii="Newsreader" w:hAnsi="Newsreader" w:cs="Newsreader"/>
          <w:b/>
          <w:i w:val="0"/>
          <w:color w:val="161412"/>
        </w:rPr>
        <w:t>Una sola campana.</w:t>
      </w:r>
      <w:r>
        <w:rPr>
          <w:rFonts w:ascii="Newsreader" w:hAnsi="Newsreader" w:cs="Newsreader"/>
          <w:b w:val="0"/>
          <w:i w:val="0"/>
          <w:color w:val="161412"/>
        </w:rPr>
        <w:t xml:space="preserve"> El mismo tono para notify, warn y alert. El oído no puede distinguir lo que la interfaz no distingue. La gravedad necesita diferenciación clara: en timbre, duración o intensidad.</w:t>
      </w:r>
    </w:p>
    <w:p>
      <w:pPr>
        <w:spacing w:after="120" w:line="320" w:lineRule="auto"/>
        <w:jc w:val="both"/>
      </w:pPr>
      <w:r>
        <w:rPr>
          <w:rFonts w:ascii="Newsreader" w:hAnsi="Newsreader" w:cs="Newsreader"/>
          <w:b/>
          <w:i w:val="0"/>
          <w:color w:val="161412"/>
        </w:rPr>
        <w:t>Significado solo audible.</w:t>
      </w:r>
      <w:r>
        <w:rPr>
          <w:rFonts w:ascii="Newsreader" w:hAnsi="Newsreader" w:cs="Newsreader"/>
          <w:b w:val="0"/>
          <w:i w:val="0"/>
          <w:color w:val="161412"/>
        </w:rPr>
        <w:t xml:space="preserve"> Información que existe únicamente como sonido, sin equivalente visible ni anunciable. Quien no oye, pierde el evento entero. El sonido refuerza; nunca es el único portador.</w:t>
      </w:r>
    </w:p>
    <w:p>
      <w:pPr>
        <w:spacing w:before="320" w:after="40"/>
      </w:pPr>
      <w:r>
        <w:rPr>
          <w:rFonts w:ascii="IBM Plex Sans" w:hAnsi="IBM Plex Sans" w:cs="IBM Plex Sans"/>
          <w:b/>
          <w:color w:val="1F3A5F"/>
          <w:sz w:val="18"/>
        </w:rPr>
        <w:t>§ 12</w:t>
      </w:r>
    </w:p>
    <w:p>
      <w:pPr>
        <w:spacing w:after="160" w:line="240" w:lineRule="auto"/>
      </w:pPr>
      <w:r>
        <w:rPr>
          <w:rFonts w:ascii="Newsreader" w:hAnsi="Newsreader" w:cs="Newsreader"/>
          <w:color w:val="161412"/>
          <w:sz w:val="38"/>
        </w:rPr>
        <w:t>Síntesis</w:t>
      </w:r>
    </w:p>
    <w:p>
      <w:pPr>
        <w:spacing w:after="120" w:line="320" w:lineRule="auto"/>
        <w:jc w:val="both"/>
      </w:pPr>
      <w:r>
        <w:rPr>
          <w:rFonts w:ascii="Newsreader" w:hAnsi="Newsreader" w:cs="Newsreader"/>
          <w:b w:val="0"/>
          <w:i w:val="0"/>
          <w:color w:val="161412"/>
        </w:rPr>
        <w:t>El sonido es uno de los canales más peligrosos y más potentes: comunica contacto, cierre, urgencia, valencia, pérdida, materialidad y eventos fuera del foco visual.</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 xml:space="preserve">La prueba de un sonido es triple: ¿ayuda a reconocer qué ocurrió, cuándo ocurrió o cómo debe evaluarse? Cuando no supera ninguna de las tres, sobra.</w:t>
      </w:r>
    </w:p>
    <w:p>
      <w:pPr>
        <w:spacing w:after="200" w:before="40"/>
      </w:pPr>
      <w:r>
        <w:rPr>
          <w:rFonts w:ascii="IBM Plex Sans" w:hAnsi="IBM Plex Sans" w:cs="IBM Plex Sans"/>
          <w:b/>
          <w:color w:val="1F3A5F"/>
          <w:sz w:val="17"/>
        </w:rPr>
        <w:t xml:space="preserve">TABLA 17.1   </w:t>
      </w:r>
      <w:r>
        <w:rPr>
          <w:rFonts w:ascii="IBM Plex Sans" w:hAnsi="IBM Plex Sans" w:cs="IBM Plex Sans"/>
          <w:color w:val="3A352F"/>
          <w:sz w:val="18"/>
        </w:rPr>
        <w:t xml:space="preserve">Antipatrones del sonido</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ANTIPATRÓN</w:t>
            </w:r>
          </w:p>
        </w:tc>
        <w:tc>
          <w:tcPr>
            <w:tcW w:type="dxa" w:w="2772"/>
            <w:shd w:val="clear" w:color="auto" w:fill="EAE4D8"/>
          </w:tcPr>
          <w:p>
            <w:pPr>
              <w:spacing w:after="40"/>
            </w:pPr>
            <w:r>
              <w:rPr>
                <w:sz w:val="17"/>
              </w:rPr>
            </w:r>
            <w:r>
              <w:rPr>
                <w:rFonts w:ascii="IBM Plex Sans" w:hAnsi="IBM Plex Sans" w:cs="IBM Plex Sans"/>
                <w:b/>
                <w:i w:val="0"/>
                <w:color w:val="1F3A5F"/>
                <w:sz w:val="17"/>
              </w:rPr>
              <w:t>PROBLEMA</w:t>
            </w:r>
          </w:p>
        </w:tc>
        <w:tc>
          <w:tcPr>
            <w:tcW w:type="dxa" w:w="2772"/>
            <w:shd w:val="clear" w:color="auto" w:fill="EAE4D8"/>
          </w:tcPr>
          <w:p>
            <w:pPr>
              <w:spacing w:after="40"/>
            </w:pPr>
            <w:r>
              <w:rPr>
                <w:sz w:val="17"/>
              </w:rPr>
            </w:r>
            <w:r>
              <w:rPr>
                <w:rFonts w:ascii="IBM Plex Sans" w:hAnsi="IBM Plex Sans" w:cs="IBM Plex Sans"/>
                <w:b/>
                <w:i w:val="0"/>
                <w:color w:val="1F3A5F"/>
                <w:sz w:val="17"/>
              </w:rPr>
              <w:t>CORRECCIÓN</w:t>
            </w:r>
          </w:p>
        </w:tc>
      </w:tr>
      <w:tr>
        <w:tc>
          <w:tcPr>
            <w:tcW w:type="dxa" w:w="2772"/>
          </w:tcPr>
          <w:p>
            <w:pPr>
              <w:spacing w:after="40"/>
            </w:pPr>
            <w:r>
              <w:rPr>
                <w:sz w:val="17"/>
              </w:rPr>
            </w:r>
            <w:r>
              <w:rPr>
                <w:rFonts w:ascii="IBM Plex Sans" w:hAnsi="IBM Plex Sans" w:cs="IBM Plex Sans"/>
                <w:b w:val="0"/>
                <w:i w:val="0"/>
                <w:color w:val="161412"/>
                <w:sz w:val="17"/>
              </w:rPr>
              <w:t>sonido decorativo</w:t>
            </w:r>
          </w:p>
        </w:tc>
        <w:tc>
          <w:tcPr>
            <w:tcW w:type="dxa" w:w="2772"/>
          </w:tcPr>
          <w:p>
            <w:pPr>
              <w:spacing w:after="40"/>
            </w:pPr>
            <w:r>
              <w:rPr>
                <w:sz w:val="17"/>
              </w:rPr>
            </w:r>
            <w:r>
              <w:rPr>
                <w:rFonts w:ascii="IBM Plex Sans" w:hAnsi="IBM Plex Sans" w:cs="IBM Plex Sans"/>
                <w:b w:val="0"/>
                <w:i w:val="0"/>
                <w:color w:val="161412"/>
                <w:sz w:val="17"/>
              </w:rPr>
              <w:t>ruido</w:t>
            </w:r>
          </w:p>
        </w:tc>
        <w:tc>
          <w:tcPr>
            <w:tcW w:type="dxa" w:w="2772"/>
          </w:tcPr>
          <w:p>
            <w:pPr>
              <w:spacing w:after="40"/>
            </w:pPr>
            <w:r>
              <w:rPr>
                <w:sz w:val="17"/>
              </w:rPr>
            </w:r>
            <w:r>
              <w:rPr>
                <w:rFonts w:ascii="IBM Plex Sans" w:hAnsi="IBM Plex Sans" w:cs="IBM Plex Sans"/>
                <w:b w:val="0"/>
                <w:i w:val="0"/>
                <w:color w:val="161412"/>
                <w:sz w:val="17"/>
              </w:rPr>
              <w:t>vincular a evento</w:t>
            </w:r>
          </w:p>
        </w:tc>
      </w:tr>
      <w:tr>
        <w:tc>
          <w:tcPr>
            <w:tcW w:type="dxa" w:w="2772"/>
          </w:tcPr>
          <w:p>
            <w:pPr>
              <w:spacing w:after="40"/>
            </w:pPr>
            <w:r>
              <w:rPr>
                <w:sz w:val="17"/>
              </w:rPr>
            </w:r>
            <w:r>
              <w:rPr>
                <w:rFonts w:ascii="IBM Plex Sans" w:hAnsi="IBM Plex Sans" w:cs="IBM Plex Sans"/>
                <w:b w:val="0"/>
                <w:i w:val="0"/>
                <w:color w:val="161412"/>
                <w:sz w:val="17"/>
              </w:rPr>
              <w:t>sonido largo</w:t>
            </w:r>
          </w:p>
        </w:tc>
        <w:tc>
          <w:tcPr>
            <w:tcW w:type="dxa" w:w="2772"/>
          </w:tcPr>
          <w:p>
            <w:pPr>
              <w:spacing w:after="40"/>
            </w:pPr>
            <w:r>
              <w:rPr>
                <w:sz w:val="17"/>
              </w:rPr>
            </w:r>
            <w:r>
              <w:rPr>
                <w:rFonts w:ascii="IBM Plex Sans" w:hAnsi="IBM Plex Sans" w:cs="IBM Plex Sans"/>
                <w:b w:val="0"/>
                <w:i w:val="0"/>
                <w:color w:val="161412"/>
                <w:sz w:val="17"/>
              </w:rPr>
              <w:t>invasión</w:t>
            </w:r>
          </w:p>
        </w:tc>
        <w:tc>
          <w:tcPr>
            <w:tcW w:type="dxa" w:w="2772"/>
          </w:tcPr>
          <w:p>
            <w:pPr>
              <w:spacing w:after="40"/>
            </w:pPr>
            <w:r>
              <w:rPr>
                <w:sz w:val="17"/>
              </w:rPr>
            </w:r>
            <w:r>
              <w:rPr>
                <w:rFonts w:ascii="IBM Plex Sans" w:hAnsi="IBM Plex Sans" w:cs="IBM Plex Sans"/>
                <w:b w:val="0"/>
                <w:i w:val="0"/>
                <w:color w:val="161412"/>
                <w:sz w:val="17"/>
              </w:rPr>
              <w:t>microsonidos</w:t>
            </w:r>
          </w:p>
        </w:tc>
      </w:tr>
      <w:tr>
        <w:tc>
          <w:tcPr>
            <w:tcW w:type="dxa" w:w="2772"/>
          </w:tcPr>
          <w:p>
            <w:pPr>
              <w:spacing w:after="40"/>
            </w:pPr>
            <w:r>
              <w:rPr>
                <w:sz w:val="17"/>
              </w:rPr>
            </w:r>
            <w:r>
              <w:rPr>
                <w:rFonts w:ascii="IBM Plex Sans" w:hAnsi="IBM Plex Sans" w:cs="IBM Plex Sans"/>
                <w:b w:val="0"/>
                <w:i w:val="0"/>
                <w:color w:val="161412"/>
                <w:sz w:val="17"/>
              </w:rPr>
              <w:t>alerta solo sonora</w:t>
            </w:r>
          </w:p>
        </w:tc>
        <w:tc>
          <w:tcPr>
            <w:tcW w:type="dxa" w:w="2772"/>
          </w:tcPr>
          <w:p>
            <w:pPr>
              <w:spacing w:after="40"/>
            </w:pPr>
            <w:r>
              <w:rPr>
                <w:sz w:val="17"/>
              </w:rPr>
            </w:r>
            <w:r>
              <w:rPr>
                <w:rFonts w:ascii="IBM Plex Sans" w:hAnsi="IBM Plex Sans" w:cs="IBM Plex Sans"/>
                <w:b w:val="0"/>
                <w:i w:val="0"/>
                <w:color w:val="161412"/>
                <w:sz w:val="17"/>
              </w:rPr>
              <w:t>inaccesibilidad</w:t>
            </w:r>
          </w:p>
        </w:tc>
        <w:tc>
          <w:tcPr>
            <w:tcW w:type="dxa" w:w="2772"/>
          </w:tcPr>
          <w:p>
            <w:pPr>
              <w:spacing w:after="40"/>
            </w:pPr>
            <w:r>
              <w:rPr>
                <w:sz w:val="17"/>
              </w:rPr>
            </w:r>
            <w:r>
              <w:rPr>
                <w:rFonts w:ascii="IBM Plex Sans" w:hAnsi="IBM Plex Sans" w:cs="IBM Plex Sans"/>
                <w:b w:val="0"/>
                <w:i w:val="0"/>
                <w:color w:val="161412"/>
                <w:sz w:val="17"/>
              </w:rPr>
              <w:t>respaldo visual</w:t>
            </w:r>
          </w:p>
        </w:tc>
      </w:tr>
      <w:tr>
        <w:tc>
          <w:tcPr>
            <w:tcW w:type="dxa" w:w="2772"/>
          </w:tcPr>
          <w:p>
            <w:pPr>
              <w:spacing w:after="40"/>
            </w:pPr>
            <w:r>
              <w:rPr>
                <w:sz w:val="17"/>
              </w:rPr>
            </w:r>
            <w:r>
              <w:rPr>
                <w:rFonts w:ascii="IBM Plex Sans" w:hAnsi="IBM Plex Sans" w:cs="IBM Plex Sans"/>
                <w:b w:val="0"/>
                <w:i w:val="0"/>
                <w:color w:val="161412"/>
                <w:sz w:val="17"/>
              </w:rPr>
              <w:t>mismo sonido para todo</w:t>
            </w:r>
          </w:p>
        </w:tc>
        <w:tc>
          <w:tcPr>
            <w:tcW w:type="dxa" w:w="2772"/>
          </w:tcPr>
          <w:p>
            <w:pPr>
              <w:spacing w:after="40"/>
            </w:pPr>
            <w:r>
              <w:rPr>
                <w:sz w:val="17"/>
              </w:rPr>
            </w:r>
            <w:r>
              <w:rPr>
                <w:rFonts w:ascii="IBM Plex Sans" w:hAnsi="IBM Plex Sans" w:cs="IBM Plex Sans"/>
                <w:b w:val="0"/>
                <w:i w:val="0"/>
                <w:color w:val="161412"/>
                <w:sz w:val="17"/>
              </w:rPr>
              <w:t>indiferenciación</w:t>
            </w:r>
          </w:p>
        </w:tc>
        <w:tc>
          <w:tcPr>
            <w:tcW w:type="dxa" w:w="2772"/>
          </w:tcPr>
          <w:p>
            <w:pPr>
              <w:spacing w:after="40"/>
            </w:pPr>
            <w:r>
              <w:rPr>
                <w:sz w:val="17"/>
              </w:rPr>
            </w:r>
            <w:r>
              <w:rPr>
                <w:rFonts w:ascii="IBM Plex Sans" w:hAnsi="IBM Plex Sans" w:cs="IBM Plex Sans"/>
                <w:b w:val="0"/>
                <w:i w:val="0"/>
                <w:color w:val="161412"/>
                <w:sz w:val="17"/>
              </w:rPr>
              <w:t>familias + intents</w:t>
            </w:r>
          </w:p>
        </w:tc>
      </w:tr>
      <w:tr>
        <w:tc>
          <w:tcPr>
            <w:tcW w:type="dxa" w:w="2772"/>
          </w:tcPr>
          <w:p>
            <w:pPr>
              <w:spacing w:after="40"/>
            </w:pPr>
            <w:r>
              <w:rPr>
                <w:sz w:val="17"/>
              </w:rPr>
            </w:r>
            <w:r>
              <w:rPr>
                <w:rFonts w:ascii="IBM Plex Sans" w:hAnsi="IBM Plex Sans" w:cs="IBM Plex Sans"/>
                <w:b w:val="0"/>
                <w:i w:val="0"/>
                <w:color w:val="161412"/>
                <w:sz w:val="17"/>
              </w:rPr>
              <w:t>alarma menor</w:t>
            </w:r>
          </w:p>
        </w:tc>
        <w:tc>
          <w:tcPr>
            <w:tcW w:type="dxa" w:w="2772"/>
          </w:tcPr>
          <w:p>
            <w:pPr>
              <w:spacing w:after="40"/>
            </w:pPr>
            <w:r>
              <w:rPr>
                <w:sz w:val="17"/>
              </w:rPr>
            </w:r>
            <w:r>
              <w:rPr>
                <w:rFonts w:ascii="IBM Plex Sans" w:hAnsi="IBM Plex Sans" w:cs="IBM Plex Sans"/>
                <w:b w:val="0"/>
                <w:i w:val="0"/>
                <w:color w:val="161412"/>
                <w:sz w:val="17"/>
              </w:rPr>
              <w:t>fatiga</w:t>
            </w:r>
          </w:p>
        </w:tc>
        <w:tc>
          <w:tcPr>
            <w:tcW w:type="dxa" w:w="2772"/>
          </w:tcPr>
          <w:p>
            <w:pPr>
              <w:spacing w:after="40"/>
            </w:pPr>
            <w:r>
              <w:rPr>
                <w:sz w:val="17"/>
              </w:rPr>
            </w:r>
            <w:r>
              <w:rPr>
                <w:rFonts w:ascii="IBM Plex Sans" w:hAnsi="IBM Plex Sans" w:cs="IBM Plex Sans"/>
                <w:b w:val="0"/>
                <w:i w:val="0"/>
                <w:color w:val="161412"/>
                <w:sz w:val="17"/>
              </w:rPr>
              <w:t xml:space="preserve">separar </w:t>
            </w:r>
            <w:r>
              <w:rPr>
                <w:rFonts w:ascii="IBM Plex Sans" w:hAnsi="IBM Plex Sans" w:cs="IBM Plex Sans"/>
                <w:b w:val="0"/>
                <w:i w:val="0"/>
                <w:color w:val="161412"/>
                <w:sz w:val="17"/>
              </w:rPr>
              <w:t>risk</w:t>
            </w:r>
            <w:r>
              <w:rPr>
                <w:rFonts w:ascii="IBM Plex Sans" w:hAnsi="IBM Plex Sans" w:cs="IBM Plex Sans"/>
                <w:b w:val="0"/>
                <w:i w:val="0"/>
                <w:color w:val="161412"/>
                <w:sz w:val="17"/>
              </w:rPr>
              <w:t xml:space="preserve"> / </w:t>
            </w:r>
            <w:r>
              <w:rPr>
                <w:rFonts w:ascii="IBM Plex Sans" w:hAnsi="IBM Plex Sans" w:cs="IBM Plex Sans"/>
                <w:b w:val="0"/>
                <w:i w:val="0"/>
                <w:color w:val="161412"/>
                <w:sz w:val="17"/>
              </w:rPr>
              <w:t>threat</w:t>
            </w:r>
          </w:p>
        </w:tc>
      </w:tr>
      <w:tr>
        <w:tc>
          <w:tcPr>
            <w:tcW w:type="dxa" w:w="2772"/>
          </w:tcPr>
          <w:p>
            <w:pPr>
              <w:spacing w:after="40"/>
            </w:pPr>
            <w:r>
              <w:rPr>
                <w:sz w:val="17"/>
              </w:rPr>
            </w:r>
            <w:r>
              <w:rPr>
                <w:rFonts w:ascii="IBM Plex Sans" w:hAnsi="IBM Plex Sans" w:cs="IBM Plex Sans"/>
                <w:b w:val="0"/>
                <w:i w:val="0"/>
                <w:color w:val="161412"/>
                <w:sz w:val="17"/>
              </w:rPr>
              <w:t>loop de carga</w:t>
            </w:r>
          </w:p>
        </w:tc>
        <w:tc>
          <w:tcPr>
            <w:tcW w:type="dxa" w:w="2772"/>
          </w:tcPr>
          <w:p>
            <w:pPr>
              <w:spacing w:after="40"/>
            </w:pPr>
            <w:r>
              <w:rPr>
                <w:sz w:val="17"/>
              </w:rPr>
            </w:r>
            <w:r>
              <w:rPr>
                <w:rFonts w:ascii="IBM Plex Sans" w:hAnsi="IBM Plex Sans" w:cs="IBM Plex Sans"/>
                <w:b w:val="0"/>
                <w:i w:val="0"/>
                <w:color w:val="161412"/>
                <w:sz w:val="17"/>
              </w:rPr>
              <w:t>molestia</w:t>
            </w:r>
          </w:p>
        </w:tc>
        <w:tc>
          <w:tcPr>
            <w:tcW w:type="dxa" w:w="2772"/>
          </w:tcPr>
          <w:p>
            <w:pPr>
              <w:spacing w:after="40"/>
            </w:pPr>
            <w:r>
              <w:rPr>
                <w:sz w:val="17"/>
              </w:rPr>
            </w:r>
            <w:r>
              <w:rPr>
                <w:rFonts w:ascii="IBM Plex Sans" w:hAnsi="IBM Plex Sans" w:cs="IBM Plex Sans"/>
                <w:b w:val="0"/>
                <w:i w:val="0"/>
                <w:color w:val="161412"/>
                <w:sz w:val="17"/>
              </w:rPr>
              <w:t>silencio durante sustain</w:t>
            </w:r>
          </w:p>
        </w:tc>
      </w:tr>
      <w:tr>
        <w:tc>
          <w:tcPr>
            <w:tcW w:type="dxa" w:w="2772"/>
          </w:tcPr>
          <w:p>
            <w:pPr>
              <w:spacing w:after="40"/>
            </w:pPr>
            <w:r>
              <w:rPr>
                <w:sz w:val="17"/>
              </w:rPr>
            </w:r>
            <w:r>
              <w:rPr>
                <w:rFonts w:ascii="IBM Plex Sans" w:hAnsi="IBM Plex Sans" w:cs="IBM Plex Sans"/>
                <w:b w:val="0"/>
                <w:i w:val="0"/>
                <w:color w:val="161412"/>
                <w:sz w:val="17"/>
              </w:rPr>
              <w:t>sin control</w:t>
            </w:r>
          </w:p>
        </w:tc>
        <w:tc>
          <w:tcPr>
            <w:tcW w:type="dxa" w:w="2772"/>
          </w:tcPr>
          <w:p>
            <w:pPr>
              <w:spacing w:after="40"/>
            </w:pPr>
            <w:r>
              <w:rPr>
                <w:sz w:val="17"/>
              </w:rPr>
            </w:r>
            <w:r>
              <w:rPr>
                <w:rFonts w:ascii="IBM Plex Sans" w:hAnsi="IBM Plex Sans" w:cs="IBM Plex Sans"/>
                <w:b w:val="0"/>
                <w:i w:val="0"/>
                <w:color w:val="161412"/>
                <w:sz w:val="17"/>
              </w:rPr>
              <w:t>rechazo</w:t>
            </w:r>
          </w:p>
        </w:tc>
        <w:tc>
          <w:tcPr>
            <w:tcW w:type="dxa" w:w="2772"/>
          </w:tcPr>
          <w:p>
            <w:pPr>
              <w:spacing w:after="40"/>
            </w:pPr>
            <w:r>
              <w:rPr>
                <w:sz w:val="17"/>
              </w:rPr>
            </w:r>
            <w:r>
              <w:rPr>
                <w:rFonts w:ascii="IBM Plex Sans" w:hAnsi="IBM Plex Sans" w:cs="IBM Plex Sans"/>
                <w:b w:val="0"/>
                <w:i w:val="0"/>
                <w:color w:val="161412"/>
                <w:sz w:val="17"/>
              </w:rPr>
              <w:t>preferencias</w:t>
            </w:r>
          </w:p>
        </w:tc>
      </w:tr>
    </w:tbl>
    <w:p>
      <w:pPr>
        <w:spacing w:after="80"/>
      </w:pPr>
    </w:p>
    <w:p>
      <w:r>
        <w:br w:type="page"/>
      </w:r>
    </w:p>
    <w:p>
      <w:pPr>
        <w:spacing w:after="40"/>
      </w:pPr>
      <w:r>
        <w:rPr>
          <w:rFonts w:ascii="IBM Plex Sans" w:hAnsi="IBM Plex Sans" w:cs="IBM Plex Sans"/>
          <w:b/>
          <w:color w:val="1F3A5F"/>
          <w:sz w:val="18"/>
        </w:rPr>
        <w:t>CAPÍTULO 18</w:t>
      </w:r>
    </w:p>
    <w:p>
      <w:pPr>
        <w:spacing w:after="80" w:line="240" w:lineRule="auto"/>
      </w:pPr>
      <w:r>
        <w:rPr>
          <w:rFonts w:ascii="IBM Plex Sans" w:hAnsi="IBM Plex Sans" w:cs="IBM Plex Sans"/>
          <w:color w:val="161412"/>
          <w:sz w:val="220"/>
        </w:rPr>
        <w:t>18</w:t>
      </w:r>
    </w:p>
    <w:p>
      <w:pPr>
        <w:spacing w:after="60" w:line="240" w:lineRule="auto"/>
      </w:pPr>
      <w:r>
        <w:rPr>
          <w:rFonts w:ascii="Newsreader" w:hAnsi="Newsreader" w:cs="Newsreader"/>
          <w:color w:val="161412"/>
          <w:sz w:val="60"/>
        </w:rPr>
        <w:t>Háptica y vibración</w:t>
      </w:r>
    </w:p>
    <w:p>
      <w:pPr>
        <w:spacing w:after="280"/>
      </w:pPr>
      <w:r>
        <w:rPr>
          <w:rFonts w:ascii="IBM Plex Sans" w:hAnsi="IBM Plex Sans" w:cs="IBM Plex Sans"/>
          <w:color w:val="6A635A"/>
          <w:sz w:val="26"/>
        </w:rPr>
        <w:t>Contacto, impacto, resistencia y encaje</w:t>
      </w:r>
    </w:p>
    <w:p>
      <w:pPr>
        <w:pBdr>
          <w:bottom w:val="single" w:sz="4" w:space="4" w:color="1F3A5F"/>
        </w:pBdr>
      </w:pP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¿Qué puede confirmar el cuerpo que la vista solo puede suponer?</w:t>
      </w:r>
    </w:p>
    <w:p>
      <w:pPr>
        <w:spacing w:after="120" w:line="320" w:lineRule="auto"/>
        <w:jc w:val="both"/>
      </w:pPr>
      <w:r>
        <w:rPr>
          <w:rFonts w:ascii="Newsreader" w:hAnsi="Newsreader" w:cs="Newsreader"/>
          <w:b w:val="0"/>
          <w:i w:val="0"/>
          <w:color w:val="161412"/>
        </w:rPr>
        <w:t xml:space="preserve">La interfaz no solo puede verse u oírse: también puede sentirse, al menos en algunos dispositivos. Un teléfono puede responder con un pulso breve al tocar una tecla; un reloj puede vibrar para avisar de una notificación. Un mando puede transmitir impacto, fricción o tensión; un trackpad puede simular un click que no existe físicamente.</w:t>
      </w:r>
    </w:p>
    <w:p>
      <w:pPr>
        <w:spacing w:after="120" w:line="320" w:lineRule="auto"/>
        <w:jc w:val="both"/>
      </w:pPr>
      <w:r>
        <w:rPr>
          <w:rFonts w:ascii="Newsreader" w:hAnsi="Newsreader" w:cs="Newsreader"/>
          <w:b w:val="0"/>
          <w:i w:val="0"/>
          <w:color w:val="161412"/>
        </w:rPr>
        <w:t xml:space="preserve">La háptica es el canal de expresión que comunica mediante sensación corporal: vibración, presión, resistencia, impacto, textura, pulso o ritmo táctil. En la web este canal todavía es limitado, pero esa limitación técnica no elimina el canal como dimensión teórica. La gramática debe distinguir la háptica como canal de expresión de la háptica como capacidad disponible en una plataforma concreta.</w:t>
      </w:r>
    </w:p>
    <w:p>
      <w:pPr>
        <w:spacing w:before="200" w:after="60"/>
        <w:jc w:val="center"/>
      </w:pPr>
      <w:r>
        <w:drawing>
          <wp:inline xmlns:a="http://schemas.openxmlformats.org/drawingml/2006/main" xmlns:pic="http://schemas.openxmlformats.org/drawingml/2006/picture">
            <wp:extent cx="5029200" cy="2640330"/>
            <wp:docPr id="9005" name="fig18_1"/>
            <wp:cNvGraphicFramePr>
              <a:graphicFrameLocks noChangeAspect="1"/>
            </wp:cNvGraphicFramePr>
            <a:graphic>
              <a:graphicData uri="http://schemas.openxmlformats.org/drawingml/2006/picture">
                <pic:pic>
                  <pic:nvPicPr>
                    <pic:cNvPr id="9005" name="fig18_1"/>
                    <pic:cNvPicPr/>
                  </pic:nvPicPr>
                  <pic:blipFill>
                    <a:blip r:embed="rId904"/>
                    <a:stretch>
                      <a:fillRect/>
                    </a:stretch>
                  </pic:blipFill>
                  <pic:spPr>
                    <a:xfrm>
                      <a:off x="0" y="0"/>
                      <a:ext cx="5029200" cy="2640330"/>
                    </a:xfrm>
                    <a:prstGeom prst="rect"/>
                  </pic:spPr>
                </pic:pic>
              </a:graphicData>
            </a:graphic>
          </wp:inline>
        </w:drawing>
      </w:r>
    </w:p>
    <w:p>
      <w:pPr>
        <w:spacing w:before="320" w:after="40"/>
      </w:pPr>
      <w:r>
        <w:rPr>
          <w:rFonts w:ascii="IBM Plex Sans" w:hAnsi="IBM Plex Sans" w:cs="IBM Plex Sans"/>
          <w:b/>
          <w:color w:val="1F3A5F"/>
          <w:sz w:val="18"/>
        </w:rPr>
        <w:t>§ 1</w:t>
      </w:r>
    </w:p>
    <w:p>
      <w:pPr>
        <w:spacing w:after="160" w:line="240" w:lineRule="auto"/>
      </w:pPr>
      <w:r>
        <w:rPr>
          <w:rFonts w:ascii="Newsreader" w:hAnsi="Newsreader" w:cs="Newsreader"/>
          <w:color w:val="161412"/>
          <w:sz w:val="38"/>
        </w:rPr>
        <w:t>Fundamento psicoperceptivo: tacto, cuerpo y acción</w:t>
      </w:r>
    </w:p>
    <w:p>
      <w:pPr>
        <w:spacing w:after="120" w:line="320" w:lineRule="auto"/>
        <w:jc w:val="both"/>
      </w:pPr>
      <w:r>
        <w:rPr>
          <w:rFonts w:ascii="Newsreader" w:hAnsi="Newsreader" w:cs="Newsreader"/>
          <w:b w:val="0"/>
          <w:i w:val="0"/>
          <w:color w:val="161412"/>
        </w:rPr>
        <w:t xml:space="preserve">La háptica se apoya en un hecho básico: la interacción con el mundo no es solo visual. Tocamos, presionamos, agarramos, soltamos, sentimos resistencia, textura, peso, impacto y vibración. La percepción táctil y propioceptiva participa en cómo entendemos la acción. Cuando una interfaz simula contacto no está inventando una categoría nueva: está apoyándose en una experiencia corporal primaria —tocar algo y recibir una respuesta—. Por eso un pequeño pulso puede reforzar contact.press: el usuario no solo ve que el sistema respondió; lo siente.</w:t>
      </w:r>
    </w:p>
    <w:p>
      <w:pPr>
        <w:spacing w:after="120" w:line="320" w:lineRule="auto"/>
        <w:jc w:val="both"/>
      </w:pPr>
      <w:r>
        <w:rPr>
          <w:rFonts w:ascii="Newsreader" w:hAnsi="Newsreader" w:cs="Newsreader"/>
          <w:b w:val="0"/>
          <w:i w:val="0"/>
          <w:color w:val="161412"/>
        </w:rPr>
        <w:t xml:space="preserve">La háptica también conecta con los esquemas sensoriomotores de la cognición corporeizada —contacto, impacto, resistencia, encaje, pérdida— que tienen base corporal y pueden trasladarse, de forma limitada, a la interfaz. Y la investigación sobre tactons ha mostrado que los parámetros hápticos pueden codificar información mediante duración, ritmo, intensidad, localización o frecuencia. Un pulso breve no comunica lo mismo que una vibración larga, ni un doble pulso lo mismo que uno único, ni un patrón rítmico lo mismo que un impacto seco. Esto permite pensar la háptica como canal semántico, no solo como buzz genérico.</w:t>
      </w:r>
    </w:p>
    <w:p>
      <w:pPr>
        <w:spacing w:after="120" w:line="320" w:lineRule="auto"/>
        <w:jc w:val="both"/>
      </w:pPr>
      <w:r>
        <w:rPr>
          <w:rFonts w:ascii="Newsreader" w:hAnsi="Newsreader" w:cs="Newsreader"/>
          <w:b w:val="0"/>
          <w:i w:val="0"/>
          <w:color w:val="161412"/>
        </w:rPr>
        <w:t xml:space="preserve">La háptica se integra con motion y sonido. Cuando el usuario suelta un objeto y ve que encaja, un pulso sincronizado puede reforzar la sensación de drop. Si llega tarde, se separa del evento; si es demasiado fuerte, comunica gravedad donde quizá solo había encaje leve.</w:t>
      </w:r>
    </w:p>
    <w:p>
      <w:pPr>
        <w:spacing w:before="320" w:after="40"/>
      </w:pPr>
      <w:r>
        <w:rPr>
          <w:rFonts w:ascii="IBM Plex Sans" w:hAnsi="IBM Plex Sans" w:cs="IBM Plex Sans"/>
          <w:b/>
          <w:color w:val="1F3A5F"/>
          <w:sz w:val="18"/>
        </w:rPr>
        <w:t>§ 2</w:t>
      </w:r>
    </w:p>
    <w:p>
      <w:pPr>
        <w:spacing w:after="160" w:line="240" w:lineRule="auto"/>
      </w:pPr>
      <w:r>
        <w:rPr>
          <w:rFonts w:ascii="Newsreader" w:hAnsi="Newsreader" w:cs="Newsreader"/>
          <w:color w:val="161412"/>
          <w:sz w:val="38"/>
        </w:rPr>
        <w:t>Qué comunica la háptica</w:t>
      </w:r>
    </w:p>
    <w:p>
      <w:pPr>
        <w:spacing w:after="120" w:line="320" w:lineRule="auto"/>
        <w:jc w:val="both"/>
      </w:pPr>
      <w:r>
        <w:rPr>
          <w:rFonts w:ascii="Newsreader" w:hAnsi="Newsreader" w:cs="Newsreader"/>
          <w:b w:val="0"/>
          <w:i w:val="0"/>
          <w:color w:val="161412"/>
        </w:rPr>
        <w:t xml:space="preserve">La háptica puede comunicar contacto, impacto, encaje, rechazo, resistencia, alerta corporal, pérdida y ritmo. Mientras el motion puede simular la física visual de un evento, la háptica refuerza su dimensión corporal. Un botón que se comprime comunica contacto visual, y un pulso breve, contacto táctil. Un objeto que se asienta comunica encaje visual, y un pequeño pulso al soltar, encaje corporal. Una alerta visual comunica urgencia, y una vibración fuerte o repetida, urgencia corporal.</w:t>
      </w:r>
    </w:p>
    <w:p>
      <w:pPr>
        <w:spacing w:before="320" w:after="40"/>
      </w:pPr>
      <w:r>
        <w:rPr>
          <w:rFonts w:ascii="IBM Plex Sans" w:hAnsi="IBM Plex Sans" w:cs="IBM Plex Sans"/>
          <w:b/>
          <w:color w:val="1F3A5F"/>
          <w:sz w:val="18"/>
        </w:rPr>
        <w:t>§ 3</w:t>
      </w:r>
    </w:p>
    <w:p>
      <w:pPr>
        <w:spacing w:after="160" w:line="240" w:lineRule="auto"/>
      </w:pPr>
      <w:r>
        <w:rPr>
          <w:rFonts w:ascii="Newsreader" w:hAnsi="Newsreader" w:cs="Newsreader"/>
          <w:color w:val="161412"/>
          <w:sz w:val="38"/>
        </w:rPr>
        <w:t>Háptica y familias semánticas</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contact</w:t>
      </w:r>
      <w:r>
        <w:rPr>
          <w:rFonts w:ascii="Newsreader" w:hAnsi="Newsreader" w:cs="Newsreader"/>
          <w:b w:val="0"/>
          <w:i w:val="0"/>
          <w:color w:val="161412"/>
        </w:rPr>
        <w:t xml:space="preserve"> — Es la familia háptica más básica: un pulso breve dice «el sistema ha sentido mi acción». Pero no todos los contactos deben vibrar: en interfaces de alta frecuencia, la háptica cansa rápidamente.</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commit</w:t>
      </w:r>
      <w:r>
        <w:rPr>
          <w:rFonts w:ascii="Newsreader" w:hAnsi="Newsreader" w:cs="Newsreader"/>
          <w:b w:val="0"/>
          <w:i w:val="0"/>
          <w:color w:val="161412"/>
        </w:rPr>
        <w:t xml:space="preserve"> — Puede reforzar selección, cierre, rechazo o pérdida: un pulso suave marca selección; uno más definido, final de operación; un patrón de rechazo, fallo; una vibración seca, pérdida.</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signal</w:t>
      </w:r>
      <w:r>
        <w:rPr>
          <w:rFonts w:ascii="Newsreader" w:hAnsi="Newsreader" w:cs="Newsreader"/>
          <w:b w:val="0"/>
          <w:i w:val="0"/>
          <w:color w:val="161412"/>
        </w:rPr>
        <w:t xml:space="preserve"> — Puede reclamar atención corporal, pero debe reservarse para señales importantes: una vibración por cada notificación menor convierte el cuerpo del usuario en superficie de ruido.</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handle</w:t>
      </w:r>
      <w:r>
        <w:rPr>
          <w:rFonts w:ascii="Newsreader" w:hAnsi="Newsreader" w:cs="Newsreader"/>
          <w:b w:val="0"/>
          <w:i w:val="0"/>
          <w:color w:val="161412"/>
        </w:rPr>
        <w:t xml:space="preserve"> — Puede reforzar agarre, encaje, rechazo o destino en pick y drop; el carry debería permanecer sin vibración continua, salvo simulaciones especializadas de fricción.</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emerge</w:t>
      </w:r>
      <w:r>
        <w:rPr>
          <w:rFonts w:ascii="Newsreader" w:hAnsi="Newsreader" w:cs="Newsreader"/>
          <w:b w:val="0"/>
          <w:i w:val="0"/>
          <w:color w:val="161412"/>
        </w:rPr>
        <w:t xml:space="preserve"> — Normalmente no la necesita: un tooltip, dropdown o popover no debería vibrar al aparecer.</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shift</w:t>
      </w:r>
      <w:r>
        <w:rPr>
          <w:rFonts w:ascii="Newsreader" w:hAnsi="Newsreader" w:cs="Newsreader"/>
          <w:b w:val="0"/>
          <w:i w:val="0"/>
          <w:color w:val="161412"/>
        </w:rPr>
        <w:t xml:space="preserve"> — Puede usarla en cambios de modo muy significativos, con moderación.</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sustain</w:t>
      </w:r>
      <w:r>
        <w:rPr>
          <w:rFonts w:ascii="Newsreader" w:hAnsi="Newsreader" w:cs="Newsreader"/>
          <w:b w:val="0"/>
          <w:i w:val="0"/>
          <w:color w:val="161412"/>
        </w:rPr>
        <w:t xml:space="preserve"> — La háptica sostenida es muy delicada: en general, no debería usarse para procesos continuos.</w:t>
      </w:r>
    </w:p>
    <w:p>
      <w:pPr>
        <w:spacing w:before="320" w:after="40"/>
      </w:pPr>
      <w:r>
        <w:rPr>
          <w:rFonts w:ascii="IBM Plex Sans" w:hAnsi="IBM Plex Sans" w:cs="IBM Plex Sans"/>
          <w:b/>
          <w:color w:val="1F3A5F"/>
          <w:sz w:val="18"/>
        </w:rPr>
        <w:t>§ 4</w:t>
      </w:r>
    </w:p>
    <w:p>
      <w:pPr>
        <w:spacing w:after="160" w:line="240" w:lineRule="auto"/>
      </w:pPr>
      <w:r>
        <w:rPr>
          <w:rFonts w:ascii="Newsreader" w:hAnsi="Newsreader" w:cs="Newsreader"/>
          <w:color w:val="161412"/>
          <w:sz w:val="38"/>
        </w:rPr>
        <w:t>Háptica e intent</w:t>
      </w:r>
    </w:p>
    <w:p>
      <w:pPr>
        <w:spacing w:after="120" w:line="320" w:lineRule="auto"/>
        <w:jc w:val="both"/>
      </w:pPr>
      <w:r>
        <w:rPr>
          <w:rFonts w:ascii="Newsreader" w:hAnsi="Newsreader" w:cs="Newsreader"/>
          <w:b w:val="0"/>
          <w:i w:val="0"/>
          <w:color w:val="161412"/>
        </w:rPr>
        <w:t xml:space="preserve">La háptica puede modular el intent, aunque con menos sutileza que el color, el motion o el sonido en muchas plataformas. neutral pide ausencia o mínimo; affirm, un pulso suave; fulfill, uno más definido o un doble suave. risk, un pulso contenido; threat, una vibración fuerte o doble; loss, un pulso seco y pesado. La diferencia entre threat y loss vuelve a ser importante: la háptica de amenaza puede ser más activadora; la de pérdida, más seca y conclusiva.</w:t>
      </w:r>
    </w:p>
    <w:p>
      <w:pPr>
        <w:spacing w:after="120" w:line="320" w:lineRule="auto"/>
        <w:jc w:val="both"/>
      </w:pPr>
      <w:r>
        <w:rPr>
          <w:rFonts w:ascii="Newsreader" w:hAnsi="Newsreader" w:cs="Newsreader"/>
          <w:b w:val="0"/>
          <w:i w:val="0"/>
          <w:color w:val="161412"/>
        </w:rPr>
        <w:t xml:space="preserve">De aquí sale una regla de nomenclatura para el vocabulario del canal. Las primitivas hápticas se nombran por cómo se sienten —un tick, un golpe seco, un zumbido áspero—, no por el veredicto que suelen acompañar. Llamar «error» a un patrón de vibración reimporta el semáforo en la capa del canal y acopla la primitiva a un solo intent, ocultando que la misma sensación puede servir a evaluaciones distintas. La primitiva es materia; el veredicto es lectura.</w:t>
      </w:r>
    </w:p>
    <w:p>
      <w:pPr>
        <w:spacing w:after="120" w:line="320" w:lineRule="auto"/>
        <w:jc w:val="both"/>
      </w:pPr>
      <w:r>
        <w:rPr>
          <w:rFonts w:ascii="Newsreader" w:hAnsi="Newsreader" w:cs="Newsreader"/>
          <w:b w:val="0"/>
          <w:i w:val="0"/>
          <w:color w:val="161412"/>
        </w:rPr>
        <w:t xml:space="preserve">Y también aquí hay punto de partida: la paleta háptica inicial del Apéndice B, con la firma orientativa de cada intent.</w:t>
      </w:r>
    </w:p>
    <w:p>
      <w:pPr>
        <w:spacing w:before="320" w:after="40"/>
      </w:pPr>
      <w:r>
        <w:rPr>
          <w:rFonts w:ascii="IBM Plex Sans" w:hAnsi="IBM Plex Sans" w:cs="IBM Plex Sans"/>
          <w:b/>
          <w:color w:val="1F3A5F"/>
          <w:sz w:val="18"/>
        </w:rPr>
        <w:t>§ 5</w:t>
      </w:r>
    </w:p>
    <w:p>
      <w:pPr>
        <w:spacing w:after="160" w:line="240" w:lineRule="auto"/>
      </w:pPr>
      <w:r>
        <w:rPr>
          <w:rFonts w:ascii="Newsreader" w:hAnsi="Newsreader" w:cs="Newsreader"/>
          <w:color w:val="161412"/>
          <w:sz w:val="38"/>
        </w:rPr>
        <w:t>La web y sus límites hápticos</w:t>
      </w:r>
    </w:p>
    <w:p>
      <w:pPr>
        <w:spacing w:after="120" w:line="320" w:lineRule="auto"/>
        <w:jc w:val="both"/>
      </w:pPr>
      <w:r>
        <w:rPr>
          <w:rFonts w:ascii="Newsreader" w:hAnsi="Newsreader" w:cs="Newsreader"/>
          <w:b w:val="0"/>
          <w:i w:val="0"/>
          <w:color w:val="161412"/>
        </w:rPr>
        <w:t xml:space="preserve">En la web, la háptica sigue siendo un canal débil. La Vibration API permite patrones básicos en algunos dispositivos, pero no ofrece control fino sobre textura, intensidad, localización o calidad del motor. Su soporte varía entre navegadores y plataformas, y muchos contextos de escritorio no tienen háptica disponible. Esto significa que en la web no podemos asumirla como canal principal. La gramática puede incluirla, pero la implementación debe tratarla como opcional, degradable, nunca única, dependiente de dispositivo, sujeta a permisos y controlable por el usuario.</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En web, la háptica debe ser enriquecimiento, no soporte semántico obligatorio.</w:t>
      </w:r>
    </w:p>
    <w:p>
      <w:pPr>
        <w:spacing w:before="320" w:after="40"/>
      </w:pPr>
      <w:r>
        <w:rPr>
          <w:rFonts w:ascii="IBM Plex Sans" w:hAnsi="IBM Plex Sans" w:cs="IBM Plex Sans"/>
          <w:b/>
          <w:color w:val="1F3A5F"/>
          <w:sz w:val="18"/>
        </w:rPr>
        <w:t>§ 6</w:t>
      </w:r>
    </w:p>
    <w:p>
      <w:pPr>
        <w:spacing w:after="160" w:line="240" w:lineRule="auto"/>
      </w:pPr>
      <w:r>
        <w:rPr>
          <w:rFonts w:ascii="Newsreader" w:hAnsi="Newsreader" w:cs="Newsreader"/>
          <w:color w:val="161412"/>
          <w:sz w:val="38"/>
        </w:rPr>
        <w:t>Ejemplo narrativo: teclado móvil</w:t>
      </w:r>
    </w:p>
    <w:p>
      <w:pPr>
        <w:spacing w:after="120" w:line="320" w:lineRule="auto"/>
        <w:jc w:val="both"/>
      </w:pPr>
      <w:r>
        <w:rPr>
          <w:rFonts w:ascii="Newsreader" w:hAnsi="Newsreader" w:cs="Newsreader"/>
          <w:b w:val="0"/>
          <w:i w:val="0"/>
          <w:color w:val="161412"/>
        </w:rPr>
        <w:t xml:space="preserve">Un teclado móvil puede usar háptica para reforzar cada tecla: contact.press. Pero el evento es de frecuencia altísima —el usuario puede pulsar cientos de teclas en pocos minutos—. Así que el pulso debe ser muy breve, de intensidad baja, desactivable, sin variación dramática y sin intent fuerte. Un teclado que vibra demasiado convierte el contacto en fatiga. Aquí la semántica correcta es casi invisible: estoy tocando, el sistema responde, puedo seguir.</w:t>
      </w:r>
    </w:p>
    <w:p>
      <w:pPr>
        <w:spacing w:before="320" w:after="40"/>
      </w:pPr>
      <w:r>
        <w:rPr>
          <w:rFonts w:ascii="IBM Plex Sans" w:hAnsi="IBM Plex Sans" w:cs="IBM Plex Sans"/>
          <w:b/>
          <w:color w:val="1F3A5F"/>
          <w:sz w:val="18"/>
        </w:rPr>
        <w:t>§ 7</w:t>
      </w:r>
    </w:p>
    <w:p>
      <w:pPr>
        <w:spacing w:after="160" w:line="240" w:lineRule="auto"/>
      </w:pPr>
      <w:r>
        <w:rPr>
          <w:rFonts w:ascii="Newsreader" w:hAnsi="Newsreader" w:cs="Newsreader"/>
          <w:color w:val="161412"/>
          <w:sz w:val="38"/>
        </w:rPr>
        <w:t>Ejemplo narrativo: selección de chip</w:t>
      </w:r>
    </w:p>
    <w:p>
      <w:pPr>
        <w:spacing w:after="120" w:line="320" w:lineRule="auto"/>
        <w:jc w:val="both"/>
      </w:pPr>
      <w:r>
        <w:rPr>
          <w:rFonts w:ascii="Newsreader" w:hAnsi="Newsreader" w:cs="Newsreader"/>
          <w:b w:val="0"/>
          <w:i w:val="0"/>
          <w:color w:val="161412"/>
        </w:rPr>
        <w:t>El usuario selecciona un filtro: commit.select + affirm. Una háptica suave puede reforzar que la selección quedó aplicada, especialmente en móvil, pero no debe sentirse como logro importante: affirm, no fulfill. La expresión posible: pulso único suave, marca visual persistente, color positivo leve, sin sonido por defecto. La háptica aquí refuerza estado, no celebra.</w:t>
      </w:r>
    </w:p>
    <w:p>
      <w:pPr>
        <w:spacing w:before="320" w:after="40"/>
      </w:pPr>
      <w:r>
        <w:rPr>
          <w:rFonts w:ascii="IBM Plex Sans" w:hAnsi="IBM Plex Sans" w:cs="IBM Plex Sans"/>
          <w:b/>
          <w:color w:val="1F3A5F"/>
          <w:sz w:val="18"/>
        </w:rPr>
        <w:t>§ 8</w:t>
      </w:r>
    </w:p>
    <w:p>
      <w:pPr>
        <w:spacing w:after="160" w:line="240" w:lineRule="auto"/>
      </w:pPr>
      <w:r>
        <w:rPr>
          <w:rFonts w:ascii="Newsreader" w:hAnsi="Newsreader" w:cs="Newsreader"/>
          <w:color w:val="161412"/>
          <w:sz w:val="38"/>
        </w:rPr>
        <w:t>Ejemplo narrativo: drag-and-drop táctil</w:t>
      </w:r>
    </w:p>
    <w:p>
      <w:pPr>
        <w:spacing w:after="120" w:line="320" w:lineRule="auto"/>
        <w:jc w:val="both"/>
      </w:pPr>
      <w:r>
        <w:rPr>
          <w:rFonts w:ascii="Newsreader" w:hAnsi="Newsreader" w:cs="Newsreader"/>
          <w:b w:val="0"/>
          <w:i w:val="0"/>
          <w:color w:val="161412"/>
        </w:rPr>
        <w:t>En una interfaz táctil, el usuario arrastra una tarjeta: handle.pick, handle.carry, handle.drop. En el pick, un pulso breve puede comunicar agarre —«lo has cogido»—. Durante el carry, silencio háptico: el usuario necesita control, no ruido táctil continuo. En el drop, la háptica se bifurca: pulso de encaje si es válido —«encajó aquí»—, pulso de rechazo si no —«no puede ir aquí»—. Y si el drop es destructivo —handle.drop seguido de commit.delete + loss—, la háptica puede comunicar consecuencia, pero con cuidado: no debe parecer amenaza si la pérdida ya ocurrió.</w:t>
      </w:r>
    </w:p>
    <w:p>
      <w:pPr>
        <w:spacing w:before="320" w:after="40"/>
      </w:pPr>
      <w:r>
        <w:rPr>
          <w:rFonts w:ascii="IBM Plex Sans" w:hAnsi="IBM Plex Sans" w:cs="IBM Plex Sans"/>
          <w:b/>
          <w:color w:val="1F3A5F"/>
          <w:sz w:val="18"/>
        </w:rPr>
        <w:t>§ 9</w:t>
      </w:r>
    </w:p>
    <w:p>
      <w:pPr>
        <w:spacing w:after="160" w:line="240" w:lineRule="auto"/>
      </w:pPr>
      <w:r>
        <w:rPr>
          <w:rFonts w:ascii="Newsreader" w:hAnsi="Newsreader" w:cs="Newsreader"/>
          <w:color w:val="161412"/>
          <w:sz w:val="38"/>
        </w:rPr>
        <w:t>Ejemplo narrativo: alerta en wearable</w:t>
      </w:r>
    </w:p>
    <w:p>
      <w:pPr>
        <w:spacing w:after="120" w:line="320" w:lineRule="auto"/>
        <w:jc w:val="both"/>
      </w:pPr>
      <w:r>
        <w:rPr>
          <w:rFonts w:ascii="Newsreader" w:hAnsi="Newsreader" w:cs="Newsreader"/>
          <w:b w:val="0"/>
          <w:i w:val="0"/>
          <w:color w:val="161412"/>
        </w:rPr>
        <w:t xml:space="preserve">En un reloj, la háptica puede ser el canal principal de una señal: signal.alert + threat. Aquí la vibración tiene sentido: la pantalla es pequeña, el usuario puede no estar mirando, el dispositivo está en contacto con el cuerpo, la señal puede requerir atención inmediata. Pero incluso aquí debe haber control: patrón reconocible, duración limitada, posibilidad de silenciar, prioridad bien definida y no usar el mismo patrón para todo. La háptica de wearable puede ser muy efectiva, y precisamente por eso debe ser sobria.</w:t>
      </w:r>
    </w:p>
    <w:p>
      <w:pPr>
        <w:spacing w:before="320" w:after="40"/>
      </w:pPr>
      <w:r>
        <w:rPr>
          <w:rFonts w:ascii="IBM Plex Sans" w:hAnsi="IBM Plex Sans" w:cs="IBM Plex Sans"/>
          <w:b/>
          <w:color w:val="1F3A5F"/>
          <w:sz w:val="18"/>
        </w:rPr>
        <w:t>§ 10</w:t>
      </w:r>
    </w:p>
    <w:p>
      <w:pPr>
        <w:spacing w:after="160" w:line="240" w:lineRule="auto"/>
      </w:pPr>
      <w:r>
        <w:rPr>
          <w:rFonts w:ascii="Newsreader" w:hAnsi="Newsreader" w:cs="Newsreader"/>
          <w:color w:val="161412"/>
          <w:sz w:val="38"/>
        </w:rPr>
        <w:t>Accesibilidad háptica</w:t>
      </w:r>
    </w:p>
    <w:p>
      <w:pPr>
        <w:spacing w:after="120" w:line="320" w:lineRule="auto"/>
        <w:jc w:val="both"/>
      </w:pPr>
      <w:r>
        <w:rPr>
          <w:rFonts w:ascii="Newsreader" w:hAnsi="Newsreader" w:cs="Newsreader"/>
          <w:b w:val="0"/>
          <w:i w:val="0"/>
          <w:color w:val="161412"/>
        </w:rPr>
        <w:t>La háptica puede ayudar a algunas personas y molestar a otras. Puede servir como canal alternativo cuando el sonido está desactivado, reforzar el contacto o ayudar en wearables y contextos donde la visión está ocupada. Pero también puede ser problemática: sensibilidad táctil, vibración molesta o dolorosa, fatiga por repetición, motores demasiado bruscos, falta de control de intensidad, patrones indistinguibles o interferencia con ayudas de accesibilidad.</w:t>
      </w:r>
    </w:p>
    <w:p>
      <w:pPr>
        <w:spacing w:after="120" w:line="320" w:lineRule="auto"/>
        <w:jc w:val="both"/>
      </w:pPr>
      <w:r>
        <w:rPr>
          <w:rFonts w:ascii="Newsreader" w:hAnsi="Newsreader" w:cs="Newsreader"/>
          <w:b w:val="0"/>
          <w:i w:val="0"/>
          <w:color w:val="161412"/>
        </w:rPr>
        <w:t>Por eso la háptica debe ser desactivable, proporcional, infrecuente cuando es intensa, nunca única para información crítica, ajustable si la plataforma lo permite y coherente con el evento. La accesibilidad háptica no consiste en añadir vibración para «mejorar accesibilidad»: a veces la vibración la reduce.</w:t>
      </w:r>
    </w:p>
    <w:p>
      <w:pPr>
        <w:spacing w:before="320" w:after="40"/>
      </w:pPr>
      <w:r>
        <w:rPr>
          <w:rFonts w:ascii="IBM Plex Sans" w:hAnsi="IBM Plex Sans" w:cs="IBM Plex Sans"/>
          <w:b/>
          <w:color w:val="1F3A5F"/>
          <w:sz w:val="18"/>
        </w:rPr>
        <w:t>§ 11</w:t>
      </w:r>
    </w:p>
    <w:p>
      <w:pPr>
        <w:spacing w:after="160" w:line="240" w:lineRule="auto"/>
      </w:pPr>
      <w:r>
        <w:rPr>
          <w:rFonts w:ascii="Newsreader" w:hAnsi="Newsreader" w:cs="Newsreader"/>
          <w:color w:val="161412"/>
          <w:sz w:val="38"/>
        </w:rPr>
        <w:t>Antipatrones</w:t>
      </w:r>
    </w:p>
    <w:p>
      <w:pPr>
        <w:spacing w:after="120" w:line="320" w:lineRule="auto"/>
        <w:jc w:val="both"/>
      </w:pPr>
      <w:r>
        <w:rPr>
          <w:rFonts w:ascii="Newsreader" w:hAnsi="Newsreader" w:cs="Newsreader"/>
          <w:b/>
          <w:i w:val="0"/>
          <w:color w:val="161412"/>
        </w:rPr>
        <w:t>Vibración ambiental.</w:t>
      </w:r>
      <w:r>
        <w:rPr>
          <w:rFonts w:ascii="Newsreader" w:hAnsi="Newsreader" w:cs="Newsreader"/>
          <w:b w:val="0"/>
          <w:i w:val="0"/>
          <w:color w:val="161412"/>
        </w:rPr>
        <w:t xml:space="preserve"> Háptica en cada toque, cada desplazamiento, cada transición. El cuerpo se habitúa y el canal queda gastado para cuando importe. La háptica marca momentos; no acompaña superficies.</w:t>
      </w:r>
    </w:p>
    <w:p>
      <w:pPr>
        <w:spacing w:after="120" w:line="320" w:lineRule="auto"/>
        <w:jc w:val="both"/>
      </w:pPr>
      <w:r>
        <w:rPr>
          <w:rFonts w:ascii="Newsreader" w:hAnsi="Newsreader" w:cs="Newsreader"/>
          <w:b/>
          <w:i w:val="0"/>
          <w:color w:val="161412"/>
        </w:rPr>
        <w:t>Un solo pulso.</w:t>
      </w:r>
      <w:r>
        <w:rPr>
          <w:rFonts w:ascii="Newsreader" w:hAnsi="Newsreader" w:cs="Newsreader"/>
          <w:b w:val="0"/>
          <w:i w:val="0"/>
          <w:color w:val="161412"/>
        </w:rPr>
        <w:t xml:space="preserve"> La misma vibración para confirmar, advertir y fallar. Sin diferenciación, la háptica solo dice «algo pasó». Los patrones se distinguen por significado, no solo por intensidad.</w:t>
      </w:r>
    </w:p>
    <w:p>
      <w:pPr>
        <w:spacing w:after="120" w:line="320" w:lineRule="auto"/>
        <w:jc w:val="both"/>
      </w:pPr>
      <w:r>
        <w:rPr>
          <w:rFonts w:ascii="Newsreader" w:hAnsi="Newsreader" w:cs="Newsreader"/>
          <w:b/>
          <w:i w:val="0"/>
          <w:color w:val="161412"/>
        </w:rPr>
        <w:t>Castigo háptico.</w:t>
      </w:r>
      <w:r>
        <w:rPr>
          <w:rFonts w:ascii="Newsreader" w:hAnsi="Newsreader" w:cs="Newsreader"/>
          <w:b w:val="0"/>
          <w:i w:val="0"/>
          <w:color w:val="161412"/>
        </w:rPr>
        <w:t xml:space="preserve"> Vibración sostenida o repetida como alarma. Incomoda sin informar, y penaliza justo cuando el usuario necesita pensar. Pulsos breves y diferenciados; la urgencia la sostienen otros canales.</w:t>
      </w:r>
    </w:p>
    <w:p>
      <w:pPr>
        <w:spacing w:before="320" w:after="40"/>
      </w:pPr>
      <w:r>
        <w:rPr>
          <w:rFonts w:ascii="IBM Plex Sans" w:hAnsi="IBM Plex Sans" w:cs="IBM Plex Sans"/>
          <w:b/>
          <w:color w:val="1F3A5F"/>
          <w:sz w:val="18"/>
        </w:rPr>
        <w:t>§ 12</w:t>
      </w:r>
    </w:p>
    <w:p>
      <w:pPr>
        <w:spacing w:after="160" w:line="240" w:lineRule="auto"/>
      </w:pPr>
      <w:r>
        <w:rPr>
          <w:rFonts w:ascii="Newsreader" w:hAnsi="Newsreader" w:cs="Newsreader"/>
          <w:color w:val="161412"/>
          <w:sz w:val="38"/>
        </w:rPr>
        <w:t>Síntesis</w:t>
      </w:r>
    </w:p>
    <w:p>
      <w:pPr>
        <w:spacing w:after="120" w:line="320" w:lineRule="auto"/>
        <w:jc w:val="both"/>
      </w:pPr>
      <w:r>
        <w:rPr>
          <w:rFonts w:ascii="Newsreader" w:hAnsi="Newsreader" w:cs="Newsreader"/>
          <w:b w:val="0"/>
          <w:i w:val="0"/>
          <w:color w:val="161412"/>
        </w:rPr>
        <w:t>La háptica es el canal corporal de la interfaz: comunica contacto, impacto, encaje, rechazo, resistencia, alerta y pérdida mediante sensación táctil. Su fuerza está en que hace sentir el evento en el cuerpo; su riesgo, precisamente ahí: puede invadir, fatigar o excluir si se usa mal.</w:t>
      </w:r>
    </w:p>
    <w:p>
      <w:pPr>
        <w:spacing w:before="160" w:after="40"/>
        <w:pBdr>
          <w:left w:val="single" w:sz="18" w:space="12" w:color="1F3A5F"/>
        </w:pBdr>
      </w:pPr>
      <w:r>
        <w:rPr>
          <w:rFonts w:ascii="IBM Plex Sans" w:hAnsi="IBM Plex Sans" w:cs="IBM Plex Sans"/>
          <w:b/>
          <w:color w:val="1F3A5F"/>
          <w:sz w:val="16"/>
        </w:rPr>
        <w:t>DISTINCIÓN</w:t>
      </w:r>
    </w:p>
    <w:p>
      <w:pPr>
        <w:spacing w:after="120" w:line="312" w:lineRule="auto"/>
        <w:pBdr>
          <w:left w:val="single" w:sz="18" w:space="12" w:color="1F3A5F"/>
        </w:pBdr>
      </w:pPr>
      <w:r>
        <w:rPr>
          <w:rFonts w:ascii="Newsreader" w:hAnsi="Newsreader" w:cs="Newsreader"/>
          <w:b w:val="0"/>
          <w:i/>
          <w:color w:val="3A352F"/>
        </w:rPr>
        <w:t>La háptica no es vibración añadida. Es la posibilidad de hacer corporalmente perceptible un evento.</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Diseñar la semántica para que pueda vivir sin háptica, y enriquecerla con háptica cuando la plataforma y el usuario lo permitan.</w:t>
      </w:r>
    </w:p>
    <w:p>
      <w:pPr>
        <w:spacing w:after="200" w:before="40"/>
      </w:pPr>
      <w:r>
        <w:rPr>
          <w:rFonts w:ascii="IBM Plex Sans" w:hAnsi="IBM Plex Sans" w:cs="IBM Plex Sans"/>
          <w:b/>
          <w:color w:val="1F3A5F"/>
          <w:sz w:val="17"/>
        </w:rPr>
        <w:t xml:space="preserve">TABLA 18.1   </w:t>
      </w:r>
      <w:r>
        <w:rPr>
          <w:rFonts w:ascii="IBM Plex Sans" w:hAnsi="IBM Plex Sans" w:cs="IBM Plex Sans"/>
          <w:color w:val="3A352F"/>
          <w:sz w:val="18"/>
        </w:rPr>
        <w:t xml:space="preserve">Antipatrones de la háptica</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ANTIPATRÓN</w:t>
            </w:r>
          </w:p>
        </w:tc>
        <w:tc>
          <w:tcPr>
            <w:tcW w:type="dxa" w:w="2772"/>
            <w:shd w:val="clear" w:color="auto" w:fill="EAE4D8"/>
          </w:tcPr>
          <w:p>
            <w:pPr>
              <w:spacing w:after="40"/>
            </w:pPr>
            <w:r>
              <w:rPr>
                <w:sz w:val="17"/>
              </w:rPr>
            </w:r>
            <w:r>
              <w:rPr>
                <w:rFonts w:ascii="IBM Plex Sans" w:hAnsi="IBM Plex Sans" w:cs="IBM Plex Sans"/>
                <w:b/>
                <w:i w:val="0"/>
                <w:color w:val="1F3A5F"/>
                <w:sz w:val="17"/>
              </w:rPr>
              <w:t>PROBLEMA</w:t>
            </w:r>
          </w:p>
        </w:tc>
        <w:tc>
          <w:tcPr>
            <w:tcW w:type="dxa" w:w="2772"/>
            <w:shd w:val="clear" w:color="auto" w:fill="EAE4D8"/>
          </w:tcPr>
          <w:p>
            <w:pPr>
              <w:spacing w:after="40"/>
            </w:pPr>
            <w:r>
              <w:rPr>
                <w:sz w:val="17"/>
              </w:rPr>
            </w:r>
            <w:r>
              <w:rPr>
                <w:rFonts w:ascii="IBM Plex Sans" w:hAnsi="IBM Plex Sans" w:cs="IBM Plex Sans"/>
                <w:b/>
                <w:i w:val="0"/>
                <w:color w:val="1F3A5F"/>
                <w:sz w:val="17"/>
              </w:rPr>
              <w:t>CORRECCIÓN</w:t>
            </w:r>
          </w:p>
        </w:tc>
      </w:tr>
      <w:tr>
        <w:tc>
          <w:tcPr>
            <w:tcW w:type="dxa" w:w="2772"/>
          </w:tcPr>
          <w:p>
            <w:pPr>
              <w:spacing w:after="40"/>
            </w:pPr>
            <w:r>
              <w:rPr>
                <w:sz w:val="17"/>
              </w:rPr>
            </w:r>
            <w:r>
              <w:rPr>
                <w:rFonts w:ascii="IBM Plex Sans" w:hAnsi="IBM Plex Sans" w:cs="IBM Plex Sans"/>
                <w:b w:val="0"/>
                <w:i w:val="0"/>
                <w:color w:val="161412"/>
                <w:sz w:val="17"/>
              </w:rPr>
              <w:t>vibrar por todo</w:t>
            </w:r>
          </w:p>
        </w:tc>
        <w:tc>
          <w:tcPr>
            <w:tcW w:type="dxa" w:w="2772"/>
          </w:tcPr>
          <w:p>
            <w:pPr>
              <w:spacing w:after="40"/>
            </w:pPr>
            <w:r>
              <w:rPr>
                <w:sz w:val="17"/>
              </w:rPr>
            </w:r>
            <w:r>
              <w:rPr>
                <w:rFonts w:ascii="IBM Plex Sans" w:hAnsi="IBM Plex Sans" w:cs="IBM Plex Sans"/>
                <w:b w:val="0"/>
                <w:i w:val="0"/>
                <w:color w:val="161412"/>
                <w:sz w:val="17"/>
              </w:rPr>
              <w:t>fatiga corporal</w:t>
            </w:r>
          </w:p>
        </w:tc>
        <w:tc>
          <w:tcPr>
            <w:tcW w:type="dxa" w:w="2772"/>
          </w:tcPr>
          <w:p>
            <w:pPr>
              <w:spacing w:after="40"/>
            </w:pPr>
            <w:r>
              <w:rPr>
                <w:sz w:val="17"/>
              </w:rPr>
            </w:r>
            <w:r>
              <w:rPr>
                <w:rFonts w:ascii="IBM Plex Sans" w:hAnsi="IBM Plex Sans" w:cs="IBM Plex Sans"/>
                <w:b w:val="0"/>
                <w:i w:val="0"/>
                <w:color w:val="161412"/>
                <w:sz w:val="17"/>
              </w:rPr>
              <w:t>reservar para eventos relevantes</w:t>
            </w:r>
          </w:p>
        </w:tc>
      </w:tr>
      <w:tr>
        <w:tc>
          <w:tcPr>
            <w:tcW w:type="dxa" w:w="2772"/>
          </w:tcPr>
          <w:p>
            <w:pPr>
              <w:spacing w:after="40"/>
            </w:pPr>
            <w:r>
              <w:rPr>
                <w:sz w:val="17"/>
              </w:rPr>
            </w:r>
            <w:r>
              <w:rPr>
                <w:rFonts w:ascii="IBM Plex Sans" w:hAnsi="IBM Plex Sans" w:cs="IBM Plex Sans"/>
                <w:b w:val="0"/>
                <w:i w:val="0"/>
                <w:color w:val="161412"/>
                <w:sz w:val="17"/>
              </w:rPr>
              <w:t>mismo buzz para todo</w:t>
            </w:r>
          </w:p>
        </w:tc>
        <w:tc>
          <w:tcPr>
            <w:tcW w:type="dxa" w:w="2772"/>
          </w:tcPr>
          <w:p>
            <w:pPr>
              <w:spacing w:after="40"/>
            </w:pPr>
            <w:r>
              <w:rPr>
                <w:sz w:val="17"/>
              </w:rPr>
            </w:r>
            <w:r>
              <w:rPr>
                <w:rFonts w:ascii="IBM Plex Sans" w:hAnsi="IBM Plex Sans" w:cs="IBM Plex Sans"/>
                <w:b w:val="0"/>
                <w:i w:val="0"/>
                <w:color w:val="161412"/>
                <w:sz w:val="17"/>
              </w:rPr>
              <w:t>indiferenciación</w:t>
            </w:r>
          </w:p>
        </w:tc>
        <w:tc>
          <w:tcPr>
            <w:tcW w:type="dxa" w:w="2772"/>
          </w:tcPr>
          <w:p>
            <w:pPr>
              <w:spacing w:after="40"/>
            </w:pPr>
            <w:r>
              <w:rPr>
                <w:sz w:val="17"/>
              </w:rPr>
            </w:r>
            <w:r>
              <w:rPr>
                <w:rFonts w:ascii="IBM Plex Sans" w:hAnsi="IBM Plex Sans" w:cs="IBM Plex Sans"/>
                <w:b w:val="0"/>
                <w:i w:val="0"/>
                <w:color w:val="161412"/>
                <w:sz w:val="17"/>
              </w:rPr>
              <w:t>variar duración, ritmo, intensidad</w:t>
            </w:r>
          </w:p>
        </w:tc>
      </w:tr>
      <w:tr>
        <w:tc>
          <w:tcPr>
            <w:tcW w:type="dxa" w:w="2772"/>
          </w:tcPr>
          <w:p>
            <w:pPr>
              <w:spacing w:after="40"/>
            </w:pPr>
            <w:r>
              <w:rPr>
                <w:sz w:val="17"/>
              </w:rPr>
            </w:r>
            <w:r>
              <w:rPr>
                <w:rFonts w:ascii="IBM Plex Sans" w:hAnsi="IBM Plex Sans" w:cs="IBM Plex Sans"/>
                <w:b w:val="0"/>
                <w:i w:val="0"/>
                <w:color w:val="161412"/>
                <w:sz w:val="17"/>
              </w:rPr>
              <w:t>háptica crítica sin respaldo</w:t>
            </w:r>
          </w:p>
        </w:tc>
        <w:tc>
          <w:tcPr>
            <w:tcW w:type="dxa" w:w="2772"/>
          </w:tcPr>
          <w:p>
            <w:pPr>
              <w:spacing w:after="40"/>
            </w:pPr>
            <w:r>
              <w:rPr>
                <w:sz w:val="17"/>
              </w:rPr>
            </w:r>
            <w:r>
              <w:rPr>
                <w:rFonts w:ascii="IBM Plex Sans" w:hAnsi="IBM Plex Sans" w:cs="IBM Plex Sans"/>
                <w:b w:val="0"/>
                <w:i w:val="0"/>
                <w:color w:val="161412"/>
                <w:sz w:val="17"/>
              </w:rPr>
              <w:t>inaccesibilidad</w:t>
            </w:r>
          </w:p>
        </w:tc>
        <w:tc>
          <w:tcPr>
            <w:tcW w:type="dxa" w:w="2772"/>
          </w:tcPr>
          <w:p>
            <w:pPr>
              <w:spacing w:after="40"/>
            </w:pPr>
            <w:r>
              <w:rPr>
                <w:sz w:val="17"/>
              </w:rPr>
            </w:r>
            <w:r>
              <w:rPr>
                <w:rFonts w:ascii="IBM Plex Sans" w:hAnsi="IBM Plex Sans" w:cs="IBM Plex Sans"/>
                <w:b w:val="0"/>
                <w:i w:val="0"/>
                <w:color w:val="161412"/>
                <w:sz w:val="17"/>
              </w:rPr>
              <w:t>canales alternativos</w:t>
            </w:r>
          </w:p>
        </w:tc>
      </w:tr>
      <w:tr>
        <w:tc>
          <w:tcPr>
            <w:tcW w:type="dxa" w:w="2772"/>
          </w:tcPr>
          <w:p>
            <w:pPr>
              <w:spacing w:after="40"/>
            </w:pPr>
            <w:r>
              <w:rPr>
                <w:sz w:val="17"/>
              </w:rPr>
            </w:r>
            <w:r>
              <w:rPr>
                <w:rFonts w:ascii="IBM Plex Sans" w:hAnsi="IBM Plex Sans" w:cs="IBM Plex Sans"/>
                <w:b w:val="0"/>
                <w:i w:val="0"/>
                <w:color w:val="161412"/>
                <w:sz w:val="17"/>
              </w:rPr>
              <w:t>háptica desincronizada</w:t>
            </w:r>
          </w:p>
        </w:tc>
        <w:tc>
          <w:tcPr>
            <w:tcW w:type="dxa" w:w="2772"/>
          </w:tcPr>
          <w:p>
            <w:pPr>
              <w:spacing w:after="40"/>
            </w:pPr>
            <w:r>
              <w:rPr>
                <w:sz w:val="17"/>
              </w:rPr>
            </w:r>
            <w:r>
              <w:rPr>
                <w:rFonts w:ascii="IBM Plex Sans" w:hAnsi="IBM Plex Sans" w:cs="IBM Plex Sans"/>
                <w:b w:val="0"/>
                <w:i w:val="0"/>
                <w:color w:val="161412"/>
                <w:sz w:val="17"/>
              </w:rPr>
              <w:t>ruido</w:t>
            </w:r>
          </w:p>
        </w:tc>
        <w:tc>
          <w:tcPr>
            <w:tcW w:type="dxa" w:w="2772"/>
          </w:tcPr>
          <w:p>
            <w:pPr>
              <w:spacing w:after="40"/>
            </w:pPr>
            <w:r>
              <w:rPr>
                <w:sz w:val="17"/>
              </w:rPr>
            </w:r>
            <w:r>
              <w:rPr>
                <w:rFonts w:ascii="IBM Plex Sans" w:hAnsi="IBM Plex Sans" w:cs="IBM Plex Sans"/>
                <w:b w:val="0"/>
                <w:i w:val="0"/>
                <w:color w:val="161412"/>
                <w:sz w:val="17"/>
              </w:rPr>
              <w:t>sincronía con press/drop/señal</w:t>
            </w:r>
          </w:p>
        </w:tc>
      </w:tr>
      <w:tr>
        <w:tc>
          <w:tcPr>
            <w:tcW w:type="dxa" w:w="2772"/>
          </w:tcPr>
          <w:p>
            <w:pPr>
              <w:spacing w:after="40"/>
            </w:pPr>
            <w:r>
              <w:rPr>
                <w:sz w:val="17"/>
              </w:rPr>
            </w:r>
            <w:r>
              <w:rPr>
                <w:rFonts w:ascii="IBM Plex Sans" w:hAnsi="IBM Plex Sans" w:cs="IBM Plex Sans"/>
                <w:b w:val="0"/>
                <w:i w:val="0"/>
                <w:color w:val="161412"/>
                <w:sz w:val="17"/>
              </w:rPr>
              <w:t>intensa y frecuente</w:t>
            </w:r>
          </w:p>
        </w:tc>
        <w:tc>
          <w:tcPr>
            <w:tcW w:type="dxa" w:w="2772"/>
          </w:tcPr>
          <w:p>
            <w:pPr>
              <w:spacing w:after="40"/>
            </w:pPr>
            <w:r>
              <w:rPr>
                <w:sz w:val="17"/>
              </w:rPr>
            </w:r>
            <w:r>
              <w:rPr>
                <w:rFonts w:ascii="IBM Plex Sans" w:hAnsi="IBM Plex Sans" w:cs="IBM Plex Sans"/>
                <w:b w:val="0"/>
                <w:i w:val="0"/>
                <w:color w:val="161412"/>
                <w:sz w:val="17"/>
              </w:rPr>
              <w:t>rechazo</w:t>
            </w:r>
          </w:p>
        </w:tc>
        <w:tc>
          <w:tcPr>
            <w:tcW w:type="dxa" w:w="2772"/>
          </w:tcPr>
          <w:p>
            <w:pPr>
              <w:spacing w:after="40"/>
            </w:pPr>
            <w:r>
              <w:rPr>
                <w:sz w:val="17"/>
              </w:rPr>
            </w:r>
            <w:r>
              <w:rPr>
                <w:rFonts w:ascii="IBM Plex Sans" w:hAnsi="IBM Plex Sans" w:cs="IBM Plex Sans"/>
                <w:b w:val="0"/>
                <w:i w:val="0"/>
                <w:color w:val="161412"/>
                <w:sz w:val="17"/>
              </w:rPr>
              <w:t>reducir intensidad</w:t>
            </w:r>
          </w:p>
        </w:tc>
      </w:tr>
      <w:tr>
        <w:tc>
          <w:tcPr>
            <w:tcW w:type="dxa" w:w="2772"/>
          </w:tcPr>
          <w:p>
            <w:pPr>
              <w:spacing w:after="40"/>
            </w:pPr>
            <w:r>
              <w:rPr>
                <w:sz w:val="17"/>
              </w:rPr>
            </w:r>
            <w:r>
              <w:rPr>
                <w:rFonts w:ascii="IBM Plex Sans" w:hAnsi="IBM Plex Sans" w:cs="IBM Plex Sans"/>
                <w:b w:val="0"/>
                <w:i w:val="0"/>
                <w:color w:val="161412"/>
                <w:sz w:val="17"/>
              </w:rPr>
              <w:t>asumir háptica rica en web</w:t>
            </w:r>
          </w:p>
        </w:tc>
        <w:tc>
          <w:tcPr>
            <w:tcW w:type="dxa" w:w="2772"/>
          </w:tcPr>
          <w:p>
            <w:pPr>
              <w:spacing w:after="40"/>
            </w:pPr>
            <w:r>
              <w:rPr>
                <w:sz w:val="17"/>
              </w:rPr>
            </w:r>
            <w:r>
              <w:rPr>
                <w:rFonts w:ascii="IBM Plex Sans" w:hAnsi="IBM Plex Sans" w:cs="IBM Plex Sans"/>
                <w:b w:val="0"/>
                <w:i w:val="0"/>
                <w:color w:val="161412"/>
                <w:sz w:val="17"/>
              </w:rPr>
              <w:t>inconsistencia</w:t>
            </w:r>
          </w:p>
        </w:tc>
        <w:tc>
          <w:tcPr>
            <w:tcW w:type="dxa" w:w="2772"/>
          </w:tcPr>
          <w:p>
            <w:pPr>
              <w:spacing w:after="40"/>
            </w:pPr>
            <w:r>
              <w:rPr>
                <w:sz w:val="17"/>
              </w:rPr>
            </w:r>
            <w:r>
              <w:rPr>
                <w:rFonts w:ascii="IBM Plex Sans" w:hAnsi="IBM Plex Sans" w:cs="IBM Plex Sans"/>
                <w:b w:val="0"/>
                <w:i w:val="0"/>
                <w:color w:val="161412"/>
                <w:sz w:val="17"/>
              </w:rPr>
              <w:t>tratar como opcional</w:t>
            </w:r>
          </w:p>
        </w:tc>
      </w:tr>
    </w:tbl>
    <w:p>
      <w:pPr>
        <w:spacing w:after="80"/>
      </w:pPr>
    </w:p>
    <w:p>
      <w:r>
        <w:br w:type="page"/>
      </w:r>
    </w:p>
    <w:p>
      <w:pPr>
        <w:spacing w:after="40"/>
      </w:pPr>
      <w:r>
        <w:rPr>
          <w:rFonts w:ascii="IBM Plex Sans" w:hAnsi="IBM Plex Sans" w:cs="IBM Plex Sans"/>
          <w:b/>
          <w:color w:val="1F3A5F"/>
          <w:sz w:val="18"/>
        </w:rPr>
        <w:t>CAPÍTULO 19</w:t>
      </w:r>
    </w:p>
    <w:p>
      <w:pPr>
        <w:spacing w:after="80" w:line="240" w:lineRule="auto"/>
      </w:pPr>
      <w:r>
        <w:rPr>
          <w:rFonts w:ascii="IBM Plex Sans" w:hAnsi="IBM Plex Sans" w:cs="IBM Plex Sans"/>
          <w:color w:val="161412"/>
          <w:sz w:val="220"/>
        </w:rPr>
        <w:t>19</w:t>
      </w:r>
    </w:p>
    <w:p>
      <w:pPr>
        <w:spacing w:after="60" w:line="240" w:lineRule="auto"/>
      </w:pPr>
      <w:r>
        <w:rPr>
          <w:rFonts w:ascii="Newsreader" w:hAnsi="Newsreader" w:cs="Newsreader"/>
          <w:color w:val="161412"/>
          <w:sz w:val="60"/>
        </w:rPr>
        <w:t xml:space="preserve">Accesibilidad perceptiva y reducción de canales</w:t>
      </w:r>
    </w:p>
    <w:p>
      <w:pPr>
        <w:spacing w:after="280"/>
      </w:pPr>
      <w:r>
        <w:rPr>
          <w:rFonts w:ascii="IBM Plex Sans" w:hAnsi="IBM Plex Sans" w:cs="IBM Plex Sans"/>
          <w:color w:val="6A635A"/>
          <w:sz w:val="26"/>
        </w:rPr>
        <w:t>Cuando no todos perciben el mismo evento</w:t>
      </w:r>
    </w:p>
    <w:p>
      <w:pPr>
        <w:pBdr>
          <w:bottom w:val="single" w:sz="4" w:space="4" w:color="1F3A5F"/>
        </w:pBdr>
      </w:pP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¿Qué queda del significado de un evento cuando uno de sus canales desaparece?</w:t>
      </w:r>
    </w:p>
    <w:p>
      <w:pPr>
        <w:spacing w:after="120" w:line="320" w:lineRule="auto"/>
        <w:jc w:val="both"/>
      </w:pPr>
      <w:r>
        <w:rPr>
          <w:rFonts w:ascii="Newsreader" w:hAnsi="Newsreader" w:cs="Newsreader"/>
          <w:b w:val="0"/>
          <w:i w:val="0"/>
          <w:color w:val="161412"/>
        </w:rPr>
        <w:t xml:space="preserve">Una gramática multicanal tiene una obligación inmediata: no puede asumir que todos los usuarios perciben los mismos canales, con la misma intensidad, en las mismas condiciones y con la misma tolerancia. La accesibilidad no debería aparecer al final como cumplimiento. En este libro ocupa un lugar más profundo:</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La accesibilidad es la prueba de estrés de una semántica perceptiva.</w:t>
      </w:r>
    </w:p>
    <w:p>
      <w:pPr>
        <w:spacing w:after="120" w:line="320" w:lineRule="auto"/>
        <w:jc w:val="both"/>
      </w:pPr>
      <w:r>
        <w:rPr>
          <w:rFonts w:ascii="Newsreader" w:hAnsi="Newsreader" w:cs="Newsreader"/>
          <w:b w:val="0"/>
          <w:i w:val="0"/>
          <w:color w:val="161412"/>
        </w:rPr>
        <w:t xml:space="preserve">Este capítulo establece el marco conceptual de esa prueba: qué significa que un canal falte, qué se pierde exactamente cuando falta y cómo se conserva el significado. Su desarrollo práctico llegará en el Capítulo 33, que aplicará esta lógica a flujos completos; aquí construimos las herramientas que ese capítulo usará.</w:t>
      </w:r>
    </w:p>
    <w:p>
      <w:pPr>
        <w:spacing w:before="200" w:after="60"/>
        <w:jc w:val="center"/>
      </w:pPr>
      <w:r>
        <w:drawing>
          <wp:inline xmlns:a="http://schemas.openxmlformats.org/drawingml/2006/main" xmlns:pic="http://schemas.openxmlformats.org/drawingml/2006/picture">
            <wp:extent cx="5029200" cy="2954655"/>
            <wp:docPr id="9006" name="fig19_1"/>
            <wp:cNvGraphicFramePr>
              <a:graphicFrameLocks noChangeAspect="1"/>
            </wp:cNvGraphicFramePr>
            <a:graphic>
              <a:graphicData uri="http://schemas.openxmlformats.org/drawingml/2006/picture">
                <pic:pic>
                  <pic:nvPicPr>
                    <pic:cNvPr id="9006" name="fig19_1"/>
                    <pic:cNvPicPr/>
                  </pic:nvPicPr>
                  <pic:blipFill>
                    <a:blip r:embed="rId905"/>
                    <a:stretch>
                      <a:fillRect/>
                    </a:stretch>
                  </pic:blipFill>
                  <pic:spPr>
                    <a:xfrm>
                      <a:off x="0" y="0"/>
                      <a:ext cx="5029200" cy="2954655"/>
                    </a:xfrm>
                    <a:prstGeom prst="rect"/>
                  </pic:spPr>
                </pic:pic>
              </a:graphicData>
            </a:graphic>
          </wp:inline>
        </w:drawing>
      </w:r>
    </w:p>
    <w:p>
      <w:pPr>
        <w:spacing w:before="320" w:after="40"/>
      </w:pPr>
      <w:r>
        <w:rPr>
          <w:rFonts w:ascii="IBM Plex Sans" w:hAnsi="IBM Plex Sans" w:cs="IBM Plex Sans"/>
          <w:b/>
          <w:color w:val="1F3A5F"/>
          <w:sz w:val="18"/>
        </w:rPr>
        <w:t xml:space="preserve">§ 1</w:t>
      </w:r>
    </w:p>
    <w:p>
      <w:pPr>
        <w:spacing w:after="160" w:line="240" w:lineRule="auto"/>
      </w:pPr>
      <w:r>
        <w:rPr>
          <w:rFonts w:ascii="Newsreader" w:hAnsi="Newsreader" w:cs="Newsreader"/>
          <w:color w:val="161412"/>
          <w:sz w:val="38"/>
        </w:rPr>
        <w:t xml:space="preserve">Fundamento psicoperceptivo: variabilidad perceptiva y redistribución del significado</w:t>
      </w:r>
    </w:p>
    <w:p>
      <w:pPr>
        <w:spacing w:after="120" w:line="320" w:lineRule="auto"/>
        <w:jc w:val="both"/>
      </w:pPr>
      <w:r>
        <w:rPr>
          <w:rFonts w:ascii="Newsreader" w:hAnsi="Newsreader" w:cs="Newsreader"/>
          <w:b w:val="0"/>
          <w:i w:val="0"/>
          <w:color w:val="161412"/>
        </w:rPr>
        <w:t xml:space="preserve">La accesibilidad perceptiva se apoya en una idea simple: no todos los usuarios disponen de los mismos canales en las mismas condiciones. La visión puede estar reducida; el color puede no discriminarse; el sonido puede estar desactivado; el movimiento puede producir malestar. La háptica puede no existir; la atención puede estar fragmentada; el tiempo de procesamiento puede variar. Y estas condiciones no son excepcionales ni siempre permanentes. El usuario con auriculares quitados, el móvil bajo el sol, la mano ocupada, el cansancio de última hora son reducciones de canal tan reales como cualquier diagnóstico. Una semántica perceptiva, por tanto, no puede depender de una única vía sensorial.</w:t>
      </w:r>
    </w:p>
    <w:p>
      <w:pPr>
        <w:spacing w:after="120" w:line="320" w:lineRule="auto"/>
        <w:jc w:val="both"/>
      </w:pPr>
      <w:r>
        <w:rPr>
          <w:rFonts w:ascii="Newsreader" w:hAnsi="Newsreader" w:cs="Newsreader"/>
          <w:b w:val="0"/>
          <w:i w:val="0"/>
          <w:color w:val="161412"/>
        </w:rPr>
        <w:t xml:space="preserve">Los fundamentos del Capítulo 3 ayudan a entender por qué:</w:t>
      </w:r>
    </w:p>
    <w:p>
      <w:pPr>
        <w:spacing w:after="100" w:line="312" w:lineRule="auto"/>
        <w:ind w:left="403" w:hanging="259"/>
        <w:jc w:val="both"/>
      </w:pPr>
      <w:r>
        <w:rPr>
          <w:rFonts w:ascii="IBM Plex Sans" w:hAnsi="IBM Plex Sans" w:cs="IBM Plex Sans"/>
          <w:b/>
          <w:color w:val="1F3A5F"/>
          <w:sz w:val="20"/>
        </w:rPr>
        <w:t xml:space="preserve">•  la Gestalt explica que la organización visual puede fallar si figura, fondo o agrupación no son claras;</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las affordances explican que una acción puede no percibirse como disponible si su forma no la sugiere;</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la atención explica que una señal puede no alcanzar el foco si no tiene suficiente saliencia;</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la valoración del evento explica que una evaluación puede perderse si el evento no comunica riesgo, pérdida o resolución;</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el espacio valencia/activación explica que el intent puede perderse si solo vive en color;</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la multisensorialidad explica que un evento puede sobrevivir si su significado migra entre canales;</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la cognición corporeizada explica que algunos usuarios pueden necesitar otras vías para percibir contacto, encaje o resistencia.</w:t>
      </w:r>
      <w:r>
        <w:rPr>
          <w:rFonts w:ascii="Newsreader" w:hAnsi="Newsreader" w:cs="Newsreader"/>
          <w:b w:val="0"/>
          <w:i w:val="0"/>
          <w:color w:val="161412"/>
        </w:rPr>
        <w:t xml:space="preserve"/>
      </w:r>
    </w:p>
    <w:p>
      <w:pPr>
        <w:spacing w:after="120" w:line="320" w:lineRule="auto"/>
        <w:jc w:val="both"/>
      </w:pPr>
      <w:r>
        <w:rPr>
          <w:rFonts w:ascii="Newsreader" w:hAnsi="Newsreader" w:cs="Newsreader"/>
          <w:b w:val="0"/>
          <w:i w:val="0"/>
          <w:color w:val="161412"/>
        </w:rPr>
        <w:t xml:space="preserve">La pregunta central no es solo si el usuario puede acceder al componente. Es si puede comprender qué evento ocurrió y qué implica. Un botón alcanzable por teclado cuyo resultado nadie anuncia es accesible en el sentido técnico e ilegible en el sentido semántico.</w:t>
      </w:r>
    </w:p>
    <w:p>
      <w:pPr>
        <w:spacing w:before="320" w:after="40"/>
      </w:pPr>
      <w:r>
        <w:rPr>
          <w:rFonts w:ascii="IBM Plex Sans" w:hAnsi="IBM Plex Sans" w:cs="IBM Plex Sans"/>
          <w:b/>
          <w:color w:val="1F3A5F"/>
          <w:sz w:val="18"/>
        </w:rPr>
        <w:t xml:space="preserve">§ 2</w:t>
      </w:r>
    </w:p>
    <w:p>
      <w:pPr>
        <w:spacing w:after="160" w:line="240" w:lineRule="auto"/>
      </w:pPr>
      <w:r>
        <w:rPr>
          <w:rFonts w:ascii="Newsreader" w:hAnsi="Newsreader" w:cs="Newsreader"/>
          <w:color w:val="161412"/>
          <w:sz w:val="38"/>
        </w:rPr>
        <w:t xml:space="preserve">Canal único y fragilidad</w:t>
      </w:r>
    </w:p>
    <w:p>
      <w:pPr>
        <w:spacing w:after="120" w:line="320" w:lineRule="auto"/>
        <w:jc w:val="both"/>
      </w:pPr>
      <w:r>
        <w:rPr>
          <w:rFonts w:ascii="Newsreader" w:hAnsi="Newsreader" w:cs="Newsreader"/>
          <w:b w:val="0"/>
          <w:i w:val="0"/>
          <w:color w:val="161412"/>
        </w:rPr>
        <w:t xml:space="preserve">Si el significado crítico vive en un solo canal, la semántica es vulnerable. Los casos se reconocen enseguida: el error que solo es rojo, el contacto que solo es motion, la alerta que solo es sonido. La pérdida que solo es desaparición, el progreso que solo es spinner, la selección que solo es color. Ninguno de esos diseños es incorrecto por lo que usa, sino por lo que no respalda: cada uno apuesta todo el significado a una sola carta perceptiva. Y basta que esa carta falte —por condición, por contexto o por configuración— para que el evento deje de existir para el usuario.</w:t>
      </w:r>
    </w:p>
    <w:p>
      <w:pPr>
        <w:spacing w:after="120" w:line="320" w:lineRule="auto"/>
        <w:jc w:val="both"/>
      </w:pPr>
      <w:r>
        <w:rPr>
          <w:rFonts w:ascii="Newsreader" w:hAnsi="Newsreader" w:cs="Newsreader"/>
          <w:b w:val="0"/>
          <w:i w:val="0"/>
          <w:color w:val="161412"/>
        </w:rPr>
        <w:t xml:space="preserve">La fragilidad, además, no se reparte por igual entre familias e intents. Un contact que falla produce un doble click; un signal.alert + threat que falla puede producir una pérdida real. Cuanto más grave es la consecuencia del evento, menos aceptable es que dependa de un canal único.</w:t>
      </w:r>
    </w:p>
    <w:p>
      <w:pPr>
        <w:spacing w:before="320" w:after="40"/>
      </w:pPr>
      <w:r>
        <w:rPr>
          <w:rFonts w:ascii="IBM Plex Sans" w:hAnsi="IBM Plex Sans" w:cs="IBM Plex Sans"/>
          <w:b/>
          <w:color w:val="1F3A5F"/>
          <w:sz w:val="18"/>
        </w:rPr>
        <w:t xml:space="preserve">§ 3</w:t>
      </w:r>
    </w:p>
    <w:p>
      <w:pPr>
        <w:spacing w:after="160" w:line="240" w:lineRule="auto"/>
      </w:pPr>
      <w:r>
        <w:rPr>
          <w:rFonts w:ascii="Newsreader" w:hAnsi="Newsreader" w:cs="Newsreader"/>
          <w:color w:val="161412"/>
          <w:sz w:val="38"/>
        </w:rPr>
        <w:t xml:space="preserve">Migración semántica</w:t>
      </w:r>
    </w:p>
    <w:p>
      <w:pPr>
        <w:spacing w:after="120" w:line="320" w:lineRule="auto"/>
        <w:jc w:val="both"/>
      </w:pPr>
      <w:r>
        <w:rPr>
          <w:rFonts w:ascii="Newsreader" w:hAnsi="Newsreader" w:cs="Newsreader"/>
          <w:b w:val="0"/>
          <w:i w:val="0"/>
          <w:color w:val="161412"/>
        </w:rPr>
        <w:t xml:space="preserve">Cuando un canal se reduce, no basta con quitarlo. Hay que preguntar qué significado transportaba, y darle otro cuerpo. Si motion transportaba causalidad, debe migrar a estado, texto, sonido o háptica. Si el color transportaba valencia, debe migrar a forma, icono, texto o posición. Si el sonido transportaba urgencia, debe migrar a presencia, persistencia o live region. Si la háptica transportaba encaje, debe migrar a motion, forma o sonido.</w:t>
      </w:r>
    </w:p>
    <w:p>
      <w:pPr>
        <w:spacing w:after="120" w:line="320" w:lineRule="auto"/>
        <w:jc w:val="both"/>
      </w:pPr>
      <w:r>
        <w:rPr>
          <w:rFonts w:ascii="Newsreader" w:hAnsi="Newsreader" w:cs="Newsreader"/>
          <w:b w:val="0"/>
          <w:i w:val="0"/>
          <w:color w:val="161412"/>
        </w:rPr>
        <w:t xml:space="preserve">Nótese que la migración no copia el estímulo: traduce la función. El objetivo no es que la interfaz «se vea parecida» sin el canal, sino que el usuario siga leyendo el mismo evento con la misma familia y el mismo intent. Esa es la diferencia entre adaptar un efecto y conservar una semántica, y es la operación que el Capítulo 33 practicará caso por caso.</w:t>
      </w:r>
    </w:p>
    <w:p>
      <w:pPr>
        <w:spacing w:before="320" w:after="40"/>
      </w:pPr>
      <w:r>
        <w:rPr>
          <w:rFonts w:ascii="IBM Plex Sans" w:hAnsi="IBM Plex Sans" w:cs="IBM Plex Sans"/>
          <w:b/>
          <w:color w:val="1F3A5F"/>
          <w:sz w:val="18"/>
        </w:rPr>
        <w:t xml:space="preserve">§ 4</w:t>
      </w:r>
    </w:p>
    <w:p>
      <w:pPr>
        <w:spacing w:after="160" w:line="240" w:lineRule="auto"/>
      </w:pPr>
      <w:r>
        <w:rPr>
          <w:rFonts w:ascii="Newsreader" w:hAnsi="Newsreader" w:cs="Newsreader"/>
          <w:color w:val="161412"/>
          <w:sz w:val="38"/>
        </w:rPr>
        <w:t xml:space="preserve">Accesibilidad y familias</w:t>
      </w:r>
    </w:p>
    <w:p>
      <w:pPr>
        <w:spacing w:after="120" w:line="320" w:lineRule="auto"/>
        <w:jc w:val="both"/>
      </w:pPr>
      <w:r>
        <w:rPr>
          <w:rFonts w:ascii="Newsreader" w:hAnsi="Newsreader" w:cs="Newsreader"/>
          <w:b w:val="0"/>
          <w:i w:val="0"/>
          <w:color w:val="161412"/>
        </w:rPr>
        <w:t xml:space="preserve">Cada familia tiene su condición de supervivencia. contact debe sobrevivir sin motion: estado pressed, foco visible, respuesta textual si hace falta. commit debe dejar huella: un resultado que solo existió un instante no existió para todos. signal no puede depender solo de color o de sonido: necesita forma, texto y persistencia. handle necesita alternativas a drag: mover también es un evento de teclado. emerge debe sincronizar presencia visual y presencia operativa: lo que aparece en pantalla debe aparecer también para las tecnologías de asistencia. shift debe gestionar foco y orientación: cruzar un marco sin anunciarlo deja al usuario en territorio desconocido. sustain necesita texto, estado y control: la continuidad no puede ser solo un giro.</w:t>
      </w:r>
    </w:p>
    <w:p>
      <w:pPr>
        <w:spacing w:before="320" w:after="40"/>
      </w:pPr>
      <w:r>
        <w:rPr>
          <w:rFonts w:ascii="IBM Plex Sans" w:hAnsi="IBM Plex Sans" w:cs="IBM Plex Sans"/>
          <w:b/>
          <w:color w:val="1F3A5F"/>
          <w:sz w:val="18"/>
        </w:rPr>
        <w:t xml:space="preserve">§ 5</w:t>
      </w:r>
    </w:p>
    <w:p>
      <w:pPr>
        <w:spacing w:after="160" w:line="240" w:lineRule="auto"/>
      </w:pPr>
      <w:r>
        <w:rPr>
          <w:rFonts w:ascii="Newsreader" w:hAnsi="Newsreader" w:cs="Newsreader"/>
          <w:color w:val="161412"/>
          <w:sz w:val="38"/>
        </w:rPr>
        <w:t xml:space="preserve">Síntesis</w:t>
      </w:r>
    </w:p>
    <w:p>
      <w:pPr>
        <w:spacing w:after="120" w:line="320" w:lineRule="auto"/>
        <w:jc w:val="both"/>
      </w:pPr>
      <w:r>
        <w:rPr>
          <w:rFonts w:ascii="Newsreader" w:hAnsi="Newsreader" w:cs="Newsreader"/>
          <w:b w:val="0"/>
          <w:i w:val="0"/>
          <w:color w:val="161412"/>
        </w:rPr>
        <w:t xml:space="preserve">La accesibilidad perceptiva no es una excepción al sistema: es la prueba de que familias, intents y canales no dependen de una condición ideal de percepción. Una interacción semántica es robusta cuando conserva su significado bajo condiciones variables, y ese criterio —no la lista de atributos cumplidos— es el que este libro adopta como medida.</w:t>
      </w:r>
    </w:p>
    <w:p>
      <w:r>
        <w:br w:type="page"/>
      </w:r>
    </w:p>
    <w:p>
      <w:pPr>
        <w:spacing w:after="40"/>
      </w:pPr>
      <w:r>
        <w:rPr>
          <w:rFonts w:ascii="IBM Plex Sans" w:hAnsi="IBM Plex Sans" w:cs="IBM Plex Sans"/>
          <w:b/>
          <w:color w:val="1F3A5F"/>
          <w:sz w:val="18"/>
        </w:rPr>
        <w:t>CAPÍTULO 20</w:t>
      </w:r>
    </w:p>
    <w:p>
      <w:pPr>
        <w:spacing w:after="80" w:line="240" w:lineRule="auto"/>
      </w:pPr>
      <w:r>
        <w:rPr>
          <w:rFonts w:ascii="IBM Plex Sans" w:hAnsi="IBM Plex Sans" w:cs="IBM Plex Sans"/>
          <w:color w:val="161412"/>
          <w:sz w:val="220"/>
        </w:rPr>
        <w:t>20</w:t>
      </w:r>
    </w:p>
    <w:p>
      <w:pPr>
        <w:spacing w:after="60" w:line="240" w:lineRule="auto"/>
      </w:pPr>
      <w:r>
        <w:rPr>
          <w:rFonts w:ascii="Newsreader" w:hAnsi="Newsreader" w:cs="Newsreader"/>
          <w:color w:val="161412"/>
          <w:sz w:val="60"/>
        </w:rPr>
        <w:t xml:space="preserve">Coordinación multicanal</w:t>
      </w:r>
    </w:p>
    <w:p>
      <w:pPr>
        <w:spacing w:after="280"/>
      </w:pPr>
      <w:r>
        <w:rPr>
          <w:rFonts w:ascii="IBM Plex Sans" w:hAnsi="IBM Plex Sans" w:cs="IBM Plex Sans"/>
          <w:color w:val="6A635A"/>
          <w:sz w:val="26"/>
        </w:rPr>
        <w:t>Cuando varios canales dicen un solo evento</w:t>
      </w:r>
    </w:p>
    <w:p>
      <w:pPr>
        <w:pBdr>
          <w:bottom w:val="single" w:sz="4" w:space="4" w:color="1F3A5F"/>
        </w:pBdr>
      </w:pP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¿Qué hace falta para que varios canales cuenten un solo evento y no varios?</w:t>
      </w:r>
    </w:p>
    <w:p>
      <w:pPr>
        <w:spacing w:after="120" w:line="320" w:lineRule="auto"/>
        <w:jc w:val="both"/>
      </w:pPr>
      <w:r>
        <w:rPr>
          <w:rFonts w:ascii="Newsreader" w:hAnsi="Newsreader" w:cs="Newsreader"/>
          <w:b w:val="0"/>
          <w:i w:val="0"/>
          <w:color w:val="161412"/>
        </w:rPr>
        <w:t xml:space="preserve">Una interfaz semántica no consiste en activar muchos canales, sino en que, cuando varios participan, digan lo mismo. O, más exactamente:</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Todos los canales activos deben participar en la misma lectura del evento.</w:t>
      </w:r>
    </w:p>
    <w:p>
      <w:pPr>
        <w:spacing w:before="200" w:after="60"/>
        <w:jc w:val="center"/>
      </w:pPr>
      <w:r>
        <w:drawing>
          <wp:inline xmlns:a="http://schemas.openxmlformats.org/drawingml/2006/main" xmlns:pic="http://schemas.openxmlformats.org/drawingml/2006/picture">
            <wp:extent cx="5029200" cy="2954655"/>
            <wp:docPr id="9007" name="fig20_1"/>
            <wp:cNvGraphicFramePr>
              <a:graphicFrameLocks noChangeAspect="1"/>
            </wp:cNvGraphicFramePr>
            <a:graphic>
              <a:graphicData uri="http://schemas.openxmlformats.org/drawingml/2006/picture">
                <pic:pic>
                  <pic:nvPicPr>
                    <pic:cNvPr id="9007" name="fig20_1"/>
                    <pic:cNvPicPr/>
                  </pic:nvPicPr>
                  <pic:blipFill>
                    <a:blip r:embed="rId906"/>
                    <a:stretch>
                      <a:fillRect/>
                    </a:stretch>
                  </pic:blipFill>
                  <pic:spPr>
                    <a:xfrm>
                      <a:off x="0" y="0"/>
                      <a:ext cx="5029200" cy="2954655"/>
                    </a:xfrm>
                    <a:prstGeom prst="rect"/>
                  </pic:spPr>
                </pic:pic>
              </a:graphicData>
            </a:graphic>
          </wp:inline>
        </w:drawing>
      </w:r>
    </w:p>
    <w:p>
      <w:pPr>
        <w:spacing w:before="320" w:after="40"/>
      </w:pPr>
      <w:r>
        <w:rPr>
          <w:rFonts w:ascii="IBM Plex Sans" w:hAnsi="IBM Plex Sans" w:cs="IBM Plex Sans"/>
          <w:b/>
          <w:color w:val="1F3A5F"/>
          <w:sz w:val="18"/>
        </w:rPr>
        <w:t xml:space="preserve">§ 1</w:t>
      </w:r>
    </w:p>
    <w:p>
      <w:pPr>
        <w:spacing w:after="160" w:line="240" w:lineRule="auto"/>
      </w:pPr>
      <w:r>
        <w:rPr>
          <w:rFonts w:ascii="Newsreader" w:hAnsi="Newsreader" w:cs="Newsreader"/>
          <w:color w:val="161412"/>
          <w:sz w:val="38"/>
        </w:rPr>
        <w:t xml:space="preserve">Fundamento psicoperceptivo: integración multisensorial y congruencia</w:t>
      </w:r>
    </w:p>
    <w:p>
      <w:pPr>
        <w:spacing w:after="120" w:line="320" w:lineRule="auto"/>
        <w:jc w:val="both"/>
      </w:pPr>
      <w:r>
        <w:rPr>
          <w:rFonts w:ascii="Newsreader" w:hAnsi="Newsreader" w:cs="Newsreader"/>
          <w:b w:val="0"/>
          <w:i w:val="0"/>
          <w:color w:val="161412"/>
        </w:rPr>
        <w:t xml:space="preserve">La coordinación multicanal se apoya en un principio general de la percepción: el sistema perceptivo tiende a integrar señales de distintas modalidades cuando parecen pertenecer al mismo evento. Esa integración depende de la proximidad temporal, la correspondencia espacial, la congruencia semántica, la intensidad compatible, la plausibilidad causal, las expectativas previas y la coherencia afectiva. Si un movimiento, un sonido y una vibración ocurren en el momento adecuado y parecen corresponder al mismo tipo de evento, el usuario puede percibirlos como una unidad; si llegan desfasados, con intensidades contradictorias o con significados afectivos distintos, se separan.</w:t>
      </w:r>
    </w:p>
    <w:p>
      <w:pPr>
        <w:spacing w:after="120" w:line="320" w:lineRule="auto"/>
        <w:jc w:val="both"/>
      </w:pPr>
      <w:r>
        <w:rPr>
          <w:rFonts w:ascii="Newsreader" w:hAnsi="Newsreader" w:cs="Newsreader"/>
          <w:b w:val="0"/>
          <w:i w:val="0"/>
          <w:color w:val="161412"/>
        </w:rPr>
        <w:t xml:space="preserve">La idea de integración temporal explica por qué un sonido de contacto que llega tarde se percibe como añadido, no como parte del press. La correspondencia crossmodal explica por qué un objeto que se mueve como algo pesado pero suena como algo ligero produce conflicto. Y la teoría de valencia y activación explica por qué los canales deben modular el mismo intent: un mensaje de error con animación festiva no es una excentricidad estilística, es una contradicción evaluativa.</w:t>
      </w:r>
    </w:p>
    <w:p>
      <w:pPr>
        <w:spacing w:before="320" w:after="40"/>
      </w:pPr>
      <w:r>
        <w:rPr>
          <w:rFonts w:ascii="IBM Plex Sans" w:hAnsi="IBM Plex Sans" w:cs="IBM Plex Sans"/>
          <w:b/>
          <w:color w:val="1F3A5F"/>
          <w:sz w:val="18"/>
        </w:rPr>
        <w:t xml:space="preserve">§ 2</w:t>
      </w:r>
    </w:p>
    <w:p>
      <w:pPr>
        <w:spacing w:after="160" w:line="240" w:lineRule="auto"/>
      </w:pPr>
      <w:r>
        <w:rPr>
          <w:rFonts w:ascii="Newsreader" w:hAnsi="Newsreader" w:cs="Newsreader"/>
          <w:color w:val="161412"/>
          <w:sz w:val="38"/>
        </w:rPr>
        <w:t xml:space="preserve">La secuencia completa del sistema</w:t>
      </w:r>
    </w:p>
    <w:p>
      <w:pPr>
        <w:spacing w:after="120" w:line="320" w:lineRule="auto"/>
        <w:jc w:val="both"/>
      </w:pPr>
      <w:r>
        <w:rPr>
          <w:rFonts w:ascii="Newsreader" w:hAnsi="Newsreader" w:cs="Newsreader"/>
          <w:b w:val="0"/>
          <w:i w:val="0"/>
          <w:color w:val="161412"/>
        </w:rPr>
        <w:t xml:space="preserve">La coordinación no empieza en los canales: empieza en el evento. La secuencia completa es evento → familia semántica → verbo / fase → evaluación si procede → intent → canales coordinados. Cuando esa secuencia se rompe, aparecen los errores característicos: canales sin evento, intent sin familia, color sin evaluación, sonido sin necesidad, motion sin semántica, accesibilidad como parche posterior.</w:t>
      </w:r>
    </w:p>
    <w:p>
      <w:pPr>
        <w:spacing w:after="120" w:line="320" w:lineRule="auto"/>
        <w:jc w:val="both"/>
      </w:pPr>
      <w:r>
        <w:rPr>
          <w:rFonts w:ascii="Newsreader" w:hAnsi="Newsreader" w:cs="Newsreader"/>
          <w:b w:val="0"/>
          <w:i w:val="0"/>
          <w:color w:val="161412"/>
        </w:rPr>
        <w:t xml:space="preserve">Un ejemplo positivo condensa la secuencia. El usuario guarda un documento en un servidor lento: el botón se comprime al instante (contact, canal tiempo y micro motion), aparece una barra con el texto «Guardando…» (sustain, canales presencia, forma y texto), y al terminar la barra se resuelve en una marca de verificación con un verde discreto (commit.save + affirm, canales forma, color y persistencia breve). Tres eventos, siete canales, una sola historia. El mismo flujo descoordinado se reconoce también de inmediato: el botón no responde, la barra aparece tarde, la marca de éxito llega con un rebote triunfal y un sonido de fanfarria por un autoguardado rutinario.</w:t>
      </w:r>
    </w:p>
    <w:p>
      <w:pPr>
        <w:spacing w:before="320" w:after="40"/>
      </w:pPr>
      <w:r>
        <w:rPr>
          <w:rFonts w:ascii="IBM Plex Sans" w:hAnsi="IBM Plex Sans" w:cs="IBM Plex Sans"/>
          <w:b/>
          <w:color w:val="1F3A5F"/>
          <w:sz w:val="18"/>
        </w:rPr>
        <w:t xml:space="preserve">§ 3</w:t>
      </w:r>
    </w:p>
    <w:p>
      <w:pPr>
        <w:spacing w:after="160" w:line="240" w:lineRule="auto"/>
      </w:pPr>
      <w:r>
        <w:rPr>
          <w:rFonts w:ascii="Newsreader" w:hAnsi="Newsreader" w:cs="Newsreader"/>
          <w:color w:val="161412"/>
          <w:sz w:val="38"/>
        </w:rPr>
        <w:t xml:space="preserve">Congruencia, redundancia y sobrecarga</w:t>
      </w:r>
    </w:p>
    <w:p>
      <w:pPr>
        <w:spacing w:after="120" w:line="320" w:lineRule="auto"/>
        <w:jc w:val="both"/>
      </w:pPr>
      <w:r>
        <w:rPr>
          <w:rFonts w:ascii="Newsreader" w:hAnsi="Newsreader" w:cs="Newsreader"/>
          <w:b w:val="0"/>
          <w:i w:val="0"/>
          <w:color w:val="161412"/>
        </w:rPr>
        <w:t xml:space="preserve">La coordinación exige congruencia en cinco planos. Temporal: las señales del mismo evento entran juntas o en un orden que respete su relación causal. Semántica: todos los canales cuentan la misma clase de evento —si la forma dice advertencia, el motion no puede decir celebración—. Afectiva: todos modulan el mismo intent, sin que un canal grite lo que otro susurra. De intensidad: la energía de cada canal corresponde a la consecuencia del evento, no a las ganas de lucirlo. Y accesible: la lectura sobrevive cuando cualquiera de los canales desaparece.</w:t>
      </w:r>
    </w:p>
    <w:p>
      <w:pPr>
        <w:spacing w:after="120" w:line="320" w:lineRule="auto"/>
        <w:jc w:val="both"/>
      </w:pPr>
      <w:r>
        <w:rPr>
          <w:rFonts w:ascii="Newsreader" w:hAnsi="Newsreader" w:cs="Newsreader"/>
          <w:b w:val="0"/>
          <w:i w:val="0"/>
          <w:color w:val="161412"/>
        </w:rPr>
        <w:t xml:space="preserve">La coordinación pide además redundancia, pero de un tipo preciso: la redundancia significativa no es repetir por repetir, sino hacer que el significado sobreviva cuando un canal falla. El icono y el texto del error no «duplican» el borde rojo; lo respaldan.</w:t>
      </w:r>
    </w:p>
    <w:p>
      <w:pPr>
        <w:spacing w:after="120" w:line="320" w:lineRule="auto"/>
        <w:jc w:val="both"/>
      </w:pPr>
      <w:r>
        <w:rPr>
          <w:rFonts w:ascii="Newsreader" w:hAnsi="Newsreader" w:cs="Newsreader"/>
          <w:b w:val="0"/>
          <w:i w:val="0"/>
          <w:color w:val="161412"/>
        </w:rPr>
        <w:t xml:space="preserve">Su exceso también tiene nombre. Una interfaz puede activar demasiados canales: cada click vibra, cada confirmación suena, cada cambio rebota, cada error interrumpe, cada success celebra. El resultado no es claridad: es fatiga. La alternativa a la fragilidad no es la saturación, sino la asignación: cada canal activo con una función, y ningún canal activo sin ella.</w:t>
      </w:r>
    </w:p>
    <w:p>
      <w:pPr>
        <w:spacing w:before="320" w:after="40"/>
      </w:pPr>
      <w:r>
        <w:rPr>
          <w:rFonts w:ascii="IBM Plex Sans" w:hAnsi="IBM Plex Sans" w:cs="IBM Plex Sans"/>
          <w:b/>
          <w:color w:val="1F3A5F"/>
          <w:sz w:val="18"/>
        </w:rPr>
        <w:t xml:space="preserve">§ 4</w:t>
      </w:r>
    </w:p>
    <w:p>
      <w:pPr>
        <w:spacing w:after="160" w:line="240" w:lineRule="auto"/>
      </w:pPr>
      <w:r>
        <w:rPr>
          <w:rFonts w:ascii="Newsreader" w:hAnsi="Newsreader" w:cs="Newsreader"/>
          <w:color w:val="161412"/>
          <w:sz w:val="38"/>
        </w:rPr>
        <w:t xml:space="preserve">Síntesis</w:t>
      </w:r>
    </w:p>
    <w:p>
      <w:pPr>
        <w:spacing w:after="120" w:line="320" w:lineRule="auto"/>
        <w:jc w:val="both"/>
      </w:pPr>
      <w:r>
        <w:rPr>
          <w:rFonts w:ascii="Newsreader" w:hAnsi="Newsreader" w:cs="Newsreader"/>
          <w:b w:val="0"/>
          <w:i w:val="0"/>
          <w:color w:val="161412"/>
        </w:rPr>
        <w:t xml:space="preserve">La Parte II ha separado los canales para poder entenderlos, pero el usuario no los vive separados: la interfaz debe volver a unirlos.</w:t>
      </w:r>
    </w:p>
    <w:p>
      <w:pPr>
        <w:spacing w:before="160" w:after="40"/>
        <w:pBdr>
          <w:left w:val="single" w:sz="18" w:space="12" w:color="1F3A5F"/>
        </w:pBdr>
      </w:pPr>
      <w:r>
        <w:rPr>
          <w:rFonts w:ascii="IBM Plex Sans" w:hAnsi="IBM Plex Sans" w:cs="IBM Plex Sans"/>
          <w:b/>
          <w:color w:val="1F3A5F"/>
          <w:sz w:val="16"/>
        </w:rPr>
        <w:t xml:space="preserve">DISTINCIÓN</w:t>
      </w:r>
    </w:p>
    <w:p>
      <w:pPr>
        <w:spacing w:after="120" w:line="312" w:lineRule="auto"/>
        <w:pBdr>
          <w:left w:val="single" w:sz="18" w:space="12" w:color="1F3A5F"/>
        </w:pBdr>
      </w:pPr>
      <w:r>
        <w:rPr>
          <w:rFonts w:ascii="Newsreader" w:hAnsi="Newsreader" w:cs="Newsreader"/>
          <w:b w:val="0"/>
          <w:i/>
          <w:color w:val="3A352F"/>
        </w:rPr>
        <w:t xml:space="preserve">Una interacción semántica multicanal no es una colección de efectos. Es una composición perceptiva orientada a un único evento.</w:t>
      </w:r>
    </w:p>
    <w:p>
      <w:pPr>
        <w:spacing w:before="240" w:after="100"/>
      </w:pPr>
      <w:r>
        <w:rPr>
          <w:rFonts w:ascii="Newsreader" w:hAnsi="Newsreader" w:cs="Newsreader"/>
          <w:i/>
          <w:color w:val="1F3A5F"/>
          <w:sz w:val="28"/>
        </w:rPr>
        <w:t xml:space="preserve">Cierre de la Parte II</w:t>
      </w:r>
    </w:p>
    <w:p>
      <w:pPr>
        <w:spacing w:after="120" w:line="320" w:lineRule="auto"/>
        <w:jc w:val="both"/>
      </w:pPr>
      <w:r>
        <w:rPr>
          <w:rFonts w:ascii="Newsreader" w:hAnsi="Newsreader" w:cs="Newsreader"/>
          <w:b w:val="0"/>
          <w:i w:val="0"/>
          <w:color w:val="161412"/>
        </w:rPr>
        <w:t xml:space="preserve">Con este capítulo se cierra la Parte II. Hemos separado los canales para poder entenderlos —tiempo, motion, presencia, profundidad, forma, color, sonido, háptica, la accesibilidad y su coordinación—, pero el usuario no vive esos canales como capas separadas: los vive como un único evento, o como ruido si la coordinación falla. La tesis de esta parte puede formularse así:</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El evento es la unidad de significado. Los canales son la materia sensible. La coordinación convierte esa materia en experiencia perceptiva unificada.</w:t>
      </w:r>
    </w:p>
    <w:p>
      <w:pPr>
        <w:spacing w:after="120" w:line="320" w:lineRule="auto"/>
        <w:jc w:val="both"/>
      </w:pPr>
      <w:r>
        <w:rPr>
          <w:rFonts w:ascii="Newsreader" w:hAnsi="Newsreader" w:cs="Newsreader"/>
          <w:b w:val="0"/>
          <w:i w:val="0"/>
          <w:color w:val="161412"/>
        </w:rPr>
        <w:t xml:space="preserve">La siguiente parte vuelve al eje semántico del sistema: las familias del evento. Allí veremos cómo contact, commit, signal, handle, emerge, shift, sustain y delegate no son categorías abstractas, sino formas recurrentes de organizar acción, consecuencia, atención, manipulación, presencia, marco, continuidad y reparto de iniciativa.</w:t>
      </w:r>
    </w:p>
    <w:p>
      <w:r>
        <w:br w:type="page"/>
      </w:r>
    </w:p>
    <w:p>
      <w:pPr>
        <w:spacing w:before="1800" w:after="120"/>
      </w:pPr>
      <w:r>
        <w:rPr>
          <w:rFonts w:ascii="IBM Plex Sans" w:hAnsi="IBM Plex Sans" w:cs="IBM Plex Sans"/>
          <w:b/>
          <w:color w:val="1F3A5F"/>
          <w:sz w:val="18"/>
        </w:rPr>
        <w:t xml:space="preserve">PARTE III</w:t>
      </w:r>
    </w:p>
    <w:p>
      <w:pPr>
        <w:spacing w:after="80" w:line="240" w:lineRule="auto"/>
      </w:pPr>
      <w:r>
        <w:rPr>
          <w:rFonts w:ascii="IBM Plex Sans" w:hAnsi="IBM Plex Sans" w:cs="IBM Plex Sans"/>
          <w:color w:val="1F3A5F"/>
          <w:sz w:val="220"/>
        </w:rPr>
        <w:t>III</w:t>
      </w:r>
    </w:p>
    <w:p>
      <w:pPr>
        <w:spacing w:after="60" w:line="240" w:lineRule="auto"/>
      </w:pPr>
      <w:r>
        <w:rPr>
          <w:rFonts w:ascii="Newsreader" w:hAnsi="Newsreader" w:cs="Newsreader"/>
          <w:color w:val="161412"/>
          <w:sz w:val="72"/>
        </w:rPr>
        <w:t>Familias</w:t>
      </w:r>
    </w:p>
    <w:p>
      <w:pPr>
        <w:spacing w:after="200"/>
      </w:pPr>
      <w:r>
        <w:rPr>
          <w:rFonts w:ascii="Newsreader" w:hAnsi="Newsreader" w:cs="Newsreader"/>
          <w:i/>
          <w:color w:val="6A635A"/>
          <w:sz w:val="30"/>
        </w:rPr>
        <w:t>Families</w:t>
      </w:r>
    </w:p>
    <w:p>
      <w:pPr>
        <w:spacing w:after="120" w:line="320" w:lineRule="auto"/>
      </w:pPr>
      <w:r>
        <w:rPr>
          <w:rFonts w:ascii="Newsreader" w:hAnsi="Newsreader" w:cs="Newsreader"/>
          <w:color w:val="161412"/>
          <w:sz w:val="26"/>
        </w:rPr>
        <w:t>Las ocho familias semánticas, una a una: qué nombran, cómo se expresan, dónde están sus fronteras y cómo fallan.</w:t>
      </w:r>
    </w:p>
    <w:p>
      <w:r>
        <w:br w:type="page"/>
      </w:r>
    </w:p>
    <w:p>
      <w:pPr>
        <w:spacing w:after="40"/>
      </w:pPr>
      <w:r>
        <w:rPr>
          <w:rFonts w:ascii="IBM Plex Sans" w:hAnsi="IBM Plex Sans" w:cs="IBM Plex Sans"/>
          <w:b/>
          <w:color w:val="1F3A5F"/>
          <w:sz w:val="18"/>
        </w:rPr>
        <w:t>CAPÍTULO 21</w:t>
      </w:r>
    </w:p>
    <w:p>
      <w:pPr>
        <w:spacing w:after="80" w:line="240" w:lineRule="auto"/>
      </w:pPr>
      <w:r>
        <w:rPr>
          <w:rFonts w:ascii="IBM Plex Sans" w:hAnsi="IBM Plex Sans" w:cs="IBM Plex Sans"/>
          <w:color w:val="161412"/>
          <w:sz w:val="220"/>
        </w:rPr>
        <w:t>21</w:t>
      </w:r>
    </w:p>
    <w:p>
      <w:pPr>
        <w:spacing w:after="60" w:line="240" w:lineRule="auto"/>
      </w:pPr>
      <w:r>
        <w:rPr>
          <w:rFonts w:ascii="Newsreader" w:hAnsi="Newsreader" w:cs="Newsreader"/>
          <w:color w:val="161412"/>
          <w:sz w:val="60"/>
        </w:rPr>
        <w:t xml:space="preserve">Cómo leer los capítulos de familia</w:t>
      </w:r>
    </w:p>
    <w:p>
      <w:pPr>
        <w:spacing w:after="280"/>
      </w:pPr>
      <w:r>
        <w:rPr>
          <w:rFonts w:ascii="IBM Plex Sans" w:hAnsi="IBM Plex Sans" w:cs="IBM Plex Sans"/>
          <w:color w:val="6A635A"/>
          <w:sz w:val="26"/>
        </w:rPr>
        <w:t xml:space="preserve">La plantilla común de las ocho familias y cómo usarla</w:t>
      </w:r>
    </w:p>
    <w:p>
      <w:pPr>
        <w:pBdr>
          <w:bottom w:val="single" w:sz="4" w:space="4" w:color="1F3A5F"/>
        </w:pBdr>
      </w:pP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¿Cómo están construidos los ocho capítulos de familia que siguen, y cómo conviene leerlos?</w:t>
      </w:r>
    </w:p>
    <w:p>
      <w:pPr>
        <w:spacing w:after="120" w:line="320" w:lineRule="auto"/>
        <w:jc w:val="both"/>
      </w:pPr>
      <w:r>
        <w:rPr>
          <w:rFonts w:ascii="Newsreader" w:hAnsi="Newsreader" w:cs="Newsreader"/>
          <w:b w:val="0"/>
          <w:i w:val="0"/>
          <w:color w:val="161412"/>
        </w:rPr>
        <w:t xml:space="preserve">La Parte II terminó con los canales aprendiendo a decir una sola cosa. La Parte III cambia de plano: deja de construir la gramática general y empieza a recorrer, una por una, las ocho familias que organizan la semántica del evento. Son contact, commit, signal, handle, emerge, shift, sustain y delegate; cada una tiene su capítulo. Este, más breve, explica cómo están construidos esos capítulos y cómo conviene usarlos.</w:t>
      </w:r>
    </w:p>
    <w:p>
      <w:pPr>
        <w:spacing w:after="120" w:line="320" w:lineRule="auto"/>
        <w:jc w:val="both"/>
      </w:pPr>
      <w:r>
        <w:rPr>
          <w:rFonts w:ascii="Newsreader" w:hAnsi="Newsreader" w:cs="Newsreader"/>
          <w:b w:val="0"/>
          <w:i w:val="0"/>
          <w:color w:val="161412"/>
        </w:rPr>
        <w:t xml:space="preserve">El Capítulo 8 ya presentó las familias y su reducción desde el campo exploratorio, y el 9 fijó cuáles aceptan evaluación. No hace falta repetir nada de eso; basta re-anclar la definición que todo lo que sigue da por sabida.</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Una familia semántica es una clase de evento perceptivamente recurrente que responde a una misma pregunta del usuario.</w:t>
      </w:r>
    </w:p>
    <w:p>
      <w:pPr>
        <w:spacing w:before="320" w:after="40"/>
      </w:pPr>
      <w:r>
        <w:rPr>
          <w:rFonts w:ascii="IBM Plex Sans" w:hAnsi="IBM Plex Sans" w:cs="IBM Plex Sans"/>
          <w:b/>
          <w:color w:val="1F3A5F"/>
          <w:sz w:val="18"/>
        </w:rPr>
        <w:t xml:space="preserve">§ 1</w:t>
      </w:r>
    </w:p>
    <w:p>
      <w:pPr>
        <w:spacing w:after="160" w:line="240" w:lineRule="auto"/>
      </w:pPr>
      <w:r>
        <w:rPr>
          <w:rFonts w:ascii="Newsreader" w:hAnsi="Newsreader" w:cs="Newsreader"/>
          <w:color w:val="161412"/>
          <w:sz w:val="38"/>
        </w:rPr>
        <w:t xml:space="preserve">La ficha de apertura</w:t>
      </w:r>
    </w:p>
    <w:p>
      <w:pPr>
        <w:spacing w:after="120" w:line="320" w:lineRule="auto"/>
        <w:jc w:val="both"/>
      </w:pPr>
      <w:r>
        <w:rPr>
          <w:rFonts w:ascii="Newsreader" w:hAnsi="Newsreader" w:cs="Newsreader"/>
          <w:b w:val="0"/>
          <w:i w:val="0"/>
          <w:color w:val="161412"/>
        </w:rPr>
        <w:t xml:space="preserve">Los capítulos de contact a sustain abren con una ficha visual (Figuras 22.1 a 28.1) que condensa la familia en tres líneas. La primera es la </w:t>
      </w:r>
      <w:r>
        <w:rPr>
          <w:rFonts w:ascii="Newsreader" w:hAnsi="Newsreader" w:cs="Newsreader"/>
          <w:b w:val="0"/>
          <w:i/>
          <w:color w:val="161412"/>
        </w:rPr>
        <w:t xml:space="preserve">pregunta perceptiva</w:t>
      </w:r>
      <w:r>
        <w:rPr>
          <w:rFonts w:ascii="Newsreader" w:hAnsi="Newsreader" w:cs="Newsreader"/>
          <w:b w:val="0"/>
          <w:i w:val="0"/>
          <w:color w:val="161412"/>
        </w:rPr>
        <w:t xml:space="preserve"> que responde. La segunda, la </w:t>
      </w:r>
      <w:r>
        <w:rPr>
          <w:rFonts w:ascii="Newsreader" w:hAnsi="Newsreader" w:cs="Newsreader"/>
          <w:b w:val="0"/>
          <w:i/>
          <w:color w:val="161412"/>
        </w:rPr>
        <w:t xml:space="preserve">secuencia canónica</w:t>
      </w:r>
      <w:r>
        <w:rPr>
          <w:rFonts w:ascii="Newsreader" w:hAnsi="Newsreader" w:cs="Newsreader"/>
          <w:b w:val="0"/>
          <w:i w:val="0"/>
          <w:color w:val="161412"/>
        </w:rPr>
        <w:t xml:space="preserve"> en la que suele aparecer, escrita en la notación del libro. La tercera, la </w:t>
      </w:r>
      <w:r>
        <w:rPr>
          <w:rFonts w:ascii="Newsreader" w:hAnsi="Newsreader" w:cs="Newsreader"/>
          <w:b w:val="0"/>
          <w:i/>
          <w:color w:val="161412"/>
        </w:rPr>
        <w:t xml:space="preserve">frontera clave</w:t>
      </w:r>
      <w:r>
        <w:rPr>
          <w:rFonts w:ascii="Newsreader" w:hAnsi="Newsreader" w:cs="Newsreader"/>
          <w:b w:val="0"/>
          <w:i w:val="0"/>
          <w:color w:val="161412"/>
        </w:rPr>
        <w:t xml:space="preserve">: la confusión más frecuente con una familia vecina. La ficha no sustituye al capítulo: es su mapa. Si meses después de leer la Parte III una familia se desdibuja, releer su ficha debería bastar para recuperarla.</w:t>
      </w:r>
    </w:p>
    <w:p>
      <w:pPr>
        <w:spacing w:after="120" w:line="320" w:lineRule="auto"/>
        <w:jc w:val="both"/>
      </w:pPr>
      <w:r>
        <w:rPr>
          <w:rFonts w:ascii="Newsreader" w:hAnsi="Newsreader" w:cs="Newsreader"/>
          <w:b w:val="0"/>
          <w:i w:val="0"/>
          <w:color w:val="161412"/>
        </w:rPr>
        <w:t xml:space="preserve">delegate, la octava, cierra la parte con la misma plantilla y una particularidad: su frontera —el agente que interpreta— es también una frontera declarada del libro.</w:t>
      </w:r>
    </w:p>
    <w:p>
      <w:pPr>
        <w:spacing w:before="320" w:after="40"/>
      </w:pPr>
      <w:r>
        <w:rPr>
          <w:rFonts w:ascii="IBM Plex Sans" w:hAnsi="IBM Plex Sans" w:cs="IBM Plex Sans"/>
          <w:b/>
          <w:color w:val="1F3A5F"/>
          <w:sz w:val="18"/>
        </w:rPr>
        <w:t xml:space="preserve">§ 2</w:t>
      </w:r>
    </w:p>
    <w:p>
      <w:pPr>
        <w:spacing w:after="160" w:line="240" w:lineRule="auto"/>
      </w:pPr>
      <w:r>
        <w:rPr>
          <w:rFonts w:ascii="Newsreader" w:hAnsi="Newsreader" w:cs="Newsreader"/>
          <w:color w:val="161412"/>
          <w:sz w:val="38"/>
        </w:rPr>
        <w:t xml:space="preserve">La plantilla común</w:t>
      </w:r>
    </w:p>
    <w:p>
      <w:pPr>
        <w:spacing w:after="120" w:line="320" w:lineRule="auto"/>
        <w:jc w:val="both"/>
      </w:pPr>
      <w:r>
        <w:rPr>
          <w:rFonts w:ascii="Newsreader" w:hAnsi="Newsreader" w:cs="Newsreader"/>
          <w:b w:val="0"/>
          <w:i w:val="0"/>
          <w:color w:val="161412"/>
        </w:rPr>
        <w:t xml:space="preserve">Los ocho capítulos comparten una estructura estable. Primero, </w:t>
      </w:r>
      <w:r>
        <w:rPr>
          <w:rFonts w:ascii="Newsreader" w:hAnsi="Newsreader" w:cs="Newsreader"/>
          <w:b w:val="0"/>
          <w:i/>
          <w:color w:val="161412"/>
        </w:rPr>
        <w:t xml:space="preserve">qué es</w:t>
      </w:r>
      <w:r>
        <w:rPr>
          <w:rFonts w:ascii="Newsreader" w:hAnsi="Newsreader" w:cs="Newsreader"/>
          <w:b w:val="0"/>
          <w:i w:val="0"/>
          <w:color w:val="161412"/>
        </w:rPr>
        <w:t xml:space="preserve"> y </w:t>
      </w:r>
      <w:r>
        <w:rPr>
          <w:rFonts w:ascii="Newsreader" w:hAnsi="Newsreader" w:cs="Newsreader"/>
          <w:b w:val="0"/>
          <w:i/>
          <w:color w:val="161412"/>
        </w:rPr>
        <w:t xml:space="preserve">qué no es</w:t>
      </w:r>
      <w:r>
        <w:rPr>
          <w:rFonts w:ascii="Newsreader" w:hAnsi="Newsreader" w:cs="Newsreader"/>
          <w:b w:val="0"/>
          <w:i w:val="0"/>
          <w:color w:val="161412"/>
        </w:rPr>
        <w:t xml:space="preserve"> la familia: la definición positiva y las confusiones que descarta. Después, su </w:t>
      </w:r>
      <w:r>
        <w:rPr>
          <w:rFonts w:ascii="Newsreader" w:hAnsi="Newsreader" w:cs="Newsreader"/>
          <w:b w:val="0"/>
          <w:i/>
          <w:color w:val="161412"/>
        </w:rPr>
        <w:t xml:space="preserve">fundamento psicoperceptivo</w:t>
      </w:r>
      <w:r>
        <w:rPr>
          <w:rFonts w:ascii="Newsreader" w:hAnsi="Newsreader" w:cs="Newsreader"/>
          <w:b w:val="0"/>
          <w:i w:val="0"/>
          <w:color w:val="161412"/>
        </w:rPr>
        <w:t xml:space="preserve">: qué estructura de la experiencia —agencia, cierre, atención, control corporal, figura y fondo, cambio de marco, continuidad, autoría— la sostiene. Luego, sus </w:t>
      </w:r>
      <w:r>
        <w:rPr>
          <w:rFonts w:ascii="Newsreader" w:hAnsi="Newsreader" w:cs="Newsreader"/>
          <w:b w:val="0"/>
          <w:i/>
          <w:color w:val="161412"/>
        </w:rPr>
        <w:t xml:space="preserve">verbos y canales</w:t>
      </w:r>
      <w:r>
        <w:rPr>
          <w:rFonts w:ascii="Newsreader" w:hAnsi="Newsreader" w:cs="Newsreader"/>
          <w:b w:val="0"/>
          <w:i w:val="0"/>
          <w:color w:val="161412"/>
        </w:rPr>
        <w:t xml:space="preserve">: cómo se dice y por dónde se expresa. Y al final, la parte operativa: las </w:t>
      </w:r>
      <w:r>
        <w:rPr>
          <w:rFonts w:ascii="Newsreader" w:hAnsi="Newsreader" w:cs="Newsreader"/>
          <w:b w:val="0"/>
          <w:i/>
          <w:color w:val="161412"/>
        </w:rPr>
        <w:t xml:space="preserve">fronteras</w:t>
      </w:r>
      <w:r>
        <w:rPr>
          <w:rFonts w:ascii="Newsreader" w:hAnsi="Newsreader" w:cs="Newsreader"/>
          <w:b w:val="0"/>
          <w:i w:val="0"/>
          <w:color w:val="161412"/>
        </w:rPr>
        <w:t xml:space="preserve"> con las familias vecinas, la </w:t>
      </w:r>
      <w:r>
        <w:rPr>
          <w:rFonts w:ascii="Newsreader" w:hAnsi="Newsreader" w:cs="Newsreader"/>
          <w:b w:val="0"/>
          <w:i/>
          <w:color w:val="161412"/>
        </w:rPr>
        <w:t xml:space="preserve">accesibilidad</w:t>
      </w:r>
      <w:r>
        <w:rPr>
          <w:rFonts w:ascii="Newsreader" w:hAnsi="Newsreader" w:cs="Newsreader"/>
          <w:b w:val="0"/>
          <w:i w:val="0"/>
          <w:color w:val="161412"/>
        </w:rPr>
        <w:t xml:space="preserve"> y las migraciones cuando falta un canal, los </w:t>
      </w:r>
      <w:r>
        <w:rPr>
          <w:rFonts w:ascii="Newsreader" w:hAnsi="Newsreader" w:cs="Newsreader"/>
          <w:b w:val="0"/>
          <w:i/>
          <w:color w:val="161412"/>
        </w:rPr>
        <w:t xml:space="preserve">antipatrones</w:t>
      </w:r>
      <w:r>
        <w:rPr>
          <w:rFonts w:ascii="Newsreader" w:hAnsi="Newsreader" w:cs="Newsreader"/>
          <w:b w:val="0"/>
          <w:i w:val="0"/>
          <w:color w:val="161412"/>
        </w:rPr>
        <w:t xml:space="preserve"> con su corrección y una </w:t>
      </w:r>
      <w:r>
        <w:rPr>
          <w:rFonts w:ascii="Newsreader" w:hAnsi="Newsreader" w:cs="Newsreader"/>
          <w:b w:val="0"/>
          <w:i/>
          <w:color w:val="161412"/>
        </w:rPr>
        <w:t xml:space="preserve">síntesis</w:t>
      </w:r>
      <w:r>
        <w:rPr>
          <w:rFonts w:ascii="Newsreader" w:hAnsi="Newsreader" w:cs="Newsreader"/>
          <w:b w:val="0"/>
          <w:i w:val="0"/>
          <w:color w:val="161412"/>
        </w:rPr>
        <w:t xml:space="preserve"> con preguntas de validación.</w:t>
      </w:r>
    </w:p>
    <w:p>
      <w:pPr>
        <w:spacing w:after="120" w:line="320" w:lineRule="auto"/>
        <w:jc w:val="both"/>
      </w:pPr>
      <w:r>
        <w:rPr>
          <w:rFonts w:ascii="Newsreader" w:hAnsi="Newsreader" w:cs="Newsreader"/>
          <w:b w:val="0"/>
          <w:i w:val="0"/>
          <w:color w:val="161412"/>
        </w:rPr>
        <w:t xml:space="preserve">Las tablas de cada capítulo son las de su familia: canales y su función, migraciones, antipatrones, preguntas de revisión. Las tablas transversales —la síntesis de las ocho familias y los seis intents— no se repiten en cada capítulo: viven una sola vez, como referencia canónica, en el Apéndice B.</w:t>
      </w:r>
    </w:p>
    <w:p>
      <w:pPr>
        <w:spacing w:before="320" w:after="40"/>
      </w:pPr>
      <w:r>
        <w:rPr>
          <w:rFonts w:ascii="IBM Plex Sans" w:hAnsi="IBM Plex Sans" w:cs="IBM Plex Sans"/>
          <w:b/>
          <w:color w:val="1F3A5F"/>
          <w:sz w:val="18"/>
        </w:rPr>
        <w:t xml:space="preserve">§ 3</w:t>
      </w:r>
    </w:p>
    <w:p>
      <w:pPr>
        <w:spacing w:after="160" w:line="240" w:lineRule="auto"/>
      </w:pPr>
      <w:r>
        <w:rPr>
          <w:rFonts w:ascii="Newsreader" w:hAnsi="Newsreader" w:cs="Newsreader"/>
          <w:color w:val="161412"/>
          <w:sz w:val="38"/>
        </w:rPr>
        <w:t xml:space="preserve">Qué no son las familias</w:t>
      </w:r>
    </w:p>
    <w:p>
      <w:pPr>
        <w:spacing w:after="120" w:line="320" w:lineRule="auto"/>
        <w:jc w:val="both"/>
      </w:pPr>
      <w:r>
        <w:rPr>
          <w:rFonts w:ascii="Newsreader" w:hAnsi="Newsreader" w:cs="Newsreader"/>
          <w:b/>
          <w:i w:val="0"/>
          <w:color w:val="161412"/>
        </w:rPr>
        <w:t>No son componentes.</w:t>
      </w:r>
      <w:r>
        <w:rPr>
          <w:rFonts w:ascii="Newsreader" w:hAnsi="Newsreader" w:cs="Newsreader"/>
          <w:b w:val="0"/>
          <w:i w:val="0"/>
          <w:color w:val="161412"/>
        </w:rPr>
        <w:t xml:space="preserve"> Un modal no es una familia: puede participar en shift.enter-mode o en signal.alert + threat. Un dropdown no es una familia: puede ser emerge.open. Un botón no es contact: puede participar en contact.press, pero también en commit, signal o shift según el evento.</w:t>
      </w:r>
    </w:p>
    <w:p>
      <w:pPr>
        <w:spacing w:after="120" w:line="320" w:lineRule="auto"/>
        <w:jc w:val="both"/>
      </w:pPr>
      <w:r>
        <w:rPr>
          <w:rFonts w:ascii="Newsreader" w:hAnsi="Newsreader" w:cs="Newsreader"/>
          <w:b/>
          <w:i w:val="0"/>
          <w:color w:val="161412"/>
        </w:rPr>
        <w:t xml:space="preserve">No son efectos.</w:t>
      </w:r>
      <w:r>
        <w:rPr>
          <w:rFonts w:ascii="Newsreader" w:hAnsi="Newsreader" w:cs="Newsreader"/>
          <w:b w:val="0"/>
          <w:i w:val="0"/>
          <w:color w:val="161412"/>
        </w:rPr>
        <w:t xml:space="preserve"> Un fade no es emerge, un slide no es shift, un bounce no es fulfill, un shake no es threat. Los efectos son realizaciones posibles en canales; la familia es la clase de evento.</w:t>
      </w:r>
    </w:p>
    <w:p>
      <w:pPr>
        <w:spacing w:after="120" w:line="320" w:lineRule="auto"/>
        <w:jc w:val="both"/>
      </w:pPr>
      <w:r>
        <w:rPr>
          <w:rFonts w:ascii="Newsreader" w:hAnsi="Newsreader" w:cs="Newsreader"/>
          <w:b/>
          <w:i w:val="0"/>
          <w:color w:val="161412"/>
        </w:rPr>
        <w:t>No son estados.</w:t>
      </w:r>
      <w:r>
        <w:rPr>
          <w:rFonts w:ascii="Newsreader" w:hAnsi="Newsreader" w:cs="Newsreader"/>
          <w:b w:val="0"/>
          <w:i w:val="0"/>
          <w:color w:val="161412"/>
        </w:rPr>
        <w:t xml:space="preserve"> «Loading», «error» y «success» no son familias: son mezclas de familia, verbo e intent —loading es sustain.progress; error es commit.fail + risk; success es commit.complete + fulfill—.</w:t>
      </w:r>
    </w:p>
    <w:p>
      <w:pPr>
        <w:spacing w:after="120" w:line="320" w:lineRule="auto"/>
        <w:jc w:val="both"/>
      </w:pPr>
      <w:r>
        <w:rPr>
          <w:rFonts w:ascii="Newsreader" w:hAnsi="Newsreader" w:cs="Newsreader"/>
          <w:b w:val="0"/>
          <w:i w:val="0"/>
          <w:color w:val="161412"/>
        </w:rPr>
        <w:t xml:space="preserve">Estas tres distinciones vuelven una y otra vez en los capítulos que siguen, cada vez encarnadas en la familia concreta. El modal no es familia sino participante; el fade no es emerge sino realización; el «loading» no es estado primitivo sino sustain.progress.</w:t>
      </w:r>
    </w:p>
    <w:p>
      <w:pPr>
        <w:spacing w:before="320" w:after="40"/>
      </w:pPr>
      <w:r>
        <w:rPr>
          <w:rFonts w:ascii="IBM Plex Sans" w:hAnsi="IBM Plex Sans" w:cs="IBM Plex Sans"/>
          <w:b/>
          <w:color w:val="1F3A5F"/>
          <w:sz w:val="18"/>
        </w:rPr>
        <w:t xml:space="preserve">§ 4</w:t>
      </w:r>
    </w:p>
    <w:p>
      <w:pPr>
        <w:spacing w:after="160" w:line="240" w:lineRule="auto"/>
      </w:pPr>
      <w:r>
        <w:rPr>
          <w:rFonts w:ascii="Newsreader" w:hAnsi="Newsreader" w:cs="Newsreader"/>
          <w:color w:val="161412"/>
          <w:sz w:val="38"/>
        </w:rPr>
        <w:t xml:space="preserve">Dos maneras de leer la Parte III</w:t>
      </w:r>
    </w:p>
    <w:p>
      <w:pPr>
        <w:spacing w:after="120" w:line="320" w:lineRule="auto"/>
        <w:jc w:val="both"/>
      </w:pPr>
      <w:r>
        <w:rPr>
          <w:rFonts w:ascii="Newsreader" w:hAnsi="Newsreader" w:cs="Newsreader"/>
          <w:b w:val="0"/>
          <w:i w:val="0"/>
          <w:color w:val="161412"/>
        </w:rPr>
        <w:t xml:space="preserve">La Parte III admite lectura lineal y lectura de consulta. Lineal: las familias están ordenadas del contacto al resultado, de la atención a la manipulación, de la presencia al proceso, y cierran con la autoría; leerlas seguidas construye el sistema completo. De consulta: cada capítulo es autónomo —ficha, plantilla, síntesis— y puede leerse solo, cuando el trabajo lo pida, sin más requisito que los capítulos 8 y 9.</w:t>
      </w:r>
    </w:p>
    <w:p>
      <w:pPr>
        <w:spacing w:after="120" w:line="320" w:lineRule="auto"/>
        <w:jc w:val="both"/>
      </w:pPr>
      <w:r>
        <w:rPr>
          <w:rFonts w:ascii="Newsreader" w:hAnsi="Newsreader" w:cs="Newsreader"/>
          <w:b w:val="0"/>
          <w:i w:val="0"/>
          <w:color w:val="161412"/>
        </w:rPr>
        <w:t xml:space="preserve">Para la consulta rápida sin releer capítulos quedan la referencia canónica del Apéndice B y el glosario.</w:t>
      </w:r>
    </w:p>
    <w:p>
      <w:pPr>
        <w:spacing w:before="320" w:after="40"/>
      </w:pPr>
      <w:r>
        <w:rPr>
          <w:rFonts w:ascii="IBM Plex Sans" w:hAnsi="IBM Plex Sans" w:cs="IBM Plex Sans"/>
          <w:b/>
          <w:color w:val="1F3A5F"/>
          <w:sz w:val="18"/>
        </w:rPr>
        <w:t xml:space="preserve">§ 5</w:t>
      </w:r>
    </w:p>
    <w:p>
      <w:pPr>
        <w:spacing w:after="160" w:line="240" w:lineRule="auto"/>
      </w:pPr>
      <w:r>
        <w:rPr>
          <w:rFonts w:ascii="Newsreader" w:hAnsi="Newsreader" w:cs="Newsreader"/>
          <w:color w:val="161412"/>
          <w:sz w:val="38"/>
        </w:rPr>
        <w:t xml:space="preserve">Ejemplo transversal</w:t>
      </w:r>
    </w:p>
    <w:p>
      <w:pPr>
        <w:spacing w:after="120" w:line="320" w:lineRule="auto"/>
        <w:jc w:val="both"/>
      </w:pPr>
      <w:r>
        <w:rPr>
          <w:rFonts w:ascii="Newsreader" w:hAnsi="Newsreader" w:cs="Newsreader"/>
          <w:b w:val="0"/>
          <w:i w:val="0"/>
          <w:color w:val="161412"/>
        </w:rPr>
        <w:t>Tomemos una acción simple: eliminar un elemento. La secuencia contact.press → signal.warn + threat → commit.delete + loss recorre tres familias distintas —acción registrada, advertencia, consecuencia— que responden a tres preguntas distintas: ¿he pulsado?, ¿puedo evitarlo?, ¿qué ocurrió? Si todo se tratara como un solo estado danger, se perderían esas distinciones.</w:t>
      </w:r>
    </w:p>
    <w:p>
      <w:pPr>
        <w:spacing w:after="120" w:line="320" w:lineRule="auto"/>
        <w:jc w:val="both"/>
      </w:pPr>
      <w:r>
        <w:rPr>
          <w:rFonts w:ascii="Newsreader" w:hAnsi="Newsreader" w:cs="Newsreader"/>
          <w:b w:val="0"/>
          <w:i w:val="0"/>
          <w:color w:val="161412"/>
        </w:rPr>
        <w:t xml:space="preserve">Ese es el uso real de la Parte III: no memorizar ocho definiciones, sino reconocer, en cualquier secuencia concreta, qué familia responde a qué pregunta — y detectar cuál falta.</w:t>
      </w:r>
    </w:p>
    <w:p>
      <w:pPr>
        <w:spacing w:before="320" w:after="40"/>
      </w:pPr>
      <w:r>
        <w:rPr>
          <w:rFonts w:ascii="IBM Plex Sans" w:hAnsi="IBM Plex Sans" w:cs="IBM Plex Sans"/>
          <w:b/>
          <w:color w:val="1F3A5F"/>
          <w:sz w:val="18"/>
        </w:rPr>
        <w:t xml:space="preserve">§ 6</w:t>
      </w:r>
    </w:p>
    <w:p>
      <w:pPr>
        <w:spacing w:after="160" w:line="240" w:lineRule="auto"/>
      </w:pPr>
      <w:r>
        <w:rPr>
          <w:rFonts w:ascii="Newsreader" w:hAnsi="Newsreader" w:cs="Newsreader"/>
          <w:color w:val="161412"/>
          <w:sz w:val="38"/>
        </w:rPr>
        <w:t xml:space="preserve">Síntesis</w:t>
      </w:r>
    </w:p>
    <w:p>
      <w:pPr>
        <w:spacing w:after="120" w:line="320" w:lineRule="auto"/>
        <w:jc w:val="both"/>
      </w:pPr>
      <w:r>
        <w:rPr>
          <w:rFonts w:ascii="Newsreader" w:hAnsi="Newsreader" w:cs="Newsreader"/>
          <w:b w:val="0"/>
          <w:i w:val="0"/>
          <w:color w:val="161412"/>
        </w:rPr>
        <w:t xml:space="preserve">Este capítulo no ha añadido gramática: ha entregado el mapa de los ocho que siguen. La definición queda re-anclada, la plantilla explicada, las fronteras señaladas y la referencia localizada.</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La interfaz no se organiza solo en componentes. Se organiza en familias de eventos que responden a preguntas perceptivas recurrentes.</w:t>
      </w:r>
    </w:p>
    <w:p>
      <w:r>
        <w:br w:type="page"/>
      </w:r>
    </w:p>
    <w:p>
      <w:pPr>
        <w:spacing w:after="40"/>
      </w:pPr>
      <w:r>
        <w:rPr>
          <w:rFonts w:ascii="IBM Plex Sans" w:hAnsi="IBM Plex Sans" w:cs="IBM Plex Sans"/>
          <w:b/>
          <w:color w:val="1F3A5F"/>
          <w:sz w:val="18"/>
        </w:rPr>
        <w:t>CAPÍTULO 22</w:t>
      </w:r>
    </w:p>
    <w:p>
      <w:pPr>
        <w:spacing w:after="80" w:line="240" w:lineRule="auto"/>
      </w:pPr>
      <w:r>
        <w:rPr>
          <w:rFonts w:ascii="IBM Plex Sans" w:hAnsi="IBM Plex Sans" w:cs="IBM Plex Sans"/>
          <w:color w:val="161412"/>
          <w:sz w:val="220"/>
        </w:rPr>
        <w:t>22</w:t>
      </w:r>
    </w:p>
    <w:p>
      <w:pPr>
        <w:spacing w:after="60" w:line="240" w:lineRule="auto"/>
      </w:pPr>
      <w:r>
        <w:rPr>
          <w:rFonts w:ascii="Newsreader" w:hAnsi="Newsreader" w:cs="Newsreader"/>
          <w:color w:val="161412"/>
          <w:sz w:val="60"/>
        </w:rPr>
        <w:t>Contact</w:t>
      </w:r>
    </w:p>
    <w:p>
      <w:pPr>
        <w:spacing w:after="280"/>
      </w:pPr>
      <w:r>
        <w:rPr>
          <w:rFonts w:ascii="IBM Plex Sans" w:hAnsi="IBM Plex Sans" w:cs="IBM Plex Sans"/>
          <w:color w:val="6A635A"/>
          <w:sz w:val="26"/>
        </w:rPr>
        <w:t>La respuesta mínima del sistema a la acción del usuario</w:t>
      </w:r>
    </w:p>
    <w:p>
      <w:pPr>
        <w:pBdr>
          <w:bottom w:val="single" w:sz="4" w:space="4" w:color="1F3A5F"/>
        </w:pBdr>
      </w:pP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¿Cómo sabe el usuario que el sistema ha sentido su acción?</w:t>
      </w:r>
    </w:p>
    <w:p>
      <w:pPr>
        <w:spacing w:after="120" w:line="320" w:lineRule="auto"/>
        <w:jc w:val="both"/>
      </w:pPr>
      <w:r>
        <w:rPr>
          <w:rFonts w:ascii="Newsreader" w:hAnsi="Newsreader" w:cs="Newsreader"/>
          <w:b w:val="0"/>
          <w:i w:val="0"/>
          <w:color w:val="161412"/>
        </w:rPr>
        <w:t xml:space="preserve">Pulsar un botón y, durante una fracción de segundo, nada. ¿Ha entrado la pulsación? ¿Ha fallado? Antes de terminar de pensarlo, el dedo ya vuelve a pulsar. Esa duda mínima —no saber si el sistema ha sentido la acción— dura milésimas, pero gobierna la confianza con la que usamos cualquier interfaz.</w:t>
      </w:r>
    </w:p>
    <w:p>
      <w:pPr>
        <w:spacing w:after="120" w:line="320" w:lineRule="auto"/>
        <w:jc w:val="both"/>
      </w:pPr>
      <w:r>
        <w:rPr>
          <w:rFonts w:ascii="Newsreader" w:hAnsi="Newsreader" w:cs="Newsreader"/>
          <w:b w:val="0"/>
          <w:i w:val="0"/>
          <w:color w:val="161412"/>
        </w:rPr>
        <w:t>Antes de que una interfaz confirme, advierta, complete, falle o pierda algo, ocurre un momento previo: el usuario actúa. Pulsa, toca, hace click, arrastra, escribe, activa. Y en ese instante aparece una pregunta inmediata: ¿el sistema ha sentido mi acción? Ese momento es contact.</w:t>
      </w:r>
    </w:p>
    <w:p>
      <w:pPr>
        <w:spacing w:before="200" w:after="60"/>
        <w:jc w:val="center"/>
      </w:pPr>
      <w:r>
        <w:drawing>
          <wp:inline xmlns:a="http://schemas.openxmlformats.org/drawingml/2006/main" xmlns:pic="http://schemas.openxmlformats.org/drawingml/2006/picture">
            <wp:extent cx="5029200" cy="3080385"/>
            <wp:docPr id="9008" name="fig22_1"/>
            <wp:cNvGraphicFramePr>
              <a:graphicFrameLocks noChangeAspect="1"/>
            </wp:cNvGraphicFramePr>
            <a:graphic>
              <a:graphicData uri="http://schemas.openxmlformats.org/drawingml/2006/picture">
                <pic:pic>
                  <pic:nvPicPr>
                    <pic:cNvPr id="9008" name="fig22_1"/>
                    <pic:cNvPicPr/>
                  </pic:nvPicPr>
                  <pic:blipFill>
                    <a:blip r:embed="rId907"/>
                    <a:stretch>
                      <a:fillRect/>
                    </a:stretch>
                  </pic:blipFill>
                  <pic:spPr>
                    <a:xfrm>
                      <a:off x="0" y="0"/>
                      <a:ext cx="5029200" cy="3080385"/>
                    </a:xfrm>
                    <a:prstGeom prst="rect"/>
                  </pic:spPr>
                </pic:pic>
              </a:graphicData>
            </a:graphic>
          </wp:inline>
        </w:drawing>
      </w:r>
    </w:p>
    <w:p>
      <w:pPr>
        <w:spacing w:before="320" w:after="40"/>
      </w:pPr>
      <w:r>
        <w:rPr>
          <w:rFonts w:ascii="IBM Plex Sans" w:hAnsi="IBM Plex Sans" w:cs="IBM Plex Sans"/>
          <w:b/>
          <w:color w:val="1F3A5F"/>
          <w:sz w:val="18"/>
        </w:rPr>
        <w:t>§ 1</w:t>
      </w:r>
    </w:p>
    <w:p>
      <w:pPr>
        <w:spacing w:after="160" w:line="240" w:lineRule="auto"/>
      </w:pPr>
      <w:r>
        <w:rPr>
          <w:rFonts w:ascii="Newsreader" w:hAnsi="Newsreader" w:cs="Newsreader"/>
          <w:color w:val="161412"/>
          <w:sz w:val="38"/>
        </w:rPr>
        <w:t>Qué es contact</w:t>
      </w:r>
    </w:p>
    <w:p>
      <w:pPr>
        <w:spacing w:after="120" w:line="320" w:lineRule="auto"/>
        <w:jc w:val="both"/>
      </w:pPr>
      <w:r>
        <w:rPr>
          <w:rFonts w:ascii="Newsreader" w:hAnsi="Newsreader" w:cs="Newsreader"/>
          <w:b w:val="0"/>
          <w:i w:val="0"/>
          <w:color w:val="161412"/>
        </w:rPr>
        <w:t>contact es la familia semántica de la recepción de la acción. No comunica resultado, ni éxito, ni error, ni estado final; comunica algo más básico y anterior a todo eso.</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La acción del usuario ha entrado en el sistema.</w:t>
      </w:r>
    </w:p>
    <w:p>
      <w:pPr>
        <w:spacing w:after="120" w:line="320" w:lineRule="auto"/>
        <w:jc w:val="both"/>
      </w:pPr>
      <w:r>
        <w:rPr>
          <w:rFonts w:ascii="Newsreader" w:hAnsi="Newsreader" w:cs="Newsreader"/>
          <w:b w:val="0"/>
          <w:i w:val="0"/>
          <w:color w:val="161412"/>
        </w:rPr>
        <w:t xml:space="preserve">Sus verbos recorren las formas de esa recepción: </w:t>
      </w:r>
      <w:r>
        <w:rPr>
          <w:rFonts w:ascii="Newsreader" w:hAnsi="Newsreader" w:cs="Newsreader"/>
          <w:b w:val="0"/>
          <w:i/>
          <w:color w:val="161412"/>
        </w:rPr>
        <w:t xml:space="preserve">press</w:t>
      </w:r>
      <w:r>
        <w:rPr>
          <w:rFonts w:ascii="Newsreader" w:hAnsi="Newsreader" w:cs="Newsreader"/>
          <w:b w:val="0"/>
          <w:i w:val="0"/>
          <w:color w:val="161412"/>
        </w:rPr>
        <w:t xml:space="preserve">, </w:t>
      </w:r>
      <w:r>
        <w:rPr>
          <w:rFonts w:ascii="Newsreader" w:hAnsi="Newsreader" w:cs="Newsreader"/>
          <w:b w:val="0"/>
          <w:i/>
          <w:color w:val="161412"/>
        </w:rPr>
        <w:t xml:space="preserve">tap</w:t>
      </w:r>
      <w:r>
        <w:rPr>
          <w:rFonts w:ascii="Newsreader" w:hAnsi="Newsreader" w:cs="Newsreader"/>
          <w:b w:val="0"/>
          <w:i w:val="0"/>
          <w:color w:val="161412"/>
        </w:rPr>
        <w:t xml:space="preserve">, </w:t>
      </w:r>
      <w:r>
        <w:rPr>
          <w:rFonts w:ascii="Newsreader" w:hAnsi="Newsreader" w:cs="Newsreader"/>
          <w:b w:val="0"/>
          <w:i/>
          <w:color w:val="161412"/>
        </w:rPr>
        <w:t xml:space="preserve">release</w:t>
      </w:r>
      <w:r>
        <w:rPr>
          <w:rFonts w:ascii="Newsreader" w:hAnsi="Newsreader" w:cs="Newsreader"/>
          <w:b w:val="0"/>
          <w:i w:val="0"/>
          <w:color w:val="161412"/>
        </w:rPr>
        <w:t xml:space="preserve">, </w:t>
      </w:r>
      <w:r>
        <w:rPr>
          <w:rFonts w:ascii="Newsreader" w:hAnsi="Newsreader" w:cs="Newsreader"/>
          <w:b w:val="0"/>
          <w:i/>
          <w:color w:val="161412"/>
        </w:rPr>
        <w:t xml:space="preserve">activate</w:t>
      </w:r>
      <w:r>
        <w:rPr>
          <w:rFonts w:ascii="Newsreader" w:hAnsi="Newsreader" w:cs="Newsreader"/>
          <w:b w:val="0"/>
          <w:i w:val="0"/>
          <w:color w:val="161412"/>
        </w:rPr>
        <w:t xml:space="preserve">, </w:t>
      </w:r>
      <w:r>
        <w:rPr>
          <w:rFonts w:ascii="Newsreader" w:hAnsi="Newsreader" w:cs="Newsreader"/>
          <w:b w:val="0"/>
          <w:i/>
          <w:color w:val="161412"/>
        </w:rPr>
        <w:t xml:space="preserve">focus</w:t>
      </w:r>
      <w:r>
        <w:rPr>
          <w:rFonts w:ascii="Newsreader" w:hAnsi="Newsreader" w:cs="Newsreader"/>
          <w:b w:val="0"/>
          <w:i w:val="0"/>
          <w:color w:val="161412"/>
        </w:rPr>
        <w:t xml:space="preserve">, </w:t>
      </w:r>
      <w:r>
        <w:rPr>
          <w:rFonts w:ascii="Newsreader" w:hAnsi="Newsreader" w:cs="Newsreader"/>
          <w:b w:val="0"/>
          <w:i/>
          <w:color w:val="161412"/>
        </w:rPr>
        <w:t xml:space="preserve">trigger</w:t>
      </w:r>
      <w:r>
        <w:rPr>
          <w:rFonts w:ascii="Newsreader" w:hAnsi="Newsreader" w:cs="Newsreader"/>
          <w:b w:val="0"/>
          <w:i w:val="0"/>
          <w:color w:val="161412"/>
        </w:rPr>
        <w:t xml:space="preserve">. Un botón que se hunde ligeramente, una tecla virtual que responde al toque, un switch que muestra su estado pressed, un elemento que empieza a estar bajo el dedo: todo eso pertenece a contact.</w:t>
      </w:r>
    </w:p>
    <w:p>
      <w:pPr>
        <w:spacing w:before="320" w:after="40"/>
      </w:pPr>
      <w:r>
        <w:rPr>
          <w:rFonts w:ascii="IBM Plex Sans" w:hAnsi="IBM Plex Sans" w:cs="IBM Plex Sans"/>
          <w:b/>
          <w:color w:val="1F3A5F"/>
          <w:sz w:val="18"/>
        </w:rPr>
        <w:t>§ 2</w:t>
      </w:r>
    </w:p>
    <w:p>
      <w:pPr>
        <w:spacing w:after="160" w:line="240" w:lineRule="auto"/>
      </w:pPr>
      <w:r>
        <w:rPr>
          <w:rFonts w:ascii="Newsreader" w:hAnsi="Newsreader" w:cs="Newsreader"/>
          <w:color w:val="161412"/>
          <w:sz w:val="38"/>
        </w:rPr>
        <w:t>Qué no es contact</w:t>
      </w:r>
    </w:p>
    <w:p>
      <w:pPr>
        <w:spacing w:after="120" w:line="320" w:lineRule="auto"/>
        <w:jc w:val="both"/>
      </w:pPr>
      <w:r>
        <w:rPr>
          <w:rFonts w:ascii="Newsreader" w:hAnsi="Newsreader" w:cs="Newsreader"/>
          <w:b w:val="0"/>
          <w:i w:val="0"/>
          <w:color w:val="161412"/>
        </w:rPr>
        <w:t>La forma más rápida de delimitar la familia es mirarla desde sus fronteras, porque cada una deja fuera una confusión frecuente:</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contact no es commit.</w:t>
      </w:r>
      <w:r>
        <w:rPr>
          <w:rFonts w:ascii="Newsreader" w:hAnsi="Newsreader" w:cs="Newsreader"/>
          <w:b w:val="0"/>
          <w:i w:val="0"/>
          <w:color w:val="161412"/>
        </w:rPr>
        <w:t xml:space="preserve"> contact.press ≠ commit.save: el sistema puede haber recibido la acción sin haber producido todavía resultado.</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contact no es signal.</w:t>
      </w:r>
      <w:r>
        <w:rPr>
          <w:rFonts w:ascii="Newsreader" w:hAnsi="Newsreader" w:cs="Newsreader"/>
          <w:b w:val="0"/>
          <w:i w:val="0"/>
          <w:color w:val="161412"/>
        </w:rPr>
        <w:t xml:space="preserve"> contact.press ≠ signal.warn: no reclama atención ni advierte; solo registra acción.</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contact no es handle.</w:t>
      </w:r>
      <w:r>
        <w:rPr>
          <w:rFonts w:ascii="Newsreader" w:hAnsi="Newsreader" w:cs="Newsreader"/>
          <w:b w:val="0"/>
          <w:i w:val="0"/>
          <w:color w:val="161412"/>
        </w:rPr>
        <w:t xml:space="preserve"> contact.press ≠ handle.pick: puede iniciar una manipulación, pero no es la manipulación.</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contact no porta intent fuerte.</w:t>
      </w:r>
      <w:r>
        <w:rPr>
          <w:rFonts w:ascii="Newsreader" w:hAnsi="Newsreader" w:cs="Newsreader"/>
          <w:b w:val="0"/>
          <w:i w:val="0"/>
          <w:color w:val="161412"/>
        </w:rPr>
        <w:t xml:space="preserve"> contact.press + neutral suele bastar, porque contact es anterior a la evaluación: cuando ocurre, todavía no hay nada que juzgar.</w:t>
      </w:r>
    </w:p>
    <w:p>
      <w:pPr>
        <w:spacing w:before="320" w:after="40"/>
      </w:pPr>
      <w:r>
        <w:rPr>
          <w:rFonts w:ascii="IBM Plex Sans" w:hAnsi="IBM Plex Sans" w:cs="IBM Plex Sans"/>
          <w:b/>
          <w:color w:val="1F3A5F"/>
          <w:sz w:val="18"/>
        </w:rPr>
        <w:t>§ 3</w:t>
      </w:r>
    </w:p>
    <w:p>
      <w:pPr>
        <w:spacing w:after="160" w:line="240" w:lineRule="auto"/>
      </w:pPr>
      <w:r>
        <w:rPr>
          <w:rFonts w:ascii="Newsreader" w:hAnsi="Newsreader" w:cs="Newsreader"/>
          <w:color w:val="161412"/>
          <w:sz w:val="38"/>
        </w:rPr>
        <w:t>Fundamento psicoperceptivo: agencia, causalidad inmediata y esquema táctil</w:t>
      </w:r>
    </w:p>
    <w:p>
      <w:pPr>
        <w:spacing w:after="120" w:line="320" w:lineRule="auto"/>
        <w:jc w:val="both"/>
      </w:pPr>
      <w:r>
        <w:rPr>
          <w:rFonts w:ascii="Newsreader" w:hAnsi="Newsreader" w:cs="Newsreader"/>
          <w:b w:val="0"/>
          <w:i w:val="0"/>
          <w:color w:val="161412"/>
        </w:rPr>
        <w:t>contact se apoya en la percepción de agencia: la tendencia del usuario a atribuir un cambio al propio gesto cuando la respuesta ocurre con suficiente proximidad temporal y formal. Cuando el sistema responde de inmediato, la lectura es directa —yo hice esto, el sistema respondió—. Si la respuesta se retrasa, esa relación causal se debilita: yo hice esto… y, en algún momento, algo ocurrió.</w:t>
      </w:r>
    </w:p>
    <w:p>
      <w:pPr>
        <w:spacing w:after="120" w:line="320" w:lineRule="auto"/>
        <w:jc w:val="both"/>
      </w:pPr>
      <w:r>
        <w:rPr>
          <w:rFonts w:ascii="Newsreader" w:hAnsi="Newsreader" w:cs="Newsreader"/>
          <w:b w:val="0"/>
          <w:i w:val="0"/>
          <w:color w:val="161412"/>
        </w:rPr>
        <w:t>Este fundamento conecta con la percepción de causalidad dinámica: ciertos cambios próximos en el tiempo y coherentes en su forma tienden a organizarse como relación causa-efecto. En la interfaz, la microrespuesta de un control preserva esa lectura causal.</w:t>
      </w:r>
    </w:p>
    <w:p>
      <w:pPr>
        <w:spacing w:after="120" w:line="320" w:lineRule="auto"/>
        <w:jc w:val="both"/>
      </w:pPr>
      <w:r>
        <w:rPr>
          <w:rFonts w:ascii="Newsreader" w:hAnsi="Newsreader" w:cs="Newsreader"/>
          <w:b w:val="0"/>
          <w:i w:val="0"/>
          <w:color w:val="161412"/>
        </w:rPr>
        <w:t>También se apoya en esquemas sensorimotores básicos. Tocar algo y recibir una respuesta es una experiencia corporal primaria —presión, resistencia, rebote, click, vibración—, y la interfaz digital toma prestada esa estructura para hacer que una acción abstracta se sienta registrada. Contact no es decoración: es la semántica mínima de agencia.</w:t>
      </w:r>
    </w:p>
    <w:p>
      <w:pPr>
        <w:spacing w:before="320" w:after="40"/>
      </w:pPr>
      <w:r>
        <w:rPr>
          <w:rFonts w:ascii="IBM Plex Sans" w:hAnsi="IBM Plex Sans" w:cs="IBM Plex Sans"/>
          <w:b/>
          <w:color w:val="1F3A5F"/>
          <w:sz w:val="18"/>
        </w:rPr>
        <w:t>§ 4</w:t>
      </w:r>
    </w:p>
    <w:p>
      <w:pPr>
        <w:spacing w:after="160" w:line="240" w:lineRule="auto"/>
      </w:pPr>
      <w:r>
        <w:rPr>
          <w:rFonts w:ascii="Newsreader" w:hAnsi="Newsreader" w:cs="Newsreader"/>
          <w:color w:val="161412"/>
          <w:sz w:val="38"/>
        </w:rPr>
        <w:t>La pregunta perceptiva</w:t>
      </w:r>
    </w:p>
    <w:p>
      <w:pPr>
        <w:spacing w:after="120" w:line="320" w:lineRule="auto"/>
        <w:jc w:val="both"/>
      </w:pPr>
      <w:r>
        <w:rPr>
          <w:rFonts w:ascii="Newsreader" w:hAnsi="Newsreader" w:cs="Newsreader"/>
          <w:b w:val="0"/>
          <w:i w:val="0"/>
          <w:color w:val="161412"/>
        </w:rPr>
        <w:t>contact responde a: ¿el sistema ha sentido mi acción? Si la respuesta es clara, el usuario continúa. Si no lo es, aparecen los comportamientos compensatorios que cualquiera reconoce: el doble click, la repetición del toque, la espera insegura, la frustración, el abandono de la operación. Muchos problemas de experiencia de uso no son errores funcionales; son fallos de contact.</w:t>
      </w:r>
    </w:p>
    <w:p>
      <w:pPr>
        <w:spacing w:before="320" w:after="40"/>
      </w:pPr>
      <w:r>
        <w:rPr>
          <w:rFonts w:ascii="IBM Plex Sans" w:hAnsi="IBM Plex Sans" w:cs="IBM Plex Sans"/>
          <w:b/>
          <w:color w:val="1F3A5F"/>
          <w:sz w:val="18"/>
        </w:rPr>
        <w:t>§ 5</w:t>
      </w:r>
    </w:p>
    <w:p>
      <w:pPr>
        <w:spacing w:after="160" w:line="240" w:lineRule="auto"/>
      </w:pPr>
      <w:r>
        <w:rPr>
          <w:rFonts w:ascii="Newsreader" w:hAnsi="Newsreader" w:cs="Newsreader"/>
          <w:color w:val="161412"/>
          <w:sz w:val="38"/>
        </w:rPr>
        <w:t>contact y latencia</w:t>
      </w:r>
    </w:p>
    <w:p>
      <w:pPr>
        <w:spacing w:after="120" w:line="320" w:lineRule="auto"/>
        <w:jc w:val="both"/>
      </w:pPr>
      <w:r>
        <w:rPr>
          <w:rFonts w:ascii="Newsreader" w:hAnsi="Newsreader" w:cs="Newsreader"/>
          <w:b w:val="0"/>
          <w:i w:val="0"/>
          <w:color w:val="161412"/>
        </w:rPr>
        <w:t>El canal crítico de contact es el tiempo. Un contacto correcto encadena input y respuesta inmediata; un contacto fallido intercala un silencio —input, silencio, respuesta— y ese silencio no es un problema estético, sino semántico: durante ese hueco, el usuario no sabe si ha actuado.</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Un contacto bonito pero tardío es peor que un contacto simple pero inmediato.</w:t>
      </w:r>
    </w:p>
    <w:p>
      <w:pPr>
        <w:spacing w:before="320" w:after="40"/>
      </w:pPr>
      <w:r>
        <w:rPr>
          <w:rFonts w:ascii="IBM Plex Sans" w:hAnsi="IBM Plex Sans" w:cs="IBM Plex Sans"/>
          <w:b/>
          <w:color w:val="1F3A5F"/>
          <w:sz w:val="18"/>
        </w:rPr>
        <w:t>§ 6</w:t>
      </w:r>
    </w:p>
    <w:p>
      <w:pPr>
        <w:spacing w:after="160" w:line="240" w:lineRule="auto"/>
      </w:pPr>
      <w:r>
        <w:rPr>
          <w:rFonts w:ascii="Newsreader" w:hAnsi="Newsreader" w:cs="Newsreader"/>
          <w:color w:val="161412"/>
          <w:sz w:val="38"/>
        </w:rPr>
        <w:t>Canales y verbos de contact</w:t>
      </w:r>
    </w:p>
    <w:p>
      <w:pPr>
        <w:spacing w:after="120" w:line="320" w:lineRule="auto"/>
        <w:jc w:val="both"/>
      </w:pPr>
      <w:r>
        <w:rPr>
          <w:rFonts w:ascii="Newsreader" w:hAnsi="Newsreader" w:cs="Newsreader"/>
          <w:b w:val="0"/>
          <w:i w:val="0"/>
          <w:color w:val="161412"/>
        </w:rPr>
        <w:t>contact suele apoyarse en pocos canales, y con poco le basta. El tiempo hace el trabajo principal; el microcambio de forma o de movimiento lo hace visible; el color puede acompañar, pero no debe ser el canal principal, porque el contacto se siente sobre todo por tiempo, microcambio y relación causal.</w:t>
      </w:r>
    </w:p>
    <w:p>
      <w:pPr>
        <w:spacing w:after="120" w:line="320" w:lineRule="auto"/>
        <w:jc w:val="both"/>
      </w:pPr>
      <w:r>
        <w:rPr>
          <w:rFonts w:ascii="Newsreader" w:hAnsi="Newsreader" w:cs="Newsreader"/>
          <w:b w:val="0"/>
          <w:i w:val="0"/>
          <w:color w:val="161412"/>
        </w:rPr>
        <w:t>Sus verbos —press, tap, activate, focus, trigger— no son gestos distintos que exijan semánticas distintas: contact.press, contact.focus o contact.trigger mantienen la misma lógica, acción registrada, no resultado.</w:t>
      </w:r>
    </w:p>
    <w:p>
      <w:pPr>
        <w:spacing w:before="320" w:after="40"/>
      </w:pPr>
      <w:r>
        <w:rPr>
          <w:rFonts w:ascii="IBM Plex Sans" w:hAnsi="IBM Plex Sans" w:cs="IBM Plex Sans"/>
          <w:b/>
          <w:color w:val="1F3A5F"/>
          <w:sz w:val="18"/>
        </w:rPr>
        <w:t>§ 7</w:t>
      </w:r>
    </w:p>
    <w:p>
      <w:pPr>
        <w:spacing w:after="160" w:line="240" w:lineRule="auto"/>
      </w:pPr>
      <w:r>
        <w:rPr>
          <w:rFonts w:ascii="Newsreader" w:hAnsi="Newsreader" w:cs="Newsreader"/>
          <w:color w:val="161412"/>
          <w:sz w:val="38"/>
        </w:rPr>
        <w:t>contact frente a commit</w:t>
      </w:r>
    </w:p>
    <w:p>
      <w:pPr>
        <w:spacing w:after="120" w:line="320" w:lineRule="auto"/>
        <w:jc w:val="both"/>
      </w:pPr>
      <w:r>
        <w:rPr>
          <w:rFonts w:ascii="Newsreader" w:hAnsi="Newsreader" w:cs="Newsreader"/>
          <w:b w:val="0"/>
          <w:i w:val="0"/>
          <w:color w:val="161412"/>
        </w:rPr>
        <w:t>El par de contraste clave del capítulo es contact.press frente a commit.save + affirm: contact dice «he pulsado»; commit dice «se guardó». El error típico es contact.press + fulfill, que hace que el sistema diga «ya terminó» cuando solo ha empezado.</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contact inicia. commit resuelve.</w:t>
      </w:r>
    </w:p>
    <w:p>
      <w:pPr>
        <w:spacing w:before="320" w:after="40"/>
      </w:pPr>
      <w:r>
        <w:rPr>
          <w:rFonts w:ascii="IBM Plex Sans" w:hAnsi="IBM Plex Sans" w:cs="IBM Plex Sans"/>
          <w:b/>
          <w:color w:val="1F3A5F"/>
          <w:sz w:val="18"/>
        </w:rPr>
        <w:t>§ 8</w:t>
      </w:r>
    </w:p>
    <w:p>
      <w:pPr>
        <w:spacing w:after="160" w:line="240" w:lineRule="auto"/>
      </w:pPr>
      <w:r>
        <w:rPr>
          <w:rFonts w:ascii="Newsreader" w:hAnsi="Newsreader" w:cs="Newsreader"/>
          <w:color w:val="161412"/>
          <w:sz w:val="38"/>
        </w:rPr>
        <w:t>contact frente a signal</w:t>
      </w:r>
    </w:p>
    <w:p>
      <w:pPr>
        <w:spacing w:after="120" w:line="320" w:lineRule="auto"/>
        <w:jc w:val="both"/>
      </w:pPr>
      <w:r>
        <w:rPr>
          <w:rFonts w:ascii="Newsreader" w:hAnsi="Newsreader" w:cs="Newsreader"/>
          <w:b w:val="0"/>
          <w:i w:val="0"/>
          <w:color w:val="161412"/>
        </w:rPr>
        <w:t>contact.press y signal.warn + risk hablan idiomas distintos: el primero dice «he actuado»; el segundo, «atiende esto». No deben mezclarse. Un contacto no debería reclamar atención si todavía no hay nada que evaluar.</w:t>
      </w:r>
    </w:p>
    <w:p>
      <w:pPr>
        <w:spacing w:before="320" w:after="40"/>
      </w:pPr>
      <w:r>
        <w:rPr>
          <w:rFonts w:ascii="IBM Plex Sans" w:hAnsi="IBM Plex Sans" w:cs="IBM Plex Sans"/>
          <w:b/>
          <w:color w:val="1F3A5F"/>
          <w:sz w:val="18"/>
        </w:rPr>
        <w:t>§ 9</w:t>
      </w:r>
    </w:p>
    <w:p>
      <w:pPr>
        <w:spacing w:after="160" w:line="240" w:lineRule="auto"/>
      </w:pPr>
      <w:r>
        <w:rPr>
          <w:rFonts w:ascii="Newsreader" w:hAnsi="Newsreader" w:cs="Newsreader"/>
          <w:color w:val="161412"/>
          <w:sz w:val="38"/>
        </w:rPr>
        <w:t>contact en componentes web</w:t>
      </w:r>
    </w:p>
    <w:p>
      <w:pPr>
        <w:spacing w:after="120" w:line="320" w:lineRule="auto"/>
        <w:jc w:val="both"/>
      </w:pPr>
      <w:r>
        <w:rPr>
          <w:rFonts w:ascii="Newsreader" w:hAnsi="Newsreader" w:cs="Newsreader"/>
          <w:b w:val="0"/>
          <w:i w:val="0"/>
          <w:color w:val="161412"/>
        </w:rPr>
        <w:t>Visto sobre componentes concretos, el reparto queda claro:</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Botón</w:t>
      </w:r>
      <w:r>
        <w:rPr>
          <w:rFonts w:ascii="Newsreader" w:hAnsi="Newsreader" w:cs="Newsreader"/>
          <w:b w:val="0"/>
          <w:i w:val="0"/>
          <w:color w:val="161412"/>
        </w:rPr>
        <w:t xml:space="preserve"> → contact.press: microcompresión, estado pressed, retorno rápido.</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Input</w:t>
      </w:r>
      <w:r>
        <w:rPr>
          <w:rFonts w:ascii="Newsreader" w:hAnsi="Newsreader" w:cs="Newsreader"/>
          <w:b w:val="0"/>
          <w:i w:val="0"/>
          <w:color w:val="161412"/>
        </w:rPr>
        <w:t xml:space="preserve"> → contact.focus: cursor visible, contorno, foco.</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Toggle</w:t>
      </w:r>
      <w:r>
        <w:rPr>
          <w:rFonts w:ascii="Newsreader" w:hAnsi="Newsreader" w:cs="Newsreader"/>
          <w:b w:val="0"/>
          <w:i w:val="0"/>
          <w:color w:val="161412"/>
        </w:rPr>
        <w:t xml:space="preserve"> → contact.press seguido de commit.toggle + affirm: el press registra; el toggle fija.</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Link</w:t>
      </w:r>
      <w:r>
        <w:rPr>
          <w:rFonts w:ascii="Newsreader" w:hAnsi="Newsreader" w:cs="Newsreader"/>
          <w:b w:val="0"/>
          <w:i w:val="0"/>
          <w:color w:val="161412"/>
        </w:rPr>
        <w:t xml:space="preserve"> → contact.press seguido de shift.navigate: la presión no es la navegación.</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Drag</w:t>
      </w:r>
      <w:r>
        <w:rPr>
          <w:rFonts w:ascii="Newsreader" w:hAnsi="Newsreader" w:cs="Newsreader"/>
          <w:b w:val="0"/>
          <w:i w:val="0"/>
          <w:color w:val="161412"/>
        </w:rPr>
        <w:t xml:space="preserve"> → contact.press seguido de handle.pick: el contacto inicia el agarre, pero no lo agota.</w:t>
      </w:r>
    </w:p>
    <w:p>
      <w:pPr>
        <w:spacing w:before="320" w:after="40"/>
      </w:pPr>
      <w:r>
        <w:rPr>
          <w:rFonts w:ascii="IBM Plex Sans" w:hAnsi="IBM Plex Sans" w:cs="IBM Plex Sans"/>
          <w:b/>
          <w:color w:val="1F3A5F"/>
          <w:sz w:val="18"/>
        </w:rPr>
        <w:t>§ 10</w:t>
      </w:r>
    </w:p>
    <w:p>
      <w:pPr>
        <w:spacing w:after="160" w:line="240" w:lineRule="auto"/>
      </w:pPr>
      <w:r>
        <w:rPr>
          <w:rFonts w:ascii="Newsreader" w:hAnsi="Newsreader" w:cs="Newsreader"/>
          <w:color w:val="161412"/>
          <w:sz w:val="38"/>
        </w:rPr>
        <w:t>contact e intent</w:t>
      </w:r>
    </w:p>
    <w:p>
      <w:pPr>
        <w:spacing w:after="120" w:line="320" w:lineRule="auto"/>
        <w:jc w:val="both"/>
      </w:pPr>
      <w:r>
        <w:rPr>
          <w:rFonts w:ascii="Newsreader" w:hAnsi="Newsreader" w:cs="Newsreader"/>
          <w:b w:val="0"/>
          <w:i w:val="0"/>
          <w:color w:val="161412"/>
        </w:rPr>
        <w:t>Lo normal es contact + neutral, o incluso sin intent explícito. En acciones graves, la interfaz puede anticipar el peso mediante forma, color o una señal previa, pero el intent fuerte no debería vivir en el contacto, sino en la señal o en la consecuencia posterior. La secuencia correcta de un borrado lo muestra: contact.press, luego signal.warn + threat, luego commit.delete + loss. Cada peso en su evento.</w:t>
      </w:r>
    </w:p>
    <w:p>
      <w:pPr>
        <w:spacing w:before="320" w:after="40"/>
      </w:pPr>
      <w:r>
        <w:rPr>
          <w:rFonts w:ascii="IBM Plex Sans" w:hAnsi="IBM Plex Sans" w:cs="IBM Plex Sans"/>
          <w:b/>
          <w:color w:val="1F3A5F"/>
          <w:sz w:val="18"/>
        </w:rPr>
        <w:t>§ 11</w:t>
      </w:r>
    </w:p>
    <w:p>
      <w:pPr>
        <w:spacing w:after="160" w:line="240" w:lineRule="auto"/>
      </w:pPr>
      <w:r>
        <w:rPr>
          <w:rFonts w:ascii="Newsreader" w:hAnsi="Newsreader" w:cs="Newsreader"/>
          <w:color w:val="161412"/>
          <w:sz w:val="38"/>
        </w:rPr>
        <w:t>contact y accesibilidad</w:t>
      </w:r>
    </w:p>
    <w:p>
      <w:pPr>
        <w:spacing w:after="120" w:line="320" w:lineRule="auto"/>
        <w:jc w:val="both"/>
      </w:pPr>
      <w:r>
        <w:rPr>
          <w:rFonts w:ascii="Newsreader" w:hAnsi="Newsreader" w:cs="Newsreader"/>
          <w:b w:val="0"/>
          <w:i w:val="0"/>
          <w:color w:val="161412"/>
        </w:rPr>
        <w:t>contact debe sobrevivir sin motion, sin sonido y sin háptica. Si el usuario duda de si ha actuado, el problema no es solo de rendimiento: es de semántica de contacto.</w:t>
      </w:r>
    </w:p>
    <w:p>
      <w:pPr>
        <w:spacing w:before="320" w:after="40"/>
      </w:pPr>
      <w:r>
        <w:rPr>
          <w:rFonts w:ascii="IBM Plex Sans" w:hAnsi="IBM Plex Sans" w:cs="IBM Plex Sans"/>
          <w:b/>
          <w:color w:val="1F3A5F"/>
          <w:sz w:val="18"/>
        </w:rPr>
        <w:t>§ 12</w:t>
      </w:r>
    </w:p>
    <w:p>
      <w:pPr>
        <w:spacing w:after="160" w:line="240" w:lineRule="auto"/>
      </w:pPr>
      <w:r>
        <w:rPr>
          <w:rFonts w:ascii="Newsreader" w:hAnsi="Newsreader" w:cs="Newsreader"/>
          <w:color w:val="161412"/>
          <w:sz w:val="38"/>
        </w:rPr>
        <w:t>Antipatrones</w:t>
      </w:r>
    </w:p>
    <w:p>
      <w:pPr>
        <w:spacing w:after="120" w:line="320" w:lineRule="auto"/>
        <w:jc w:val="both"/>
      </w:pPr>
      <w:r>
        <w:rPr>
          <w:rFonts w:ascii="Newsreader" w:hAnsi="Newsreader" w:cs="Newsreader"/>
          <w:b/>
          <w:i w:val="0"/>
          <w:color w:val="161412"/>
        </w:rPr>
        <w:t>Contacto mudo.</w:t>
      </w:r>
      <w:r>
        <w:rPr>
          <w:rFonts w:ascii="Newsreader" w:hAnsi="Newsreader" w:cs="Newsreader"/>
          <w:b w:val="0"/>
          <w:i w:val="0"/>
          <w:color w:val="161412"/>
        </w:rPr>
        <w:t xml:space="preserve"> El gesto no produce acuse inmediato y el usuario repite la acción: doble click, doble envío, doble pago. Todo contacto se registra de forma perceptible antes de 100 ms, aunque el resultado tarde.</w:t>
      </w:r>
    </w:p>
    <w:p>
      <w:pPr>
        <w:spacing w:after="120" w:line="320" w:lineRule="auto"/>
        <w:jc w:val="both"/>
      </w:pPr>
      <w:r>
        <w:rPr>
          <w:rFonts w:ascii="Newsreader" w:hAnsi="Newsreader" w:cs="Newsreader"/>
          <w:b/>
          <w:i w:val="0"/>
          <w:color w:val="161412"/>
        </w:rPr>
        <w:t>Celebrar el contacto.</w:t>
      </w:r>
      <w:r>
        <w:rPr>
          <w:rFonts w:ascii="Newsreader" w:hAnsi="Newsreader" w:cs="Newsreader"/>
          <w:b w:val="0"/>
          <w:i w:val="0"/>
          <w:color w:val="161412"/>
        </w:rPr>
        <w:t xml:space="preserve"> Animación de éxito al pulsar, antes de que exista resultado. Se promete una consecuencia que aún no ocurrió. El contacto dice «te he sentido»; la celebración, si llega, pertenece al commit.</w:t>
      </w:r>
    </w:p>
    <w:p>
      <w:pPr>
        <w:spacing w:after="120" w:line="320" w:lineRule="auto"/>
        <w:jc w:val="both"/>
      </w:pPr>
      <w:r>
        <w:rPr>
          <w:rFonts w:ascii="Newsreader" w:hAnsi="Newsreader" w:cs="Newsreader"/>
          <w:b/>
          <w:i w:val="0"/>
          <w:color w:val="161412"/>
        </w:rPr>
        <w:t>Acuse desproporcionado.</w:t>
      </w:r>
      <w:r>
        <w:rPr>
          <w:rFonts w:ascii="Newsreader" w:hAnsi="Newsreader" w:cs="Newsreader"/>
          <w:b w:val="0"/>
          <w:i w:val="0"/>
          <w:color w:val="161412"/>
        </w:rPr>
        <w:t xml:space="preserve"> Todo el componente —o la pantalla entera— reacciona a un toque puntual. El acuse pierde localidad y el usuario pierde el hilo entre gesto y respuesta. El acuse ocurre donde ocurrió el gesto.</w:t>
      </w:r>
    </w:p>
    <w:p>
      <w:pPr>
        <w:spacing w:before="320" w:after="40"/>
      </w:pPr>
      <w:r>
        <w:rPr>
          <w:rFonts w:ascii="IBM Plex Sans" w:hAnsi="IBM Plex Sans" w:cs="IBM Plex Sans"/>
          <w:b/>
          <w:color w:val="1F3A5F"/>
          <w:sz w:val="18"/>
        </w:rPr>
        <w:t>§ 13</w:t>
      </w:r>
    </w:p>
    <w:p>
      <w:pPr>
        <w:spacing w:after="160" w:line="240" w:lineRule="auto"/>
      </w:pPr>
      <w:r>
        <w:rPr>
          <w:rFonts w:ascii="Newsreader" w:hAnsi="Newsreader" w:cs="Newsreader"/>
          <w:color w:val="161412"/>
          <w:sz w:val="38"/>
        </w:rPr>
        <w:t>Síntesis</w:t>
      </w:r>
    </w:p>
    <w:p>
      <w:pPr>
        <w:spacing w:after="120" w:line="320" w:lineRule="auto"/>
        <w:jc w:val="both"/>
      </w:pPr>
      <w:r>
        <w:rPr>
          <w:rFonts w:ascii="Newsreader" w:hAnsi="Newsreader" w:cs="Newsreader"/>
          <w:b w:val="0"/>
          <w:i w:val="0"/>
          <w:color w:val="161412"/>
        </w:rPr>
        <w:t>contact es la familia de la agencia mínima. No evalúa, no resuelve, no advierte: responde a una única pregunta —¿el sistema ha sentido mi acción?— y la percepción de agencia que sostiene depende de la proximidad entre acción y respuesta.</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Cuanto más frecuente es una acción, más inmediato y más discreto debe ser su contacto.</w:t>
      </w:r>
    </w:p>
    <w:p>
      <w:pPr>
        <w:spacing w:after="200" w:before="40"/>
      </w:pPr>
      <w:r>
        <w:rPr>
          <w:rFonts w:ascii="IBM Plex Sans" w:hAnsi="IBM Plex Sans" w:cs="IBM Plex Sans"/>
          <w:b/>
          <w:color w:val="1F3A5F"/>
          <w:sz w:val="17"/>
        </w:rPr>
        <w:t xml:space="preserve">TABLA 22.1   </w:t>
      </w:r>
      <w:r>
        <w:rPr>
          <w:rFonts w:ascii="IBM Plex Sans" w:hAnsi="IBM Plex Sans" w:cs="IBM Plex Sans"/>
          <w:color w:val="3A352F"/>
          <w:sz w:val="18"/>
        </w:rPr>
        <w:t xml:space="preserve">Latencia y lectura del contacto</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Latencia</w:t>
            </w:r>
          </w:p>
        </w:tc>
        <w:tc>
          <w:tcPr>
            <w:tcW w:type="dxa" w:w="4158"/>
            <w:shd w:val="clear" w:color="auto" w:fill="EAE4D8"/>
          </w:tcPr>
          <w:p>
            <w:pPr>
              <w:spacing w:after="40"/>
            </w:pPr>
            <w:r>
              <w:rPr>
                <w:sz w:val="17"/>
              </w:rPr>
            </w:r>
            <w:r>
              <w:rPr>
                <w:rFonts w:ascii="IBM Plex Sans" w:hAnsi="IBM Plex Sans" w:cs="IBM Plex Sans"/>
                <w:b/>
                <w:i w:val="0"/>
                <w:color w:val="1F3A5F"/>
                <w:sz w:val="17"/>
              </w:rPr>
              <w:t>Lectura</w:t>
            </w:r>
          </w:p>
        </w:tc>
      </w:tr>
      <w:tr>
        <w:tc>
          <w:tcPr>
            <w:tcW w:type="dxa" w:w="4158"/>
          </w:tcPr>
          <w:p>
            <w:pPr>
              <w:spacing w:after="40"/>
            </w:pPr>
            <w:r>
              <w:rPr>
                <w:sz w:val="17"/>
              </w:rPr>
            </w:r>
            <w:r>
              <w:rPr>
                <w:rFonts w:ascii="IBM Plex Sans" w:hAnsi="IBM Plex Sans" w:cs="IBM Plex Sans"/>
                <w:b w:val="0"/>
                <w:i w:val="0"/>
                <w:color w:val="161412"/>
                <w:sz w:val="17"/>
              </w:rPr>
              <w:t>muy baja</w:t>
            </w:r>
          </w:p>
        </w:tc>
        <w:tc>
          <w:tcPr>
            <w:tcW w:type="dxa" w:w="4158"/>
          </w:tcPr>
          <w:p>
            <w:pPr>
              <w:spacing w:after="40"/>
            </w:pPr>
            <w:r>
              <w:rPr>
                <w:sz w:val="17"/>
              </w:rPr>
            </w:r>
            <w:r>
              <w:rPr>
                <w:rFonts w:ascii="IBM Plex Sans" w:hAnsi="IBM Plex Sans" w:cs="IBM Plex Sans"/>
                <w:b w:val="0"/>
                <w:i w:val="0"/>
                <w:color w:val="161412"/>
                <w:sz w:val="17"/>
              </w:rPr>
              <w:t>contacto</w:t>
            </w:r>
          </w:p>
        </w:tc>
      </w:tr>
      <w:tr>
        <w:tc>
          <w:tcPr>
            <w:tcW w:type="dxa" w:w="4158"/>
          </w:tcPr>
          <w:p>
            <w:pPr>
              <w:spacing w:after="40"/>
            </w:pPr>
            <w:r>
              <w:rPr>
                <w:sz w:val="17"/>
              </w:rPr>
            </w:r>
            <w:r>
              <w:rPr>
                <w:rFonts w:ascii="IBM Plex Sans" w:hAnsi="IBM Plex Sans" w:cs="IBM Plex Sans"/>
                <w:b w:val="0"/>
                <w:i w:val="0"/>
                <w:color w:val="161412"/>
                <w:sz w:val="17"/>
              </w:rPr>
              <w:t>media</w:t>
            </w:r>
          </w:p>
        </w:tc>
        <w:tc>
          <w:tcPr>
            <w:tcW w:type="dxa" w:w="4158"/>
          </w:tcPr>
          <w:p>
            <w:pPr>
              <w:spacing w:after="40"/>
            </w:pPr>
            <w:r>
              <w:rPr>
                <w:sz w:val="17"/>
              </w:rPr>
            </w:r>
            <w:r>
              <w:rPr>
                <w:rFonts w:ascii="IBM Plex Sans" w:hAnsi="IBM Plex Sans" w:cs="IBM Plex Sans"/>
                <w:b w:val="0"/>
                <w:i w:val="0"/>
                <w:color w:val="161412"/>
                <w:sz w:val="17"/>
              </w:rPr>
              <w:t>respuesta</w:t>
            </w:r>
          </w:p>
        </w:tc>
      </w:tr>
      <w:tr>
        <w:tc>
          <w:tcPr>
            <w:tcW w:type="dxa" w:w="4158"/>
          </w:tcPr>
          <w:p>
            <w:pPr>
              <w:spacing w:after="40"/>
            </w:pPr>
            <w:r>
              <w:rPr>
                <w:sz w:val="17"/>
              </w:rPr>
            </w:r>
            <w:r>
              <w:rPr>
                <w:rFonts w:ascii="IBM Plex Sans" w:hAnsi="IBM Plex Sans" w:cs="IBM Plex Sans"/>
                <w:b w:val="0"/>
                <w:i w:val="0"/>
                <w:color w:val="161412"/>
                <w:sz w:val="17"/>
              </w:rPr>
              <w:t>alta</w:t>
            </w:r>
          </w:p>
        </w:tc>
        <w:tc>
          <w:tcPr>
            <w:tcW w:type="dxa" w:w="4158"/>
          </w:tcPr>
          <w:p>
            <w:pPr>
              <w:spacing w:after="40"/>
            </w:pPr>
            <w:r>
              <w:rPr>
                <w:sz w:val="17"/>
              </w:rPr>
            </w:r>
            <w:r>
              <w:rPr>
                <w:rFonts w:ascii="IBM Plex Sans" w:hAnsi="IBM Plex Sans" w:cs="IBM Plex Sans"/>
                <w:b w:val="0"/>
                <w:i w:val="0"/>
                <w:color w:val="161412"/>
                <w:sz w:val="17"/>
              </w:rPr>
              <w:t>duda / desconexión</w:t>
            </w:r>
          </w:p>
        </w:tc>
      </w:tr>
    </w:tbl>
    <w:p>
      <w:pPr>
        <w:spacing w:after="80"/>
      </w:pPr>
    </w:p>
    <w:p>
      <w:pPr>
        <w:spacing w:after="200" w:before="40"/>
      </w:pPr>
      <w:r>
        <w:rPr>
          <w:rFonts w:ascii="IBM Plex Sans" w:hAnsi="IBM Plex Sans" w:cs="IBM Plex Sans"/>
          <w:b/>
          <w:color w:val="1F3A5F"/>
          <w:sz w:val="17"/>
        </w:rPr>
        <w:t xml:space="preserve">TABLA 22.2   </w:t>
      </w:r>
      <w:r>
        <w:rPr>
          <w:rFonts w:ascii="IBM Plex Sans" w:hAnsi="IBM Plex Sans" w:cs="IBM Plex Sans"/>
          <w:color w:val="3A352F"/>
          <w:sz w:val="18"/>
        </w:rPr>
        <w:t xml:space="preserve">Canales de contact y su función</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Canal</w:t>
            </w:r>
          </w:p>
        </w:tc>
        <w:tc>
          <w:tcPr>
            <w:tcW w:type="dxa" w:w="4158"/>
            <w:shd w:val="clear" w:color="auto" w:fill="EAE4D8"/>
          </w:tcPr>
          <w:p>
            <w:pPr>
              <w:spacing w:after="40"/>
            </w:pPr>
            <w:r>
              <w:rPr>
                <w:sz w:val="17"/>
              </w:rPr>
            </w:r>
            <w:r>
              <w:rPr>
                <w:rFonts w:ascii="IBM Plex Sans" w:hAnsi="IBM Plex Sans" w:cs="IBM Plex Sans"/>
                <w:b/>
                <w:i w:val="0"/>
                <w:color w:val="1F3A5F"/>
                <w:sz w:val="17"/>
              </w:rPr>
              <w:t>Función</w:t>
            </w:r>
          </w:p>
        </w:tc>
      </w:tr>
      <w:tr>
        <w:tc>
          <w:tcPr>
            <w:tcW w:type="dxa" w:w="4158"/>
          </w:tcPr>
          <w:p>
            <w:pPr>
              <w:spacing w:after="40"/>
            </w:pPr>
            <w:r>
              <w:rPr>
                <w:sz w:val="17"/>
              </w:rPr>
            </w:r>
            <w:r>
              <w:rPr>
                <w:rFonts w:ascii="IBM Plex Sans" w:hAnsi="IBM Plex Sans" w:cs="IBM Plex Sans"/>
                <w:b w:val="0"/>
                <w:i w:val="0"/>
                <w:color w:val="161412"/>
                <w:sz w:val="17"/>
              </w:rPr>
              <w:t>Tiempo</w:t>
            </w:r>
          </w:p>
        </w:tc>
        <w:tc>
          <w:tcPr>
            <w:tcW w:type="dxa" w:w="4158"/>
          </w:tcPr>
          <w:p>
            <w:pPr>
              <w:spacing w:after="40"/>
            </w:pPr>
            <w:r>
              <w:rPr>
                <w:sz w:val="17"/>
              </w:rPr>
            </w:r>
            <w:r>
              <w:rPr>
                <w:rFonts w:ascii="IBM Plex Sans" w:hAnsi="IBM Plex Sans" w:cs="IBM Plex Sans"/>
                <w:b w:val="0"/>
                <w:i w:val="0"/>
                <w:color w:val="161412"/>
                <w:sz w:val="17"/>
              </w:rPr>
              <w:t>respuesta inmediata</w:t>
            </w:r>
          </w:p>
        </w:tc>
      </w:tr>
      <w:tr>
        <w:tc>
          <w:tcPr>
            <w:tcW w:type="dxa" w:w="4158"/>
          </w:tcPr>
          <w:p>
            <w:pPr>
              <w:spacing w:after="40"/>
            </w:pPr>
            <w:r>
              <w:rPr>
                <w:sz w:val="17"/>
              </w:rPr>
            </w:r>
            <w:r>
              <w:rPr>
                <w:rFonts w:ascii="IBM Plex Sans" w:hAnsi="IBM Plex Sans" w:cs="IBM Plex Sans"/>
                <w:b w:val="0"/>
                <w:i w:val="0"/>
                <w:color w:val="161412"/>
                <w:sz w:val="17"/>
              </w:rPr>
              <w:t>Motion</w:t>
            </w:r>
          </w:p>
        </w:tc>
        <w:tc>
          <w:tcPr>
            <w:tcW w:type="dxa" w:w="4158"/>
          </w:tcPr>
          <w:p>
            <w:pPr>
              <w:spacing w:after="40"/>
            </w:pPr>
            <w:r>
              <w:rPr>
                <w:sz w:val="17"/>
              </w:rPr>
            </w:r>
            <w:r>
              <w:rPr>
                <w:rFonts w:ascii="IBM Plex Sans" w:hAnsi="IBM Plex Sans" w:cs="IBM Plex Sans"/>
                <w:b w:val="0"/>
                <w:i w:val="0"/>
                <w:color w:val="161412"/>
                <w:sz w:val="17"/>
              </w:rPr>
              <w:t>microrespuesta</w:t>
            </w:r>
          </w:p>
        </w:tc>
      </w:tr>
      <w:tr>
        <w:tc>
          <w:tcPr>
            <w:tcW w:type="dxa" w:w="4158"/>
          </w:tcPr>
          <w:p>
            <w:pPr>
              <w:spacing w:after="40"/>
            </w:pPr>
            <w:r>
              <w:rPr>
                <w:sz w:val="17"/>
              </w:rPr>
            </w:r>
            <w:r>
              <w:rPr>
                <w:rFonts w:ascii="IBM Plex Sans" w:hAnsi="IBM Plex Sans" w:cs="IBM Plex Sans"/>
                <w:b w:val="0"/>
                <w:i w:val="0"/>
                <w:color w:val="161412"/>
                <w:sz w:val="17"/>
              </w:rPr>
              <w:t>Forma</w:t>
            </w:r>
          </w:p>
        </w:tc>
        <w:tc>
          <w:tcPr>
            <w:tcW w:type="dxa" w:w="4158"/>
          </w:tcPr>
          <w:p>
            <w:pPr>
              <w:spacing w:after="40"/>
            </w:pPr>
            <w:r>
              <w:rPr>
                <w:sz w:val="17"/>
              </w:rPr>
            </w:r>
            <w:r>
              <w:rPr>
                <w:rFonts w:ascii="IBM Plex Sans" w:hAnsi="IBM Plex Sans" w:cs="IBM Plex Sans"/>
                <w:b w:val="0"/>
                <w:i w:val="0"/>
                <w:color w:val="161412"/>
                <w:sz w:val="17"/>
              </w:rPr>
              <w:t>estado pressed / foco</w:t>
            </w:r>
          </w:p>
        </w:tc>
      </w:tr>
      <w:tr>
        <w:tc>
          <w:tcPr>
            <w:tcW w:type="dxa" w:w="4158"/>
          </w:tcPr>
          <w:p>
            <w:pPr>
              <w:spacing w:after="40"/>
            </w:pPr>
            <w:r>
              <w:rPr>
                <w:sz w:val="17"/>
              </w:rPr>
            </w:r>
            <w:r>
              <w:rPr>
                <w:rFonts w:ascii="IBM Plex Sans" w:hAnsi="IBM Plex Sans" w:cs="IBM Plex Sans"/>
                <w:b w:val="0"/>
                <w:i w:val="0"/>
                <w:color w:val="161412"/>
                <w:sz w:val="17"/>
              </w:rPr>
              <w:t>Sonido</w:t>
            </w:r>
          </w:p>
        </w:tc>
        <w:tc>
          <w:tcPr>
            <w:tcW w:type="dxa" w:w="4158"/>
          </w:tcPr>
          <w:p>
            <w:pPr>
              <w:spacing w:after="40"/>
            </w:pPr>
            <w:r>
              <w:rPr>
                <w:sz w:val="17"/>
              </w:rPr>
            </w:r>
            <w:r>
              <w:rPr>
                <w:rFonts w:ascii="IBM Plex Sans" w:hAnsi="IBM Plex Sans" w:cs="IBM Plex Sans"/>
                <w:b w:val="0"/>
                <w:i w:val="0"/>
                <w:color w:val="161412"/>
                <w:sz w:val="17"/>
              </w:rPr>
              <w:t>click breve opcional</w:t>
            </w:r>
          </w:p>
        </w:tc>
      </w:tr>
      <w:tr>
        <w:tc>
          <w:tcPr>
            <w:tcW w:type="dxa" w:w="4158"/>
          </w:tcPr>
          <w:p>
            <w:pPr>
              <w:spacing w:after="40"/>
            </w:pPr>
            <w:r>
              <w:rPr>
                <w:sz w:val="17"/>
              </w:rPr>
            </w:r>
            <w:r>
              <w:rPr>
                <w:rFonts w:ascii="IBM Plex Sans" w:hAnsi="IBM Plex Sans" w:cs="IBM Plex Sans"/>
                <w:b w:val="0"/>
                <w:i w:val="0"/>
                <w:color w:val="161412"/>
                <w:sz w:val="17"/>
              </w:rPr>
              <w:t>Háptica</w:t>
            </w:r>
          </w:p>
        </w:tc>
        <w:tc>
          <w:tcPr>
            <w:tcW w:type="dxa" w:w="4158"/>
          </w:tcPr>
          <w:p>
            <w:pPr>
              <w:spacing w:after="40"/>
            </w:pPr>
            <w:r>
              <w:rPr>
                <w:sz w:val="17"/>
              </w:rPr>
            </w:r>
            <w:r>
              <w:rPr>
                <w:rFonts w:ascii="IBM Plex Sans" w:hAnsi="IBM Plex Sans" w:cs="IBM Plex Sans"/>
                <w:b w:val="0"/>
                <w:i w:val="0"/>
                <w:color w:val="161412"/>
                <w:sz w:val="17"/>
              </w:rPr>
              <w:t>pulso breve opcional</w:t>
            </w:r>
          </w:p>
        </w:tc>
      </w:tr>
      <w:tr>
        <w:tc>
          <w:tcPr>
            <w:tcW w:type="dxa" w:w="4158"/>
          </w:tcPr>
          <w:p>
            <w:pPr>
              <w:spacing w:after="40"/>
            </w:pPr>
            <w:r>
              <w:rPr>
                <w:sz w:val="17"/>
              </w:rPr>
            </w:r>
            <w:r>
              <w:rPr>
                <w:rFonts w:ascii="IBM Plex Sans" w:hAnsi="IBM Plex Sans" w:cs="IBM Plex Sans"/>
                <w:b w:val="0"/>
                <w:i w:val="0"/>
                <w:color w:val="161412"/>
                <w:sz w:val="17"/>
              </w:rPr>
              <w:t>Color</w:t>
            </w:r>
          </w:p>
        </w:tc>
        <w:tc>
          <w:tcPr>
            <w:tcW w:type="dxa" w:w="4158"/>
          </w:tcPr>
          <w:p>
            <w:pPr>
              <w:spacing w:after="40"/>
            </w:pPr>
            <w:r>
              <w:rPr>
                <w:sz w:val="17"/>
              </w:rPr>
            </w:r>
            <w:r>
              <w:rPr>
                <w:rFonts w:ascii="IBM Plex Sans" w:hAnsi="IBM Plex Sans" w:cs="IBM Plex Sans"/>
                <w:b w:val="0"/>
                <w:i w:val="0"/>
                <w:color w:val="161412"/>
                <w:sz w:val="17"/>
              </w:rPr>
              <w:t>secundario</w:t>
            </w:r>
          </w:p>
        </w:tc>
      </w:tr>
    </w:tbl>
    <w:p>
      <w:pPr>
        <w:spacing w:after="80"/>
      </w:pPr>
    </w:p>
    <w:p>
      <w:pPr>
        <w:spacing w:after="200" w:before="40"/>
      </w:pPr>
      <w:r>
        <w:rPr>
          <w:rFonts w:ascii="IBM Plex Sans" w:hAnsi="IBM Plex Sans" w:cs="IBM Plex Sans"/>
          <w:b/>
          <w:color w:val="1F3A5F"/>
          <w:sz w:val="17"/>
        </w:rPr>
        <w:t xml:space="preserve">TABLA 22.3   </w:t>
      </w:r>
      <w:r>
        <w:rPr>
          <w:rFonts w:ascii="IBM Plex Sans" w:hAnsi="IBM Plex Sans" w:cs="IBM Plex Sans"/>
          <w:color w:val="3A352F"/>
          <w:sz w:val="18"/>
        </w:rPr>
        <w:t xml:space="preserve">Migraciones de contact cuando falta un canal</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Canal ausente</w:t>
            </w:r>
          </w:p>
        </w:tc>
        <w:tc>
          <w:tcPr>
            <w:tcW w:type="dxa" w:w="4158"/>
            <w:shd w:val="clear" w:color="auto" w:fill="EAE4D8"/>
          </w:tcPr>
          <w:p>
            <w:pPr>
              <w:spacing w:after="40"/>
            </w:pPr>
            <w:r>
              <w:rPr>
                <w:sz w:val="17"/>
              </w:rPr>
            </w:r>
            <w:r>
              <w:rPr>
                <w:rFonts w:ascii="IBM Plex Sans" w:hAnsi="IBM Plex Sans" w:cs="IBM Plex Sans"/>
                <w:b/>
                <w:i w:val="0"/>
                <w:color w:val="1F3A5F"/>
                <w:sz w:val="17"/>
              </w:rPr>
              <w:t>Sustituto</w:t>
            </w:r>
          </w:p>
        </w:tc>
      </w:tr>
      <w:tr>
        <w:tc>
          <w:tcPr>
            <w:tcW w:type="dxa" w:w="4158"/>
          </w:tcPr>
          <w:p>
            <w:pPr>
              <w:spacing w:after="40"/>
            </w:pPr>
            <w:r>
              <w:rPr>
                <w:sz w:val="17"/>
              </w:rPr>
            </w:r>
            <w:r>
              <w:rPr>
                <w:rFonts w:ascii="IBM Plex Sans" w:hAnsi="IBM Plex Sans" w:cs="IBM Plex Sans"/>
                <w:b w:val="0"/>
                <w:i w:val="0"/>
                <w:color w:val="161412"/>
                <w:sz w:val="17"/>
              </w:rPr>
              <w:t>Motion</w:t>
            </w:r>
          </w:p>
        </w:tc>
        <w:tc>
          <w:tcPr>
            <w:tcW w:type="dxa" w:w="4158"/>
          </w:tcPr>
          <w:p>
            <w:pPr>
              <w:spacing w:after="40"/>
            </w:pPr>
            <w:r>
              <w:rPr>
                <w:sz w:val="17"/>
              </w:rPr>
            </w:r>
            <w:r>
              <w:rPr>
                <w:rFonts w:ascii="IBM Plex Sans" w:hAnsi="IBM Plex Sans" w:cs="IBM Plex Sans"/>
                <w:b w:val="0"/>
                <w:i w:val="0"/>
                <w:color w:val="161412"/>
                <w:sz w:val="17"/>
              </w:rPr>
              <w:t>estado pressed, foco visible</w:t>
            </w:r>
          </w:p>
        </w:tc>
      </w:tr>
      <w:tr>
        <w:tc>
          <w:tcPr>
            <w:tcW w:type="dxa" w:w="4158"/>
          </w:tcPr>
          <w:p>
            <w:pPr>
              <w:spacing w:after="40"/>
            </w:pPr>
            <w:r>
              <w:rPr>
                <w:sz w:val="17"/>
              </w:rPr>
            </w:r>
            <w:r>
              <w:rPr>
                <w:rFonts w:ascii="IBM Plex Sans" w:hAnsi="IBM Plex Sans" w:cs="IBM Plex Sans"/>
                <w:b w:val="0"/>
                <w:i w:val="0"/>
                <w:color w:val="161412"/>
                <w:sz w:val="17"/>
              </w:rPr>
              <w:t>Sonido</w:t>
            </w:r>
          </w:p>
        </w:tc>
        <w:tc>
          <w:tcPr>
            <w:tcW w:type="dxa" w:w="4158"/>
          </w:tcPr>
          <w:p>
            <w:pPr>
              <w:spacing w:after="40"/>
            </w:pPr>
            <w:r>
              <w:rPr>
                <w:sz w:val="17"/>
              </w:rPr>
            </w:r>
            <w:r>
              <w:rPr>
                <w:rFonts w:ascii="IBM Plex Sans" w:hAnsi="IBM Plex Sans" w:cs="IBM Plex Sans"/>
                <w:b w:val="0"/>
                <w:i w:val="0"/>
                <w:color w:val="161412"/>
                <w:sz w:val="17"/>
              </w:rPr>
              <w:t>estado visual</w:t>
            </w:r>
          </w:p>
        </w:tc>
      </w:tr>
      <w:tr>
        <w:tc>
          <w:tcPr>
            <w:tcW w:type="dxa" w:w="4158"/>
          </w:tcPr>
          <w:p>
            <w:pPr>
              <w:spacing w:after="40"/>
            </w:pPr>
            <w:r>
              <w:rPr>
                <w:sz w:val="17"/>
              </w:rPr>
            </w:r>
            <w:r>
              <w:rPr>
                <w:rFonts w:ascii="IBM Plex Sans" w:hAnsi="IBM Plex Sans" w:cs="IBM Plex Sans"/>
                <w:b w:val="0"/>
                <w:i w:val="0"/>
                <w:color w:val="161412"/>
                <w:sz w:val="17"/>
              </w:rPr>
              <w:t>Háptica</w:t>
            </w:r>
          </w:p>
        </w:tc>
        <w:tc>
          <w:tcPr>
            <w:tcW w:type="dxa" w:w="4158"/>
          </w:tcPr>
          <w:p>
            <w:pPr>
              <w:spacing w:after="40"/>
            </w:pPr>
            <w:r>
              <w:rPr>
                <w:sz w:val="17"/>
              </w:rPr>
            </w:r>
            <w:r>
              <w:rPr>
                <w:rFonts w:ascii="IBM Plex Sans" w:hAnsi="IBM Plex Sans" w:cs="IBM Plex Sans"/>
                <w:b w:val="0"/>
                <w:i w:val="0"/>
                <w:color w:val="161412"/>
                <w:sz w:val="17"/>
              </w:rPr>
              <w:t>tiempo + forma</w:t>
            </w:r>
          </w:p>
        </w:tc>
      </w:tr>
      <w:tr>
        <w:tc>
          <w:tcPr>
            <w:tcW w:type="dxa" w:w="4158"/>
          </w:tcPr>
          <w:p>
            <w:pPr>
              <w:spacing w:after="40"/>
            </w:pPr>
            <w:r>
              <w:rPr>
                <w:sz w:val="17"/>
              </w:rPr>
            </w:r>
            <w:r>
              <w:rPr>
                <w:rFonts w:ascii="IBM Plex Sans" w:hAnsi="IBM Plex Sans" w:cs="IBM Plex Sans"/>
                <w:b w:val="0"/>
                <w:i w:val="0"/>
                <w:color w:val="161412"/>
                <w:sz w:val="17"/>
              </w:rPr>
              <w:t>Visión</w:t>
            </w:r>
          </w:p>
        </w:tc>
        <w:tc>
          <w:tcPr>
            <w:tcW w:type="dxa" w:w="4158"/>
          </w:tcPr>
          <w:p>
            <w:pPr>
              <w:spacing w:after="40"/>
            </w:pPr>
            <w:r>
              <w:rPr>
                <w:sz w:val="17"/>
              </w:rPr>
            </w:r>
            <w:r>
              <w:rPr>
                <w:rFonts w:ascii="IBM Plex Sans" w:hAnsi="IBM Plex Sans" w:cs="IBM Plex Sans"/>
                <w:b w:val="0"/>
                <w:i w:val="0"/>
                <w:color w:val="161412"/>
                <w:sz w:val="17"/>
              </w:rPr>
              <w:t>anuncio o respuesta auditiva si procede</w:t>
            </w:r>
          </w:p>
        </w:tc>
      </w:tr>
    </w:tbl>
    <w:p>
      <w:pPr>
        <w:spacing w:after="80"/>
      </w:pPr>
    </w:p>
    <w:p>
      <w:pPr>
        <w:spacing w:after="200" w:before="40"/>
      </w:pPr>
      <w:r>
        <w:rPr>
          <w:rFonts w:ascii="IBM Plex Sans" w:hAnsi="IBM Plex Sans" w:cs="IBM Plex Sans"/>
          <w:b/>
          <w:color w:val="1F3A5F"/>
          <w:sz w:val="17"/>
        </w:rPr>
        <w:t xml:space="preserve">TABLA 22.4   </w:t>
      </w:r>
      <w:r>
        <w:rPr>
          <w:rFonts w:ascii="IBM Plex Sans" w:hAnsi="IBM Plex Sans" w:cs="IBM Plex Sans"/>
          <w:color w:val="3A352F"/>
          <w:sz w:val="18"/>
        </w:rPr>
        <w:t xml:space="preserve">Antipatrones de contact</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Antipatrón</w:t>
            </w:r>
          </w:p>
        </w:tc>
        <w:tc>
          <w:tcPr>
            <w:tcW w:type="dxa" w:w="4158"/>
            <w:shd w:val="clear" w:color="auto" w:fill="EAE4D8"/>
          </w:tcPr>
          <w:p>
            <w:pPr>
              <w:spacing w:after="40"/>
            </w:pPr>
            <w:r>
              <w:rPr>
                <w:sz w:val="17"/>
              </w:rPr>
            </w:r>
            <w:r>
              <w:rPr>
                <w:rFonts w:ascii="IBM Plex Sans" w:hAnsi="IBM Plex Sans" w:cs="IBM Plex Sans"/>
                <w:b/>
                <w:i w:val="0"/>
                <w:color w:val="1F3A5F"/>
                <w:sz w:val="17"/>
              </w:rPr>
              <w:t>Problema</w:t>
            </w:r>
          </w:p>
        </w:tc>
      </w:tr>
      <w:tr>
        <w:tc>
          <w:tcPr>
            <w:tcW w:type="dxa" w:w="4158"/>
          </w:tcPr>
          <w:p>
            <w:pPr>
              <w:spacing w:after="40"/>
            </w:pPr>
            <w:r>
              <w:rPr>
                <w:sz w:val="17"/>
              </w:rPr>
            </w:r>
            <w:r>
              <w:rPr>
                <w:rFonts w:ascii="IBM Plex Sans" w:hAnsi="IBM Plex Sans" w:cs="IBM Plex Sans"/>
                <w:b w:val="0"/>
                <w:i w:val="0"/>
                <w:color w:val="161412"/>
                <w:sz w:val="17"/>
              </w:rPr>
              <w:t>Contacto tardío</w:t>
            </w:r>
          </w:p>
        </w:tc>
        <w:tc>
          <w:tcPr>
            <w:tcW w:type="dxa" w:w="4158"/>
          </w:tcPr>
          <w:p>
            <w:pPr>
              <w:spacing w:after="40"/>
            </w:pPr>
            <w:r>
              <w:rPr>
                <w:sz w:val="17"/>
              </w:rPr>
            </w:r>
            <w:r>
              <w:rPr>
                <w:rFonts w:ascii="IBM Plex Sans" w:hAnsi="IBM Plex Sans" w:cs="IBM Plex Sans"/>
                <w:b w:val="0"/>
                <w:i w:val="0"/>
                <w:color w:val="161412"/>
                <w:sz w:val="17"/>
              </w:rPr>
              <w:t>rompe agencia</w:t>
            </w:r>
          </w:p>
        </w:tc>
      </w:tr>
      <w:tr>
        <w:tc>
          <w:tcPr>
            <w:tcW w:type="dxa" w:w="4158"/>
          </w:tcPr>
          <w:p>
            <w:pPr>
              <w:spacing w:after="40"/>
            </w:pPr>
            <w:r>
              <w:rPr>
                <w:sz w:val="17"/>
              </w:rPr>
            </w:r>
            <w:r>
              <w:rPr>
                <w:rFonts w:ascii="IBM Plex Sans" w:hAnsi="IBM Plex Sans" w:cs="IBM Plex Sans"/>
                <w:b w:val="0"/>
                <w:i w:val="0"/>
                <w:color w:val="161412"/>
                <w:sz w:val="17"/>
              </w:rPr>
              <w:t>Contacto exagerado</w:t>
            </w:r>
          </w:p>
        </w:tc>
        <w:tc>
          <w:tcPr>
            <w:tcW w:type="dxa" w:w="4158"/>
          </w:tcPr>
          <w:p>
            <w:pPr>
              <w:spacing w:after="40"/>
            </w:pPr>
            <w:r>
              <w:rPr>
                <w:sz w:val="17"/>
              </w:rPr>
            </w:r>
            <w:r>
              <w:rPr>
                <w:rFonts w:ascii="IBM Plex Sans" w:hAnsi="IBM Plex Sans" w:cs="IBM Plex Sans"/>
                <w:b w:val="0"/>
                <w:i w:val="0"/>
                <w:color w:val="161412"/>
                <w:sz w:val="17"/>
              </w:rPr>
              <w:t>teatraliza acciones menores</w:t>
            </w:r>
          </w:p>
        </w:tc>
      </w:tr>
      <w:tr>
        <w:tc>
          <w:tcPr>
            <w:tcW w:type="dxa" w:w="4158"/>
          </w:tcPr>
          <w:p>
            <w:pPr>
              <w:spacing w:after="40"/>
            </w:pPr>
            <w:r>
              <w:rPr>
                <w:sz w:val="17"/>
              </w:rPr>
            </w:r>
            <w:r>
              <w:rPr>
                <w:rFonts w:ascii="IBM Plex Sans" w:hAnsi="IBM Plex Sans" w:cs="IBM Plex Sans"/>
                <w:b w:val="0"/>
                <w:i w:val="0"/>
                <w:color w:val="161412"/>
                <w:sz w:val="17"/>
              </w:rPr>
              <w:t>Contacto como éxito</w:t>
            </w:r>
          </w:p>
        </w:tc>
        <w:tc>
          <w:tcPr>
            <w:tcW w:type="dxa" w:w="4158"/>
          </w:tcPr>
          <w:p>
            <w:pPr>
              <w:spacing w:after="40"/>
            </w:pPr>
            <w:r>
              <w:rPr>
                <w:sz w:val="17"/>
              </w:rPr>
            </w:r>
            <w:r>
              <w:rPr>
                <w:rFonts w:ascii="IBM Plex Sans" w:hAnsi="IBM Plex Sans" w:cs="IBM Plex Sans"/>
                <w:b w:val="0"/>
                <w:i w:val="0"/>
                <w:color w:val="161412"/>
                <w:sz w:val="17"/>
              </w:rPr>
              <w:t>promete resultado antes de tiempo</w:t>
            </w:r>
          </w:p>
        </w:tc>
      </w:tr>
      <w:tr>
        <w:tc>
          <w:tcPr>
            <w:tcW w:type="dxa" w:w="4158"/>
          </w:tcPr>
          <w:p>
            <w:pPr>
              <w:spacing w:after="40"/>
            </w:pPr>
            <w:r>
              <w:rPr>
                <w:sz w:val="17"/>
              </w:rPr>
            </w:r>
            <w:r>
              <w:rPr>
                <w:rFonts w:ascii="IBM Plex Sans" w:hAnsi="IBM Plex Sans" w:cs="IBM Plex Sans"/>
                <w:b w:val="0"/>
                <w:i w:val="0"/>
                <w:color w:val="161412"/>
                <w:sz w:val="17"/>
              </w:rPr>
              <w:t>Sin respuesta</w:t>
            </w:r>
          </w:p>
        </w:tc>
        <w:tc>
          <w:tcPr>
            <w:tcW w:type="dxa" w:w="4158"/>
          </w:tcPr>
          <w:p>
            <w:pPr>
              <w:spacing w:after="40"/>
            </w:pPr>
            <w:r>
              <w:rPr>
                <w:sz w:val="17"/>
              </w:rPr>
            </w:r>
            <w:r>
              <w:rPr>
                <w:rFonts w:ascii="IBM Plex Sans" w:hAnsi="IBM Plex Sans" w:cs="IBM Plex Sans"/>
                <w:b w:val="0"/>
                <w:i w:val="0"/>
                <w:color w:val="161412"/>
                <w:sz w:val="17"/>
              </w:rPr>
              <w:t>incertidumbre</w:t>
            </w:r>
          </w:p>
        </w:tc>
      </w:tr>
      <w:tr>
        <w:tc>
          <w:tcPr>
            <w:tcW w:type="dxa" w:w="4158"/>
          </w:tcPr>
          <w:p>
            <w:pPr>
              <w:spacing w:after="40"/>
            </w:pPr>
            <w:r>
              <w:rPr>
                <w:sz w:val="17"/>
              </w:rPr>
            </w:r>
            <w:r>
              <w:rPr>
                <w:rFonts w:ascii="IBM Plex Sans" w:hAnsi="IBM Plex Sans" w:cs="IBM Plex Sans"/>
                <w:b w:val="0"/>
                <w:i w:val="0"/>
                <w:color w:val="161412"/>
                <w:sz w:val="17"/>
              </w:rPr>
              <w:t>Solo color</w:t>
            </w:r>
          </w:p>
        </w:tc>
        <w:tc>
          <w:tcPr>
            <w:tcW w:type="dxa" w:w="4158"/>
          </w:tcPr>
          <w:p>
            <w:pPr>
              <w:spacing w:after="40"/>
            </w:pPr>
            <w:r>
              <w:rPr>
                <w:sz w:val="17"/>
              </w:rPr>
            </w:r>
            <w:r>
              <w:rPr>
                <w:rFonts w:ascii="IBM Plex Sans" w:hAnsi="IBM Plex Sans" w:cs="IBM Plex Sans"/>
                <w:b w:val="0"/>
                <w:i w:val="0"/>
                <w:color w:val="161412"/>
                <w:sz w:val="17"/>
              </w:rPr>
              <w:t>respuesta débil o inaccesible</w:t>
            </w:r>
          </w:p>
        </w:tc>
      </w:tr>
      <w:tr>
        <w:tc>
          <w:tcPr>
            <w:tcW w:type="dxa" w:w="4158"/>
          </w:tcPr>
          <w:p>
            <w:pPr>
              <w:spacing w:after="40"/>
            </w:pPr>
            <w:r>
              <w:rPr>
                <w:sz w:val="17"/>
              </w:rPr>
            </w:r>
            <w:r>
              <w:rPr>
                <w:rFonts w:ascii="IBM Plex Sans" w:hAnsi="IBM Plex Sans" w:cs="IBM Plex Sans"/>
                <w:b w:val="0"/>
                <w:i w:val="0"/>
                <w:color w:val="161412"/>
                <w:sz w:val="17"/>
              </w:rPr>
              <w:t>Sonido en todo</w:t>
            </w:r>
          </w:p>
        </w:tc>
        <w:tc>
          <w:tcPr>
            <w:tcW w:type="dxa" w:w="4158"/>
          </w:tcPr>
          <w:p>
            <w:pPr>
              <w:spacing w:after="40"/>
            </w:pPr>
            <w:r>
              <w:rPr>
                <w:sz w:val="17"/>
              </w:rPr>
            </w:r>
            <w:r>
              <w:rPr>
                <w:rFonts w:ascii="IBM Plex Sans" w:hAnsi="IBM Plex Sans" w:cs="IBM Plex Sans"/>
                <w:b w:val="0"/>
                <w:i w:val="0"/>
                <w:color w:val="161412"/>
                <w:sz w:val="17"/>
              </w:rPr>
              <w:t>fatiga</w:t>
            </w:r>
          </w:p>
        </w:tc>
      </w:tr>
    </w:tbl>
    <w:p>
      <w:pPr>
        <w:spacing w:after="80"/>
      </w:pPr>
    </w:p>
    <w:p>
      <w:r>
        <w:br w:type="page"/>
      </w:r>
    </w:p>
    <w:p>
      <w:pPr>
        <w:spacing w:after="40"/>
      </w:pPr>
      <w:r>
        <w:rPr>
          <w:rFonts w:ascii="IBM Plex Sans" w:hAnsi="IBM Plex Sans" w:cs="IBM Plex Sans"/>
          <w:b/>
          <w:color w:val="1F3A5F"/>
          <w:sz w:val="18"/>
        </w:rPr>
        <w:t>CAPÍTULO 23</w:t>
      </w:r>
    </w:p>
    <w:p>
      <w:pPr>
        <w:spacing w:after="80" w:line="240" w:lineRule="auto"/>
      </w:pPr>
      <w:r>
        <w:rPr>
          <w:rFonts w:ascii="IBM Plex Sans" w:hAnsi="IBM Plex Sans" w:cs="IBM Plex Sans"/>
          <w:color w:val="161412"/>
          <w:sz w:val="220"/>
        </w:rPr>
        <w:t>23</w:t>
      </w:r>
    </w:p>
    <w:p>
      <w:pPr>
        <w:spacing w:after="60" w:line="240" w:lineRule="auto"/>
      </w:pPr>
      <w:r>
        <w:rPr>
          <w:rFonts w:ascii="Newsreader" w:hAnsi="Newsreader" w:cs="Newsreader"/>
          <w:color w:val="161412"/>
          <w:sz w:val="60"/>
        </w:rPr>
        <w:t>Commit</w:t>
      </w:r>
    </w:p>
    <w:p>
      <w:pPr>
        <w:spacing w:after="280"/>
      </w:pPr>
      <w:r>
        <w:rPr>
          <w:rFonts w:ascii="IBM Plex Sans" w:hAnsi="IBM Plex Sans" w:cs="IBM Plex Sans"/>
          <w:color w:val="6A635A"/>
          <w:sz w:val="26"/>
        </w:rPr>
        <w:t>Cuando algo queda fijado, seleccionado, completado o perdido</w:t>
      </w:r>
    </w:p>
    <w:p>
      <w:pPr>
        <w:pBdr>
          <w:bottom w:val="single" w:sz="4" w:space="4" w:color="1F3A5F"/>
        </w:pBdr>
      </w:pP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¿Cómo sabe el usuario qué resultado quedó después de actuar?</w:t>
      </w:r>
    </w:p>
    <w:p>
      <w:pPr>
        <w:spacing w:after="120" w:line="320" w:lineRule="auto"/>
        <w:jc w:val="both"/>
      </w:pPr>
      <w:r>
        <w:rPr>
          <w:rFonts w:ascii="Newsreader" w:hAnsi="Newsreader" w:cs="Newsreader"/>
          <w:b w:val="0"/>
          <w:i w:val="0"/>
          <w:color w:val="161412"/>
        </w:rPr>
        <w:t>Pulsas «Guardar» y la pantalla no cambia. ¿Se ha guardado? Cierras, vuelves a abrir, compruebas. O al revés: pulsas «Eliminar», la fila desaparece al instante, y un segundo después te preguntas si era la que querías —y si hay forma de recuperarla—. Entre «lo he pedido» y «ya está hecho» hay un salto que el usuario necesita ver cruzado.</w:t>
      </w:r>
    </w:p>
    <w:p>
      <w:pPr>
        <w:spacing w:after="120" w:line="320" w:lineRule="auto"/>
        <w:jc w:val="both"/>
      </w:pPr>
      <w:r>
        <w:rPr>
          <w:rFonts w:ascii="Newsreader" w:hAnsi="Newsreader" w:cs="Newsreader"/>
          <w:b w:val="0"/>
          <w:i w:val="0"/>
          <w:color w:val="161412"/>
        </w:rPr>
        <w:t>Si contact responde a «¿el sistema ha sentido mi acción?», commit responde a una pregunta distinta y decisiva: ¿qué ha pasado como consecuencia de esa acción? Aquí es donde la interfaz deja de registrar gestos y empieza a producir realidad operativa. Algo queda seleccionado, algo se guarda, algo se envía, se completa, falla, se descarta, se elimina o se pierde. Ese momento —cuando el sistema fija un estado o produce una consecuencia— es commit.</w:t>
      </w:r>
    </w:p>
    <w:p>
      <w:pPr>
        <w:spacing w:before="200" w:after="60"/>
        <w:jc w:val="center"/>
      </w:pPr>
      <w:r>
        <w:drawing>
          <wp:inline xmlns:a="http://schemas.openxmlformats.org/drawingml/2006/main" xmlns:pic="http://schemas.openxmlformats.org/drawingml/2006/picture">
            <wp:extent cx="5029200" cy="3080385"/>
            <wp:docPr id="9009" name="fig23_1"/>
            <wp:cNvGraphicFramePr>
              <a:graphicFrameLocks noChangeAspect="1"/>
            </wp:cNvGraphicFramePr>
            <a:graphic>
              <a:graphicData uri="http://schemas.openxmlformats.org/drawingml/2006/picture">
                <pic:pic>
                  <pic:nvPicPr>
                    <pic:cNvPr id="9009" name="fig23_1"/>
                    <pic:cNvPicPr/>
                  </pic:nvPicPr>
                  <pic:blipFill>
                    <a:blip r:embed="rId908"/>
                    <a:stretch>
                      <a:fillRect/>
                    </a:stretch>
                  </pic:blipFill>
                  <pic:spPr>
                    <a:xfrm>
                      <a:off x="0" y="0"/>
                      <a:ext cx="5029200" cy="3080385"/>
                    </a:xfrm>
                    <a:prstGeom prst="rect"/>
                  </pic:spPr>
                </pic:pic>
              </a:graphicData>
            </a:graphic>
          </wp:inline>
        </w:drawing>
      </w:r>
    </w:p>
    <w:p>
      <w:pPr>
        <w:spacing w:before="320" w:after="40"/>
      </w:pPr>
      <w:r>
        <w:rPr>
          <w:rFonts w:ascii="IBM Plex Sans" w:hAnsi="IBM Plex Sans" w:cs="IBM Plex Sans"/>
          <w:b/>
          <w:color w:val="1F3A5F"/>
          <w:sz w:val="18"/>
        </w:rPr>
        <w:t>§ 1</w:t>
      </w:r>
    </w:p>
    <w:p>
      <w:pPr>
        <w:spacing w:after="160" w:line="240" w:lineRule="auto"/>
      </w:pPr>
      <w:r>
        <w:rPr>
          <w:rFonts w:ascii="Newsreader" w:hAnsi="Newsreader" w:cs="Newsreader"/>
          <w:color w:val="161412"/>
          <w:sz w:val="38"/>
        </w:rPr>
        <w:t>Qué es commit</w:t>
      </w:r>
    </w:p>
    <w:p>
      <w:pPr>
        <w:spacing w:after="120" w:line="320" w:lineRule="auto"/>
        <w:jc w:val="both"/>
      </w:pPr>
      <w:r>
        <w:rPr>
          <w:rFonts w:ascii="Newsreader" w:hAnsi="Newsreader" w:cs="Newsreader"/>
          <w:b w:val="0"/>
          <w:i w:val="0"/>
          <w:color w:val="161412"/>
        </w:rPr>
        <w:t xml:space="preserve">commit es la familia semántica de la fijación de estado o consecuencia. No es el inicio de la operación, ni su proceso, ni la advertencia que la precede: es el momento en que el sistema dice «esto ya ocurrió». Sus verbos recorren el repertorio de esa fijación: </w:t>
      </w:r>
      <w:r>
        <w:rPr>
          <w:rFonts w:ascii="Newsreader" w:hAnsi="Newsreader" w:cs="Newsreader"/>
          <w:b w:val="0"/>
          <w:i/>
          <w:color w:val="161412"/>
        </w:rPr>
        <w:t xml:space="preserve">select</w:t>
      </w:r>
      <w:r>
        <w:rPr>
          <w:rFonts w:ascii="Newsreader" w:hAnsi="Newsreader" w:cs="Newsreader"/>
          <w:b w:val="0"/>
          <w:i w:val="0"/>
          <w:color w:val="161412"/>
        </w:rPr>
        <w:t xml:space="preserve">, </w:t>
      </w:r>
      <w:r>
        <w:rPr>
          <w:rFonts w:ascii="Newsreader" w:hAnsi="Newsreader" w:cs="Newsreader"/>
          <w:b w:val="0"/>
          <w:i/>
          <w:color w:val="161412"/>
        </w:rPr>
        <w:t xml:space="preserve">save</w:t>
      </w:r>
      <w:r>
        <w:rPr>
          <w:rFonts w:ascii="Newsreader" w:hAnsi="Newsreader" w:cs="Newsreader"/>
          <w:b w:val="0"/>
          <w:i w:val="0"/>
          <w:color w:val="161412"/>
        </w:rPr>
        <w:t xml:space="preserve">, </w:t>
      </w:r>
      <w:r>
        <w:rPr>
          <w:rFonts w:ascii="Newsreader" w:hAnsi="Newsreader" w:cs="Newsreader"/>
          <w:b w:val="0"/>
          <w:i/>
          <w:color w:val="161412"/>
        </w:rPr>
        <w:t xml:space="preserve">submit</w:t>
      </w:r>
      <w:r>
        <w:rPr>
          <w:rFonts w:ascii="Newsreader" w:hAnsi="Newsreader" w:cs="Newsreader"/>
          <w:b w:val="0"/>
          <w:i w:val="0"/>
          <w:color w:val="161412"/>
        </w:rPr>
        <w:t xml:space="preserve">, </w:t>
      </w:r>
      <w:r>
        <w:rPr>
          <w:rFonts w:ascii="Newsreader" w:hAnsi="Newsreader" w:cs="Newsreader"/>
          <w:b w:val="0"/>
          <w:i/>
          <w:color w:val="161412"/>
        </w:rPr>
        <w:t xml:space="preserve">complete</w:t>
      </w:r>
      <w:r>
        <w:rPr>
          <w:rFonts w:ascii="Newsreader" w:hAnsi="Newsreader" w:cs="Newsreader"/>
          <w:b w:val="0"/>
          <w:i w:val="0"/>
          <w:color w:val="161412"/>
        </w:rPr>
        <w:t xml:space="preserve">, </w:t>
      </w:r>
      <w:r>
        <w:rPr>
          <w:rFonts w:ascii="Newsreader" w:hAnsi="Newsreader" w:cs="Newsreader"/>
          <w:b w:val="0"/>
          <w:i/>
          <w:color w:val="161412"/>
        </w:rPr>
        <w:t xml:space="preserve">partial</w:t>
      </w:r>
      <w:r>
        <w:rPr>
          <w:rFonts w:ascii="Newsreader" w:hAnsi="Newsreader" w:cs="Newsreader"/>
          <w:b w:val="0"/>
          <w:i w:val="0"/>
          <w:color w:val="161412"/>
        </w:rPr>
        <w:t xml:space="preserve">, </w:t>
      </w:r>
      <w:r>
        <w:rPr>
          <w:rFonts w:ascii="Newsreader" w:hAnsi="Newsreader" w:cs="Newsreader"/>
          <w:b w:val="0"/>
          <w:i/>
          <w:color w:val="161412"/>
        </w:rPr>
        <w:t xml:space="preserve">fail</w:t>
      </w:r>
      <w:r>
        <w:rPr>
          <w:rFonts w:ascii="Newsreader" w:hAnsi="Newsreader" w:cs="Newsreader"/>
          <w:b w:val="0"/>
          <w:i w:val="0"/>
          <w:color w:val="161412"/>
        </w:rPr>
        <w:t xml:space="preserve">, </w:t>
      </w:r>
      <w:r>
        <w:rPr>
          <w:rFonts w:ascii="Newsreader" w:hAnsi="Newsreader" w:cs="Newsreader"/>
          <w:b w:val="0"/>
          <w:i/>
          <w:color w:val="161412"/>
        </w:rPr>
        <w:t xml:space="preserve">block</w:t>
      </w:r>
      <w:r>
        <w:rPr>
          <w:rFonts w:ascii="Newsreader" w:hAnsi="Newsreader" w:cs="Newsreader"/>
          <w:b w:val="0"/>
          <w:i w:val="0"/>
          <w:color w:val="161412"/>
        </w:rPr>
        <w:t xml:space="preserve">, </w:t>
      </w:r>
      <w:r>
        <w:rPr>
          <w:rFonts w:ascii="Newsreader" w:hAnsi="Newsreader" w:cs="Newsreader"/>
          <w:b w:val="0"/>
          <w:i/>
          <w:color w:val="161412"/>
        </w:rPr>
        <w:t xml:space="preserve">delete</w:t>
      </w:r>
      <w:r>
        <w:rPr>
          <w:rFonts w:ascii="Newsreader" w:hAnsi="Newsreader" w:cs="Newsreader"/>
          <w:b w:val="0"/>
          <w:i w:val="0"/>
          <w:color w:val="161412"/>
        </w:rPr>
        <w:t xml:space="preserve">, </w:t>
      </w:r>
      <w:r>
        <w:rPr>
          <w:rFonts w:ascii="Newsreader" w:hAnsi="Newsreader" w:cs="Newsreader"/>
          <w:b w:val="0"/>
          <w:i/>
          <w:color w:val="161412"/>
        </w:rPr>
        <w:t xml:space="preserve">restore</w:t>
      </w:r>
      <w:r>
        <w:rPr>
          <w:rFonts w:ascii="Newsreader" w:hAnsi="Newsreader" w:cs="Newsreader"/>
          <w:b w:val="0"/>
          <w:i w:val="0"/>
          <w:color w:val="161412"/>
        </w:rPr>
        <w:t xml:space="preserve">, </w:t>
      </w:r>
      <w:r>
        <w:rPr>
          <w:rFonts w:ascii="Newsreader" w:hAnsi="Newsreader" w:cs="Newsreader"/>
          <w:b w:val="0"/>
          <w:i/>
          <w:color w:val="161412"/>
        </w:rPr>
        <w:t xml:space="preserve">cancel</w:t>
      </w:r>
      <w:r>
        <w:rPr>
          <w:rFonts w:ascii="Newsreader" w:hAnsi="Newsreader" w:cs="Newsreader"/>
          <w:b w:val="0"/>
          <w:i w:val="0"/>
          <w:color w:val="161412"/>
        </w:rPr>
        <w:t xml:space="preserve">, </w:t>
      </w:r>
      <w:r>
        <w:rPr>
          <w:rFonts w:ascii="Newsreader" w:hAnsi="Newsreader" w:cs="Newsreader"/>
          <w:b w:val="0"/>
          <w:i/>
          <w:color w:val="161412"/>
        </w:rPr>
        <w:t xml:space="preserve">expire</w:t>
      </w:r>
      <w:r>
        <w:rPr>
          <w:rFonts w:ascii="Newsreader" w:hAnsi="Newsreader" w:cs="Newsreader"/>
          <w:b w:val="0"/>
          <w:i w:val="0"/>
          <w:color w:val="161412"/>
        </w:rPr>
        <w:t xml:space="preserve">, </w:t>
      </w:r>
      <w:r>
        <w:rPr>
          <w:rFonts w:ascii="Newsreader" w:hAnsi="Newsreader" w:cs="Newsreader"/>
          <w:b w:val="0"/>
          <w:i/>
          <w:color w:val="161412"/>
        </w:rPr>
        <w:t xml:space="preserve">discard</w:t>
      </w:r>
      <w:r>
        <w:rPr>
          <w:rFonts w:ascii="Newsreader" w:hAnsi="Newsreader" w:cs="Newsreader"/>
          <w:b w:val="0"/>
          <w:i w:val="0"/>
          <w:color w:val="161412"/>
        </w:rPr>
        <w:t xml:space="preserve">. Y todos comparten una propiedad.</w:t>
      </w:r>
    </w:p>
    <w:p>
      <w:pPr>
        <w:spacing w:before="160" w:after="40"/>
        <w:pBdr>
          <w:left w:val="single" w:sz="18" w:space="12" w:color="1F3A5F"/>
        </w:pBdr>
      </w:pPr>
      <w:r>
        <w:rPr>
          <w:rFonts w:ascii="IBM Plex Sans" w:hAnsi="IBM Plex Sans" w:cs="IBM Plex Sans"/>
          <w:b/>
          <w:color w:val="1F3A5F"/>
          <w:sz w:val="16"/>
        </w:rPr>
        <w:t>DISTINCIÓN</w:t>
      </w:r>
    </w:p>
    <w:p>
      <w:pPr>
        <w:spacing w:after="120" w:line="312" w:lineRule="auto"/>
        <w:pBdr>
          <w:left w:val="single" w:sz="18" w:space="12" w:color="1F3A5F"/>
        </w:pBdr>
      </w:pPr>
      <w:r>
        <w:rPr>
          <w:rFonts w:ascii="Newsreader" w:hAnsi="Newsreader" w:cs="Newsreader"/>
          <w:b w:val="0"/>
          <w:i/>
          <w:color w:val="3A352F"/>
        </w:rPr>
        <w:t xml:space="preserve">Después de un commit, el sistema ya no es exactamente el mismo que antes.</w:t>
      </w:r>
    </w:p>
    <w:p>
      <w:pPr>
        <w:spacing w:before="320" w:after="40"/>
      </w:pPr>
      <w:r>
        <w:rPr>
          <w:rFonts w:ascii="IBM Plex Sans" w:hAnsi="IBM Plex Sans" w:cs="IBM Plex Sans"/>
          <w:b/>
          <w:color w:val="1F3A5F"/>
          <w:sz w:val="18"/>
        </w:rPr>
        <w:t>§ 2</w:t>
      </w:r>
    </w:p>
    <w:p>
      <w:pPr>
        <w:spacing w:after="160" w:line="240" w:lineRule="auto"/>
      </w:pPr>
      <w:r>
        <w:rPr>
          <w:rFonts w:ascii="Newsreader" w:hAnsi="Newsreader" w:cs="Newsreader"/>
          <w:color w:val="161412"/>
          <w:sz w:val="38"/>
        </w:rPr>
        <w:t>Qué no es commit</w:t>
      </w:r>
    </w:p>
    <w:p>
      <w:pPr>
        <w:spacing w:after="120" w:line="320" w:lineRule="auto"/>
        <w:jc w:val="both"/>
      </w:pPr>
      <w:r>
        <w:rPr>
          <w:rFonts w:ascii="Newsreader" w:hAnsi="Newsreader" w:cs="Newsreader"/>
          <w:b w:val="0"/>
          <w:i w:val="0"/>
          <w:color w:val="161412"/>
        </w:rPr>
        <w:t xml:space="preserve">También commit se entiende mejor desde sus fronteras: cada una separa la familia de una confusión frecuente:</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commit no es contact.</w:t>
      </w:r>
      <w:r>
        <w:rPr>
          <w:rFonts w:ascii="Newsreader" w:hAnsi="Newsreader" w:cs="Newsreader"/>
          <w:b w:val="0"/>
          <w:i w:val="0"/>
          <w:color w:val="161412"/>
        </w:rPr>
        <w:t xml:space="preserve"> contact.press ≠ commit.save: el sistema puede haber recibido la acción sin haber producido todavía el resultado.</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commit no es sustain.</w:t>
      </w:r>
      <w:r>
        <w:rPr>
          <w:rFonts w:ascii="Newsreader" w:hAnsi="Newsreader" w:cs="Newsreader"/>
          <w:b w:val="0"/>
          <w:i w:val="0"/>
          <w:color w:val="161412"/>
        </w:rPr>
        <w:t xml:space="preserve"> sustain.progress ≠ commit.complete: mientras el proceso sigue en curso, nada ha quedado fijado.</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commit no es signal.</w:t>
      </w:r>
      <w:r>
        <w:rPr>
          <w:rFonts w:ascii="Newsreader" w:hAnsi="Newsreader" w:cs="Newsreader"/>
          <w:b w:val="0"/>
          <w:i w:val="0"/>
          <w:color w:val="161412"/>
        </w:rPr>
        <w:t xml:space="preserve"> signal.warn ≠ commit.fail: una advertencia habla de lo que puede pasar; un resultado, de lo que ya pasó.</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commit no es shift.</w:t>
      </w:r>
      <w:r>
        <w:rPr>
          <w:rFonts w:ascii="Newsreader" w:hAnsi="Newsreader" w:cs="Newsreader"/>
          <w:b w:val="0"/>
          <w:i w:val="0"/>
          <w:color w:val="161412"/>
        </w:rPr>
        <w:t xml:space="preserve"> shift.navigate ≠ commit.submit: cambiar de pantalla no equivale a completar una operación.</w:t>
      </w:r>
    </w:p>
    <w:p>
      <w:pPr>
        <w:spacing w:before="320" w:after="40"/>
      </w:pPr>
      <w:r>
        <w:rPr>
          <w:rFonts w:ascii="IBM Plex Sans" w:hAnsi="IBM Plex Sans" w:cs="IBM Plex Sans"/>
          <w:b/>
          <w:color w:val="1F3A5F"/>
          <w:sz w:val="18"/>
        </w:rPr>
        <w:t>§ 3</w:t>
      </w:r>
    </w:p>
    <w:p>
      <w:pPr>
        <w:spacing w:after="160" w:line="240" w:lineRule="auto"/>
      </w:pPr>
      <w:r>
        <w:rPr>
          <w:rFonts w:ascii="Newsreader" w:hAnsi="Newsreader" w:cs="Newsreader"/>
          <w:color w:val="161412"/>
          <w:sz w:val="38"/>
        </w:rPr>
        <w:t>Fundamento psicoperceptivo: cierre, consecuencia y memoria de estado</w:t>
      </w:r>
    </w:p>
    <w:p>
      <w:pPr>
        <w:spacing w:after="120" w:line="320" w:lineRule="auto"/>
        <w:jc w:val="both"/>
      </w:pPr>
      <w:r>
        <w:rPr>
          <w:rFonts w:ascii="Newsreader" w:hAnsi="Newsreader" w:cs="Newsreader"/>
          <w:b w:val="0"/>
          <w:i w:val="0"/>
          <w:color w:val="161412"/>
        </w:rPr>
        <w:t>commit se apoya en una necesidad fundamental de la acción: saber cuándo una operación produjo consecuencia. El usuario no solo necesita actuar; necesita saber qué quedó después de actuar. Tres dimensiones psicoperceptivas sostienen esa necesidad.</w:t>
      </w:r>
    </w:p>
    <w:p>
      <w:pPr>
        <w:spacing w:after="120" w:line="320" w:lineRule="auto"/>
        <w:jc w:val="both"/>
      </w:pPr>
      <w:r>
        <w:rPr>
          <w:rFonts w:ascii="Newsreader" w:hAnsi="Newsreader" w:cs="Newsreader"/>
          <w:b w:val="0"/>
          <w:i w:val="0"/>
          <w:color w:val="161412"/>
        </w:rPr>
        <w:t>La primera es el cierre cognitivo. Una acción abierta genera incertidumbre, y el usuario necesita percibir cuándo puede dejar de vigilarla: commit cierra la secuencia acción → resultado. Sin cierre, la acción queda suspendida.</w:t>
      </w:r>
    </w:p>
    <w:p>
      <w:pPr>
        <w:spacing w:after="120" w:line="320" w:lineRule="auto"/>
        <w:jc w:val="both"/>
      </w:pPr>
      <w:r>
        <w:rPr>
          <w:rFonts w:ascii="Newsreader" w:hAnsi="Newsreader" w:cs="Newsreader"/>
          <w:b w:val="0"/>
          <w:i w:val="0"/>
          <w:color w:val="161412"/>
        </w:rPr>
        <w:t>La segunda es el resultado de la acción: saber si algo cambió en el sistema —una opción quedó marcada, un documento fue guardado, un archivo se eliminó, una operación falló—.</w:t>
      </w:r>
    </w:p>
    <w:p>
      <w:pPr>
        <w:spacing w:after="120" w:line="320" w:lineRule="auto"/>
        <w:jc w:val="both"/>
      </w:pPr>
      <w:r>
        <w:rPr>
          <w:rFonts w:ascii="Newsreader" w:hAnsi="Newsreader" w:cs="Newsreader"/>
          <w:b w:val="0"/>
          <w:i w:val="0"/>
          <w:color w:val="161412"/>
        </w:rPr>
        <w:t>La tercera es la memoria de estado. Un buen commit deja huella: no desaparece como un contacto, sino que puede quedar como estado seleccionado, mensaje, ausencia, historial, deshacer, marca de completado o error persistente. Por eso commit no solo ocurre: se recuerda.</w:t>
      </w:r>
    </w:p>
    <w:p>
      <w:pPr>
        <w:spacing w:before="320" w:after="40"/>
      </w:pPr>
      <w:r>
        <w:rPr>
          <w:rFonts w:ascii="IBM Plex Sans" w:hAnsi="IBM Plex Sans" w:cs="IBM Plex Sans"/>
          <w:b/>
          <w:color w:val="1F3A5F"/>
          <w:sz w:val="18"/>
        </w:rPr>
        <w:t>§ 4</w:t>
      </w:r>
    </w:p>
    <w:p>
      <w:pPr>
        <w:spacing w:after="160" w:line="240" w:lineRule="auto"/>
      </w:pPr>
      <w:r>
        <w:rPr>
          <w:rFonts w:ascii="Newsreader" w:hAnsi="Newsreader" w:cs="Newsreader"/>
          <w:color w:val="161412"/>
          <w:sz w:val="38"/>
        </w:rPr>
        <w:t>La pregunta perceptiva</w:t>
      </w:r>
    </w:p>
    <w:p>
      <w:pPr>
        <w:spacing w:after="120" w:line="320" w:lineRule="auto"/>
        <w:jc w:val="both"/>
      </w:pPr>
      <w:r>
        <w:rPr>
          <w:rFonts w:ascii="Newsreader" w:hAnsi="Newsreader" w:cs="Newsreader"/>
          <w:b w:val="0"/>
          <w:i w:val="0"/>
          <w:color w:val="161412"/>
        </w:rPr>
        <w:t>commit responde a: ¿qué ha quedado fijado? La pregunta adopta la forma de cada caso concreto —¿se guardó?, ¿se eligió?, ¿se envió?, ¿se completó?, ¿falló?, ¿se perdió?—, pero siempre apunta a lo mismo: la consecuencia que quedó en el sistema.</w:t>
      </w:r>
    </w:p>
    <w:p>
      <w:pPr>
        <w:spacing w:before="320" w:after="40"/>
      </w:pPr>
      <w:r>
        <w:rPr>
          <w:rFonts w:ascii="IBM Plex Sans" w:hAnsi="IBM Plex Sans" w:cs="IBM Plex Sans"/>
          <w:b/>
          <w:color w:val="1F3A5F"/>
          <w:sz w:val="18"/>
        </w:rPr>
        <w:t>§ 5</w:t>
      </w:r>
    </w:p>
    <w:p>
      <w:pPr>
        <w:spacing w:after="160" w:line="240" w:lineRule="auto"/>
      </w:pPr>
      <w:r>
        <w:rPr>
          <w:rFonts w:ascii="Newsreader" w:hAnsi="Newsreader" w:cs="Newsreader"/>
          <w:color w:val="161412"/>
          <w:sz w:val="38"/>
        </w:rPr>
        <w:t>Verbos y tipos de commit</w:t>
      </w:r>
    </w:p>
    <w:p>
      <w:pPr>
        <w:spacing w:after="120" w:line="320" w:lineRule="auto"/>
        <w:jc w:val="both"/>
      </w:pPr>
      <w:r>
        <w:rPr>
          <w:rFonts w:ascii="Newsreader" w:hAnsi="Newsreader" w:cs="Newsreader"/>
          <w:b w:val="0"/>
          <w:i w:val="0"/>
          <w:color w:val="161412"/>
        </w:rPr>
        <w:t>Los verbos de commit definen el tipo de consecuencia, y se agrupan en tres familias de lectura:</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Fijación de estado</w:t>
      </w:r>
      <w:r>
        <w:rPr>
          <w:rFonts w:ascii="Newsreader" w:hAnsi="Newsreader" w:cs="Newsreader"/>
          <w:b w:val="0"/>
          <w:i w:val="0"/>
          <w:color w:val="161412"/>
        </w:rPr>
        <w:t xml:space="preserve"> — commit.select, commit.toggle, commit.save: algo queda aplicado o guardado.</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Resolución de proceso</w:t>
      </w:r>
      <w:r>
        <w:rPr>
          <w:rFonts w:ascii="Newsreader" w:hAnsi="Newsreader" w:cs="Newsreader"/>
          <w:b w:val="0"/>
          <w:i w:val="0"/>
          <w:color w:val="161412"/>
        </w:rPr>
        <w:t xml:space="preserve"> — commit.complete, commit.submit, commit.fail: un proceso terminó, bien o mal.</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Consecuencia irreversible o crítica</w:t>
      </w:r>
      <w:r>
        <w:rPr>
          <w:rFonts w:ascii="Newsreader" w:hAnsi="Newsreader" w:cs="Newsreader"/>
          <w:b w:val="0"/>
          <w:i w:val="0"/>
          <w:color w:val="161412"/>
        </w:rPr>
        <w:t xml:space="preserve"> — commit.delete, commit.discard, commit.expire: algo deja de estar disponible.</w:t>
      </w:r>
    </w:p>
    <w:p>
      <w:pPr>
        <w:spacing w:after="120" w:line="320" w:lineRule="auto"/>
        <w:jc w:val="both"/>
      </w:pPr>
      <w:r>
        <w:rPr>
          <w:rFonts w:ascii="Newsreader" w:hAnsi="Newsreader" w:cs="Newsreader"/>
          <w:b w:val="0"/>
          <w:i w:val="0"/>
          <w:color w:val="161412"/>
        </w:rPr>
        <w:t>A ellos se suman restore, cancel y reset, que devuelven o anulan estado con la misma lógica de fijación.</w:t>
      </w:r>
    </w:p>
    <w:p>
      <w:pPr>
        <w:spacing w:before="320" w:after="40"/>
      </w:pPr>
      <w:r>
        <w:rPr>
          <w:rFonts w:ascii="IBM Plex Sans" w:hAnsi="IBM Plex Sans" w:cs="IBM Plex Sans"/>
          <w:b/>
          <w:color w:val="1F3A5F"/>
          <w:sz w:val="18"/>
        </w:rPr>
        <w:t>§ 6</w:t>
      </w:r>
    </w:p>
    <w:p>
      <w:pPr>
        <w:spacing w:after="160" w:line="240" w:lineRule="auto"/>
      </w:pPr>
      <w:r>
        <w:rPr>
          <w:rFonts w:ascii="Newsreader" w:hAnsi="Newsreader" w:cs="Newsreader"/>
          <w:color w:val="161412"/>
          <w:sz w:val="38"/>
        </w:rPr>
        <w:t>commit, huella e intent</w:t>
      </w:r>
    </w:p>
    <w:p>
      <w:pPr>
        <w:spacing w:after="120" w:line="320" w:lineRule="auto"/>
        <w:jc w:val="both"/>
      </w:pPr>
      <w:r>
        <w:rPr>
          <w:rFonts w:ascii="Newsreader" w:hAnsi="Newsreader" w:cs="Newsreader"/>
          <w:b w:val="0"/>
          <w:i w:val="0"/>
          <w:color w:val="161412"/>
        </w:rPr>
        <w:t>A diferencia de contact, commit suele requerir huella; y es, además, una de las familias donde el intent vive con más fuerza, porque casi toda consecuencia se evalúa:</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val="0"/>
          <w:i w:val="0"/>
          <w:color w:val="161412"/>
        </w:rPr>
        <w:t xml:space="preserve">commit.save + </w:t>
      </w:r>
      <w:r>
        <w:rPr>
          <w:rFonts w:ascii="Newsreader" w:hAnsi="Newsreader" w:cs="Newsreader"/>
          <w:b/>
          <w:i w:val="0"/>
          <w:color w:val="161412"/>
        </w:rPr>
        <w:t>affirm</w:t>
      </w:r>
      <w:r>
        <w:rPr>
          <w:rFonts w:ascii="Newsreader" w:hAnsi="Newsreader" w:cs="Newsreader"/>
          <w:b w:val="0"/>
          <w:i w:val="0"/>
          <w:color w:val="161412"/>
        </w:rPr>
        <w:t xml:space="preserve"> → «todo va bien».</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val="0"/>
          <w:i w:val="0"/>
          <w:color w:val="161412"/>
        </w:rPr>
        <w:t xml:space="preserve">commit.complete + </w:t>
      </w:r>
      <w:r>
        <w:rPr>
          <w:rFonts w:ascii="Newsreader" w:hAnsi="Newsreader" w:cs="Newsreader"/>
          <w:b/>
          <w:i w:val="0"/>
          <w:color w:val="161412"/>
        </w:rPr>
        <w:t>fulfill</w:t>
      </w:r>
      <w:r>
        <w:rPr>
          <w:rFonts w:ascii="Newsreader" w:hAnsi="Newsreader" w:cs="Newsreader"/>
          <w:b w:val="0"/>
          <w:i w:val="0"/>
          <w:color w:val="161412"/>
        </w:rPr>
        <w:t xml:space="preserve"> → «objetivo logrado».</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val="0"/>
          <w:i w:val="0"/>
          <w:color w:val="161412"/>
        </w:rPr>
        <w:t xml:space="preserve">commit.fail + </w:t>
      </w:r>
      <w:r>
        <w:rPr>
          <w:rFonts w:ascii="Newsreader" w:hAnsi="Newsreader" w:cs="Newsreader"/>
          <w:b/>
          <w:i w:val="0"/>
          <w:color w:val="161412"/>
        </w:rPr>
        <w:t>risk</w:t>
      </w:r>
      <w:r>
        <w:rPr>
          <w:rFonts w:ascii="Newsreader" w:hAnsi="Newsreader" w:cs="Newsreader"/>
          <w:b w:val="0"/>
          <w:i w:val="0"/>
          <w:color w:val="161412"/>
        </w:rPr>
        <w:t xml:space="preserve"> → «algo no se completó: revisa».</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val="0"/>
          <w:i w:val="0"/>
          <w:color w:val="161412"/>
        </w:rPr>
        <w:t xml:space="preserve">commit.delete + </w:t>
      </w:r>
      <w:r>
        <w:rPr>
          <w:rFonts w:ascii="Newsreader" w:hAnsi="Newsreader" w:cs="Newsreader"/>
          <w:b/>
          <w:i w:val="0"/>
          <w:color w:val="161412"/>
        </w:rPr>
        <w:t>loss</w:t>
      </w:r>
      <w:r>
        <w:rPr>
          <w:rFonts w:ascii="Newsreader" w:hAnsi="Newsreader" w:cs="Newsreader"/>
          <w:b w:val="0"/>
          <w:i w:val="0"/>
          <w:color w:val="161412"/>
        </w:rPr>
        <w:t xml:space="preserve"> → «esto ya se perdió».</w:t>
      </w:r>
    </w:p>
    <w:p>
      <w:pPr>
        <w:spacing w:after="120" w:line="320" w:lineRule="auto"/>
        <w:jc w:val="both"/>
      </w:pPr>
      <w:r>
        <w:rPr>
          <w:rFonts w:ascii="Newsreader" w:hAnsi="Newsreader" w:cs="Newsreader"/>
          <w:b w:val="0"/>
          <w:i w:val="0"/>
          <w:color w:val="161412"/>
        </w:rPr>
        <w:t>El intent no cambia el evento; cambia cómo se evalúa su consecuencia.</w:t>
      </w:r>
    </w:p>
    <w:p>
      <w:pPr>
        <w:spacing w:after="120" w:line="320" w:lineRule="auto"/>
        <w:jc w:val="both"/>
      </w:pPr>
      <w:r>
        <w:rPr>
          <w:rFonts w:ascii="Newsreader" w:hAnsi="Newsreader" w:cs="Newsreader"/>
          <w:b w:val="0"/>
          <w:i w:val="0"/>
          <w:color w:val="161412"/>
        </w:rPr>
        <w:t xml:space="preserve">La huella tiene una consecuencia arquitectónica que conviene nombrar. Todo evento tiene dos superficies perceptivas que coexisten: la </w:t>
      </w:r>
      <w:r>
        <w:rPr>
          <w:rFonts w:ascii="Newsreader" w:hAnsi="Newsreader" w:cs="Newsreader"/>
          <w:b w:val="0"/>
          <w:i/>
          <w:color w:val="161412"/>
        </w:rPr>
        <w:t xml:space="preserve">ocurrencia</w:t>
      </w:r>
      <w:r>
        <w:rPr>
          <w:rFonts w:ascii="Newsreader" w:hAnsi="Newsreader" w:cs="Newsreader"/>
          <w:b w:val="0"/>
          <w:i w:val="0"/>
          <w:color w:val="161412"/>
        </w:rPr>
        <w:t xml:space="preserve">, que vive durante la ventana perceptiva del evento y luego se disipa, y el </w:t>
      </w:r>
      <w:r>
        <w:rPr>
          <w:rFonts w:ascii="Newsreader" w:hAnsi="Newsreader" w:cs="Newsreader"/>
          <w:b w:val="0"/>
          <w:i/>
          <w:color w:val="161412"/>
        </w:rPr>
        <w:t xml:space="preserve">estado</w:t>
      </w:r>
      <w:r>
        <w:rPr>
          <w:rFonts w:ascii="Newsreader" w:hAnsi="Newsreader" w:cs="Newsreader"/>
          <w:b w:val="0"/>
          <w:i w:val="0"/>
          <w:color w:val="161412"/>
        </w:rPr>
        <w:t xml:space="preserve">, que persiste como su huella. La ocurrencia dice «esto acaba de pasar»; el estado dice «esto es ahora verdad». Un aviso ocurriendo y un campo siendo inválido se leen distinto, y no deberían compartir superficie: si la comparten, retirar la señal obliga a borrar el estado, o conservar el estado congela la señal.</w:t>
      </w:r>
    </w:p>
    <w:p>
      <w:pPr>
        <w:spacing w:after="120" w:line="320" w:lineRule="auto"/>
        <w:jc w:val="both"/>
      </w:pPr>
      <w:r>
        <w:rPr>
          <w:rFonts w:ascii="Newsreader" w:hAnsi="Newsreader" w:cs="Newsreader"/>
          <w:b w:val="0"/>
          <w:i w:val="0"/>
          <w:color w:val="161412"/>
        </w:rPr>
        <w:t xml:space="preserve">Una gramática robusta las mantiene separadas: los canales transitorios se suscriben a la ocurrencia; la huella vive en el estado. Así el commit puede dejar rastro duradero mientras su señal se apaga.</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La ocurrencia dice «esto acaba de pasar». El estado dice «esto es ahora verdad». Colapsarlas hace que la huella se disipe con la señal.</w:t>
      </w:r>
    </w:p>
    <w:p>
      <w:pPr>
        <w:spacing w:before="320" w:after="40"/>
      </w:pPr>
      <w:r>
        <w:rPr>
          <w:rFonts w:ascii="IBM Plex Sans" w:hAnsi="IBM Plex Sans" w:cs="IBM Plex Sans"/>
          <w:b/>
          <w:color w:val="1F3A5F"/>
          <w:sz w:val="18"/>
        </w:rPr>
        <w:t>§ 7</w:t>
      </w:r>
    </w:p>
    <w:p>
      <w:pPr>
        <w:spacing w:after="160" w:line="240" w:lineRule="auto"/>
      </w:pPr>
      <w:r>
        <w:rPr>
          <w:rFonts w:ascii="Newsreader" w:hAnsi="Newsreader" w:cs="Newsreader"/>
          <w:color w:val="161412"/>
          <w:sz w:val="38"/>
        </w:rPr>
        <w:t>Las fronteras temporales: contact y sustain</w:t>
      </w:r>
    </w:p>
    <w:p>
      <w:pPr>
        <w:spacing w:after="120" w:line="320" w:lineRule="auto"/>
        <w:jc w:val="both"/>
      </w:pPr>
      <w:r>
        <w:rPr>
          <w:rFonts w:ascii="Newsreader" w:hAnsi="Newsreader" w:cs="Newsreader"/>
          <w:b w:val="0"/>
          <w:i w:val="0"/>
          <w:color w:val="161412"/>
        </w:rPr>
        <w:t>Las dos confusiones más costosas de commit son temporales. Con contact, el error común es contact.press + fulfill: se celebra antes de saber el resultado, y si la operación falla después, la interfaz mintió. Con sustain, la secuencia correcta es sustain.progress → commit.complete: sustain mantiene, commit cierra, y confundirlos produce incertidumbre —el usuario no sabe si la operación sigue viva o ya terminó—.</w:t>
      </w:r>
    </w:p>
    <w:p>
      <w:pPr>
        <w:spacing w:before="320" w:after="40"/>
      </w:pPr>
      <w:r>
        <w:rPr>
          <w:rFonts w:ascii="IBM Plex Sans" w:hAnsi="IBM Plex Sans" w:cs="IBM Plex Sans"/>
          <w:b/>
          <w:color w:val="1F3A5F"/>
          <w:sz w:val="18"/>
        </w:rPr>
        <w:t>§ 8</w:t>
      </w:r>
    </w:p>
    <w:p>
      <w:pPr>
        <w:spacing w:after="160" w:line="240" w:lineRule="auto"/>
      </w:pPr>
      <w:r>
        <w:rPr>
          <w:rFonts w:ascii="Newsreader" w:hAnsi="Newsreader" w:cs="Newsreader"/>
          <w:color w:val="161412"/>
          <w:sz w:val="38"/>
        </w:rPr>
        <w:t>Ejemplos prácticos</w:t>
      </w:r>
    </w:p>
    <w:p>
      <w:pPr>
        <w:spacing w:after="120" w:line="320" w:lineRule="auto"/>
        <w:jc w:val="both"/>
      </w:pPr>
      <w:r>
        <w:rPr>
          <w:rFonts w:ascii="Newsreader" w:hAnsi="Newsreader" w:cs="Newsreader"/>
          <w:b w:val="0"/>
          <w:i w:val="0"/>
          <w:color w:val="161412"/>
        </w:rPr>
        <w:t>Las secuencias habituales muestran el reparto:</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Guardar</w:t>
      </w:r>
      <w:r>
        <w:rPr>
          <w:rFonts w:ascii="Newsreader" w:hAnsi="Newsreader" w:cs="Newsreader"/>
          <w:b w:val="0"/>
          <w:i w:val="0"/>
          <w:color w:val="161412"/>
        </w:rPr>
        <w:t xml:space="preserve"> → contact.press · sustain.progress · commit.save + affirm</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Enviar</w:t>
      </w:r>
      <w:r>
        <w:rPr>
          <w:rFonts w:ascii="Newsreader" w:hAnsi="Newsreader" w:cs="Newsreader"/>
          <w:b w:val="0"/>
          <w:i w:val="0"/>
          <w:color w:val="161412"/>
        </w:rPr>
        <w:t xml:space="preserve"> → contact.press · sustain.progress · commit.submit + fulfill</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Error</w:t>
      </w:r>
      <w:r>
        <w:rPr>
          <w:rFonts w:ascii="Newsreader" w:hAnsi="Newsreader" w:cs="Newsreader"/>
          <w:b w:val="0"/>
          <w:i w:val="0"/>
          <w:color w:val="161412"/>
        </w:rPr>
        <w:t xml:space="preserve"> → contact.press · commit.fail + risk</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Eliminación</w:t>
      </w:r>
      <w:r>
        <w:rPr>
          <w:rFonts w:ascii="Newsreader" w:hAnsi="Newsreader" w:cs="Newsreader"/>
          <w:b w:val="0"/>
          <w:i w:val="0"/>
          <w:color w:val="161412"/>
        </w:rPr>
        <w:t xml:space="preserve"> → signal.warn + threat · commit.delete + loss</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Toggle</w:t>
      </w:r>
      <w:r>
        <w:rPr>
          <w:rFonts w:ascii="Newsreader" w:hAnsi="Newsreader" w:cs="Newsreader"/>
          <w:b w:val="0"/>
          <w:i w:val="0"/>
          <w:color w:val="161412"/>
        </w:rPr>
        <w:t xml:space="preserve"> → contact.press · commit.toggle + affirm</w:t>
      </w:r>
    </w:p>
    <w:p>
      <w:pPr>
        <w:spacing w:before="320" w:after="40"/>
      </w:pPr>
      <w:r>
        <w:rPr>
          <w:rFonts w:ascii="IBM Plex Sans" w:hAnsi="IBM Plex Sans" w:cs="IBM Plex Sans"/>
          <w:b/>
          <w:color w:val="1F3A5F"/>
          <w:sz w:val="18"/>
        </w:rPr>
        <w:t>§ 9</w:t>
      </w:r>
    </w:p>
    <w:p>
      <w:pPr>
        <w:spacing w:after="160" w:line="240" w:lineRule="auto"/>
      </w:pPr>
      <w:r>
        <w:rPr>
          <w:rFonts w:ascii="Newsreader" w:hAnsi="Newsreader" w:cs="Newsreader"/>
          <w:color w:val="161412"/>
          <w:sz w:val="38"/>
        </w:rPr>
        <w:t>Accesibilidad</w:t>
      </w:r>
    </w:p>
    <w:p>
      <w:pPr>
        <w:spacing w:after="120" w:line="320" w:lineRule="auto"/>
        <w:jc w:val="both"/>
      </w:pPr>
      <w:r>
        <w:rPr>
          <w:rFonts w:ascii="Newsreader" w:hAnsi="Newsreader" w:cs="Newsreader"/>
          <w:b w:val="0"/>
          <w:i w:val="0"/>
          <w:color w:val="161412"/>
        </w:rPr>
        <w:t>commit debe ser visible, persistente y comprensible, y debe sobrevivir sin color, sin sonido y sin motion. Si el usuario no sabe qué ocurrió después de actuar, el commit falló.</w:t>
      </w:r>
    </w:p>
    <w:p>
      <w:pPr>
        <w:spacing w:before="320" w:after="40"/>
      </w:pPr>
      <w:r>
        <w:rPr>
          <w:rFonts w:ascii="IBM Plex Sans" w:hAnsi="IBM Plex Sans" w:cs="IBM Plex Sans"/>
          <w:b/>
          <w:color w:val="1F3A5F"/>
          <w:sz w:val="18"/>
        </w:rPr>
        <w:t>§ 10</w:t>
      </w:r>
    </w:p>
    <w:p>
      <w:pPr>
        <w:spacing w:after="160" w:line="240" w:lineRule="auto"/>
      </w:pPr>
      <w:r>
        <w:rPr>
          <w:rFonts w:ascii="Newsreader" w:hAnsi="Newsreader" w:cs="Newsreader"/>
          <w:color w:val="161412"/>
          <w:sz w:val="38"/>
        </w:rPr>
        <w:t>Antipatrones</w:t>
      </w:r>
    </w:p>
    <w:p>
      <w:pPr>
        <w:spacing w:after="120" w:line="320" w:lineRule="auto"/>
        <w:jc w:val="both"/>
      </w:pPr>
      <w:r>
        <w:rPr>
          <w:rFonts w:ascii="Newsreader" w:hAnsi="Newsreader" w:cs="Newsreader"/>
          <w:b/>
          <w:i w:val="0"/>
          <w:color w:val="161412"/>
        </w:rPr>
        <w:t>Success prematuro.</w:t>
      </w:r>
      <w:r>
        <w:rPr>
          <w:rFonts w:ascii="Newsreader" w:hAnsi="Newsreader" w:cs="Newsreader"/>
          <w:b w:val="0"/>
          <w:i w:val="0"/>
          <w:color w:val="161412"/>
        </w:rPr>
        <w:t xml:space="preserve"> Confirmar como hecho lo que solo se ha pedido. Si la operación falla después, la interfaz mintió. Affirm y fulfill llegan cuando el resultado queda, no cuando se solicita.</w:t>
      </w:r>
    </w:p>
    <w:p>
      <w:pPr>
        <w:spacing w:after="120" w:line="320" w:lineRule="auto"/>
        <w:jc w:val="both"/>
      </w:pPr>
      <w:r>
        <w:rPr>
          <w:rFonts w:ascii="Newsreader" w:hAnsi="Newsreader" w:cs="Newsreader"/>
          <w:b/>
          <w:i w:val="0"/>
          <w:color w:val="161412"/>
        </w:rPr>
        <w:t>Pérdida sin huella.</w:t>
      </w:r>
      <w:r>
        <w:rPr>
          <w:rFonts w:ascii="Newsreader" w:hAnsi="Newsreader" w:cs="Newsreader"/>
          <w:b w:val="0"/>
          <w:i w:val="0"/>
          <w:color w:val="161412"/>
        </w:rPr>
        <w:t xml:space="preserve"> Algo desaparece con un desvanecimiento y no queda rastro, registro ni deshacer. El usuario no puede verificar qué pasó ni repararlo. Todo loss deja huella perceptible y, si es posible, camino de vuelta.</w:t>
      </w:r>
    </w:p>
    <w:p>
      <w:pPr>
        <w:spacing w:after="120" w:line="320" w:lineRule="auto"/>
        <w:jc w:val="both"/>
      </w:pPr>
      <w:r>
        <w:rPr>
          <w:rFonts w:ascii="Newsreader" w:hAnsi="Newsreader" w:cs="Newsreader"/>
          <w:b/>
          <w:i w:val="0"/>
          <w:color w:val="161412"/>
        </w:rPr>
        <w:t>Resultado mudo.</w:t>
      </w:r>
      <w:r>
        <w:rPr>
          <w:rFonts w:ascii="Newsreader" w:hAnsi="Newsreader" w:cs="Newsreader"/>
          <w:b w:val="0"/>
          <w:i w:val="0"/>
          <w:color w:val="161412"/>
        </w:rPr>
        <w:t xml:space="preserve"> La acción se aplica pero nada lo dice: el usuario guarda y se queda mirando, sin saber si guardó. Todo commit relevante tiene expresión propia, aunque sea mínima.</w:t>
      </w:r>
    </w:p>
    <w:p>
      <w:pPr>
        <w:spacing w:before="320" w:after="40"/>
      </w:pPr>
      <w:r>
        <w:rPr>
          <w:rFonts w:ascii="IBM Plex Sans" w:hAnsi="IBM Plex Sans" w:cs="IBM Plex Sans"/>
          <w:b/>
          <w:color w:val="1F3A5F"/>
          <w:sz w:val="18"/>
        </w:rPr>
        <w:t>§ 11</w:t>
      </w:r>
    </w:p>
    <w:p>
      <w:pPr>
        <w:spacing w:after="160" w:line="240" w:lineRule="auto"/>
      </w:pPr>
      <w:r>
        <w:rPr>
          <w:rFonts w:ascii="Newsreader" w:hAnsi="Newsreader" w:cs="Newsreader"/>
          <w:color w:val="161412"/>
          <w:sz w:val="38"/>
        </w:rPr>
        <w:t>Síntesis</w:t>
      </w:r>
    </w:p>
    <w:p>
      <w:pPr>
        <w:spacing w:after="120" w:line="320" w:lineRule="auto"/>
        <w:jc w:val="both"/>
      </w:pPr>
      <w:r>
        <w:rPr>
          <w:rFonts w:ascii="Newsreader" w:hAnsi="Newsreader" w:cs="Newsreader"/>
          <w:b w:val="0"/>
          <w:i w:val="0"/>
          <w:color w:val="161412"/>
        </w:rPr>
        <w:t>commit es la familia donde la interfaz produce consecuencias: comunica qué resultado quedó y qué cambió en el sistema. Su tesis cabe en una frase.</w:t>
      </w:r>
    </w:p>
    <w:p>
      <w:pPr>
        <w:spacing w:before="160" w:after="40"/>
        <w:pBdr>
          <w:left w:val="single" w:sz="18" w:space="12" w:color="1F3A5F"/>
        </w:pBdr>
      </w:pPr>
      <w:r>
        <w:rPr>
          <w:rFonts w:ascii="IBM Plex Sans" w:hAnsi="IBM Plex Sans" w:cs="IBM Plex Sans"/>
          <w:b/>
          <w:color w:val="1F3A5F"/>
          <w:sz w:val="16"/>
        </w:rPr>
        <w:t>DISTINCIÓN</w:t>
      </w:r>
    </w:p>
    <w:p>
      <w:pPr>
        <w:spacing w:after="120" w:line="312" w:lineRule="auto"/>
        <w:pBdr>
          <w:left w:val="single" w:sz="18" w:space="12" w:color="1F3A5F"/>
        </w:pBdr>
      </w:pPr>
      <w:r>
        <w:rPr>
          <w:rFonts w:ascii="Newsreader" w:hAnsi="Newsreader" w:cs="Newsreader"/>
          <w:b w:val="0"/>
          <w:i/>
          <w:color w:val="3A352F"/>
        </w:rPr>
        <w:t>El significado de la interfaz no está en el click. Está en lo que queda después.</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Todo evento importante debe dejar una huella perceptible de su consecuencia.</w:t>
      </w:r>
    </w:p>
    <w:p>
      <w:pPr>
        <w:spacing w:after="200" w:before="40"/>
      </w:pPr>
      <w:r>
        <w:rPr>
          <w:rFonts w:ascii="IBM Plex Sans" w:hAnsi="IBM Plex Sans" w:cs="IBM Plex Sans"/>
          <w:b/>
          <w:color w:val="1F3A5F"/>
          <w:sz w:val="17"/>
        </w:rPr>
        <w:t xml:space="preserve">TABLA 23.1   </w:t>
      </w:r>
      <w:r>
        <w:rPr>
          <w:rFonts w:ascii="IBM Plex Sans" w:hAnsi="IBM Plex Sans" w:cs="IBM Plex Sans"/>
          <w:color w:val="3A352F"/>
          <w:sz w:val="18"/>
        </w:rPr>
        <w:t xml:space="preserve">Tipos de commit y su lectura</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Tipo</w:t>
            </w:r>
          </w:p>
        </w:tc>
        <w:tc>
          <w:tcPr>
            <w:tcW w:type="dxa" w:w="2772"/>
            <w:shd w:val="clear" w:color="auto" w:fill="EAE4D8"/>
          </w:tcPr>
          <w:p>
            <w:pPr>
              <w:spacing w:after="40"/>
            </w:pPr>
            <w:r>
              <w:rPr>
                <w:sz w:val="17"/>
              </w:rPr>
            </w:r>
            <w:r>
              <w:rPr>
                <w:rFonts w:ascii="IBM Plex Sans" w:hAnsi="IBM Plex Sans" w:cs="IBM Plex Sans"/>
                <w:b/>
                <w:i w:val="0"/>
                <w:color w:val="1F3A5F"/>
                <w:sz w:val="17"/>
              </w:rPr>
              <w:t>Ejemplo</w:t>
            </w:r>
          </w:p>
        </w:tc>
        <w:tc>
          <w:tcPr>
            <w:tcW w:type="dxa" w:w="2772"/>
            <w:shd w:val="clear" w:color="auto" w:fill="EAE4D8"/>
          </w:tcPr>
          <w:p>
            <w:pPr>
              <w:spacing w:after="40"/>
            </w:pPr>
            <w:r>
              <w:rPr>
                <w:sz w:val="17"/>
              </w:rPr>
            </w:r>
            <w:r>
              <w:rPr>
                <w:rFonts w:ascii="IBM Plex Sans" w:hAnsi="IBM Plex Sans" w:cs="IBM Plex Sans"/>
                <w:b/>
                <w:i w:val="0"/>
                <w:color w:val="1F3A5F"/>
                <w:sz w:val="17"/>
              </w:rPr>
              <w:t>Lectura</w:t>
            </w:r>
          </w:p>
        </w:tc>
      </w:tr>
      <w:tr>
        <w:tc>
          <w:tcPr>
            <w:tcW w:type="dxa" w:w="2772"/>
          </w:tcPr>
          <w:p>
            <w:pPr>
              <w:spacing w:after="40"/>
            </w:pPr>
            <w:r>
              <w:rPr>
                <w:sz w:val="17"/>
              </w:rPr>
            </w:r>
            <w:r>
              <w:rPr>
                <w:rFonts w:ascii="IBM Plex Sans" w:hAnsi="IBM Plex Sans" w:cs="IBM Plex Sans"/>
                <w:b w:val="0"/>
                <w:i w:val="0"/>
                <w:color w:val="161412"/>
                <w:sz w:val="17"/>
              </w:rPr>
              <w:t>Estado</w:t>
            </w:r>
          </w:p>
        </w:tc>
        <w:tc>
          <w:tcPr>
            <w:tcW w:type="dxa" w:w="2772"/>
          </w:tcPr>
          <w:p>
            <w:pPr>
              <w:spacing w:after="40"/>
            </w:pPr>
            <w:r>
              <w:rPr>
                <w:sz w:val="17"/>
              </w:rPr>
            </w:r>
            <w:r>
              <w:rPr>
                <w:rFonts w:ascii="IBM Plex Sans" w:hAnsi="IBM Plex Sans" w:cs="IBM Plex Sans"/>
                <w:b w:val="0"/>
                <w:i w:val="0"/>
                <w:color w:val="161412"/>
                <w:sz w:val="17"/>
              </w:rPr>
              <w:t>commit.select</w:t>
            </w:r>
          </w:p>
        </w:tc>
        <w:tc>
          <w:tcPr>
            <w:tcW w:type="dxa" w:w="2772"/>
          </w:tcPr>
          <w:p>
            <w:pPr>
              <w:spacing w:after="40"/>
            </w:pPr>
            <w:r>
              <w:rPr>
                <w:sz w:val="17"/>
              </w:rPr>
            </w:r>
            <w:r>
              <w:rPr>
                <w:rFonts w:ascii="IBM Plex Sans" w:hAnsi="IBM Plex Sans" w:cs="IBM Plex Sans"/>
                <w:b w:val="0"/>
                <w:i w:val="0"/>
                <w:color w:val="161412"/>
                <w:sz w:val="17"/>
              </w:rPr>
              <w:t>esto queda elegido</w:t>
            </w:r>
          </w:p>
        </w:tc>
      </w:tr>
      <w:tr>
        <w:tc>
          <w:tcPr>
            <w:tcW w:type="dxa" w:w="2772"/>
          </w:tcPr>
          <w:p>
            <w:pPr>
              <w:spacing w:after="40"/>
            </w:pPr>
            <w:r>
              <w:rPr>
                <w:sz w:val="17"/>
              </w:rPr>
            </w:r>
            <w:r>
              <w:rPr>
                <w:rFonts w:ascii="IBM Plex Sans" w:hAnsi="IBM Plex Sans" w:cs="IBM Plex Sans"/>
                <w:b w:val="0"/>
                <w:i w:val="0"/>
                <w:color w:val="161412"/>
                <w:sz w:val="17"/>
              </w:rPr>
              <w:t>Proceso</w:t>
            </w:r>
          </w:p>
        </w:tc>
        <w:tc>
          <w:tcPr>
            <w:tcW w:type="dxa" w:w="2772"/>
          </w:tcPr>
          <w:p>
            <w:pPr>
              <w:spacing w:after="40"/>
            </w:pPr>
            <w:r>
              <w:rPr>
                <w:sz w:val="17"/>
              </w:rPr>
            </w:r>
            <w:r>
              <w:rPr>
                <w:rFonts w:ascii="IBM Plex Sans" w:hAnsi="IBM Plex Sans" w:cs="IBM Plex Sans"/>
                <w:b w:val="0"/>
                <w:i w:val="0"/>
                <w:color w:val="161412"/>
                <w:sz w:val="17"/>
              </w:rPr>
              <w:t>commit.complete</w:t>
            </w:r>
          </w:p>
        </w:tc>
        <w:tc>
          <w:tcPr>
            <w:tcW w:type="dxa" w:w="2772"/>
          </w:tcPr>
          <w:p>
            <w:pPr>
              <w:spacing w:after="40"/>
            </w:pPr>
            <w:r>
              <w:rPr>
                <w:sz w:val="17"/>
              </w:rPr>
            </w:r>
            <w:r>
              <w:rPr>
                <w:rFonts w:ascii="IBM Plex Sans" w:hAnsi="IBM Plex Sans" w:cs="IBM Plex Sans"/>
                <w:b w:val="0"/>
                <w:i w:val="0"/>
                <w:color w:val="161412"/>
                <w:sz w:val="17"/>
              </w:rPr>
              <w:t>esto terminó</w:t>
            </w:r>
          </w:p>
        </w:tc>
      </w:tr>
      <w:tr>
        <w:tc>
          <w:tcPr>
            <w:tcW w:type="dxa" w:w="2772"/>
          </w:tcPr>
          <w:p>
            <w:pPr>
              <w:spacing w:after="40"/>
            </w:pPr>
            <w:r>
              <w:rPr>
                <w:sz w:val="17"/>
              </w:rPr>
            </w:r>
            <w:r>
              <w:rPr>
                <w:rFonts w:ascii="IBM Plex Sans" w:hAnsi="IBM Plex Sans" w:cs="IBM Plex Sans"/>
                <w:b w:val="0"/>
                <w:i w:val="0"/>
                <w:color w:val="161412"/>
                <w:sz w:val="17"/>
              </w:rPr>
              <w:t>Consecuencia</w:t>
            </w:r>
          </w:p>
        </w:tc>
        <w:tc>
          <w:tcPr>
            <w:tcW w:type="dxa" w:w="2772"/>
          </w:tcPr>
          <w:p>
            <w:pPr>
              <w:spacing w:after="40"/>
            </w:pPr>
            <w:r>
              <w:rPr>
                <w:sz w:val="17"/>
              </w:rPr>
            </w:r>
            <w:r>
              <w:rPr>
                <w:rFonts w:ascii="IBM Plex Sans" w:hAnsi="IBM Plex Sans" w:cs="IBM Plex Sans"/>
                <w:b w:val="0"/>
                <w:i w:val="0"/>
                <w:color w:val="161412"/>
                <w:sz w:val="17"/>
              </w:rPr>
              <w:t>commit.delete</w:t>
            </w:r>
          </w:p>
        </w:tc>
        <w:tc>
          <w:tcPr>
            <w:tcW w:type="dxa" w:w="2772"/>
          </w:tcPr>
          <w:p>
            <w:pPr>
              <w:spacing w:after="40"/>
            </w:pPr>
            <w:r>
              <w:rPr>
                <w:sz w:val="17"/>
              </w:rPr>
            </w:r>
            <w:r>
              <w:rPr>
                <w:rFonts w:ascii="IBM Plex Sans" w:hAnsi="IBM Plex Sans" w:cs="IBM Plex Sans"/>
                <w:b w:val="0"/>
                <w:i w:val="0"/>
                <w:color w:val="161412"/>
                <w:sz w:val="17"/>
              </w:rPr>
              <w:t>esto ya no está</w:t>
            </w:r>
          </w:p>
        </w:tc>
      </w:tr>
    </w:tbl>
    <w:p>
      <w:pPr>
        <w:spacing w:after="80"/>
      </w:pPr>
    </w:p>
    <w:p>
      <w:pPr>
        <w:spacing w:after="200" w:before="40"/>
      </w:pPr>
      <w:r>
        <w:rPr>
          <w:rFonts w:ascii="IBM Plex Sans" w:hAnsi="IBM Plex Sans" w:cs="IBM Plex Sans"/>
          <w:b/>
          <w:color w:val="1F3A5F"/>
          <w:sz w:val="17"/>
        </w:rPr>
        <w:t xml:space="preserve">TABLA 23.2   </w:t>
      </w:r>
      <w:r>
        <w:rPr>
          <w:rFonts w:ascii="IBM Plex Sans" w:hAnsi="IBM Plex Sans" w:cs="IBM Plex Sans"/>
          <w:color w:val="3A352F"/>
          <w:sz w:val="18"/>
        </w:rPr>
        <w:t xml:space="preserve">Canales de commit y su función</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Canal</w:t>
            </w:r>
          </w:p>
        </w:tc>
        <w:tc>
          <w:tcPr>
            <w:tcW w:type="dxa" w:w="4158"/>
            <w:shd w:val="clear" w:color="auto" w:fill="EAE4D8"/>
          </w:tcPr>
          <w:p>
            <w:pPr>
              <w:spacing w:after="40"/>
            </w:pPr>
            <w:r>
              <w:rPr>
                <w:sz w:val="17"/>
              </w:rPr>
            </w:r>
            <w:r>
              <w:rPr>
                <w:rFonts w:ascii="IBM Plex Sans" w:hAnsi="IBM Plex Sans" w:cs="IBM Plex Sans"/>
                <w:b/>
                <w:i w:val="0"/>
                <w:color w:val="1F3A5F"/>
                <w:sz w:val="17"/>
              </w:rPr>
              <w:t>Función</w:t>
            </w:r>
          </w:p>
        </w:tc>
      </w:tr>
      <w:tr>
        <w:tc>
          <w:tcPr>
            <w:tcW w:type="dxa" w:w="4158"/>
          </w:tcPr>
          <w:p>
            <w:pPr>
              <w:spacing w:after="40"/>
            </w:pPr>
            <w:r>
              <w:rPr>
                <w:sz w:val="17"/>
              </w:rPr>
            </w:r>
            <w:r>
              <w:rPr>
                <w:rFonts w:ascii="IBM Plex Sans" w:hAnsi="IBM Plex Sans" w:cs="IBM Plex Sans"/>
                <w:b w:val="0"/>
                <w:i w:val="0"/>
                <w:color w:val="161412"/>
                <w:sz w:val="17"/>
              </w:rPr>
              <w:t>Forma</w:t>
            </w:r>
          </w:p>
        </w:tc>
        <w:tc>
          <w:tcPr>
            <w:tcW w:type="dxa" w:w="4158"/>
          </w:tcPr>
          <w:p>
            <w:pPr>
              <w:spacing w:after="40"/>
            </w:pPr>
            <w:r>
              <w:rPr>
                <w:sz w:val="17"/>
              </w:rPr>
            </w:r>
            <w:r>
              <w:rPr>
                <w:rFonts w:ascii="IBM Plex Sans" w:hAnsi="IBM Plex Sans" w:cs="IBM Plex Sans"/>
                <w:b w:val="0"/>
                <w:i w:val="0"/>
                <w:color w:val="161412"/>
                <w:sz w:val="17"/>
              </w:rPr>
              <w:t>estado persistente</w:t>
            </w:r>
          </w:p>
        </w:tc>
      </w:tr>
      <w:tr>
        <w:tc>
          <w:tcPr>
            <w:tcW w:type="dxa" w:w="4158"/>
          </w:tcPr>
          <w:p>
            <w:pPr>
              <w:spacing w:after="40"/>
            </w:pPr>
            <w:r>
              <w:rPr>
                <w:sz w:val="17"/>
              </w:rPr>
            </w:r>
            <w:r>
              <w:rPr>
                <w:rFonts w:ascii="IBM Plex Sans" w:hAnsi="IBM Plex Sans" w:cs="IBM Plex Sans"/>
                <w:b w:val="0"/>
                <w:i w:val="0"/>
                <w:color w:val="161412"/>
                <w:sz w:val="17"/>
              </w:rPr>
              <w:t>Presencia</w:t>
            </w:r>
          </w:p>
        </w:tc>
        <w:tc>
          <w:tcPr>
            <w:tcW w:type="dxa" w:w="4158"/>
          </w:tcPr>
          <w:p>
            <w:pPr>
              <w:spacing w:after="40"/>
            </w:pPr>
            <w:r>
              <w:rPr>
                <w:sz w:val="17"/>
              </w:rPr>
            </w:r>
            <w:r>
              <w:rPr>
                <w:rFonts w:ascii="IBM Plex Sans" w:hAnsi="IBM Plex Sans" w:cs="IBM Plex Sans"/>
                <w:b w:val="0"/>
                <w:i w:val="0"/>
                <w:color w:val="161412"/>
                <w:sz w:val="17"/>
              </w:rPr>
              <w:t>aparición o retirada</w:t>
            </w:r>
          </w:p>
        </w:tc>
      </w:tr>
      <w:tr>
        <w:tc>
          <w:tcPr>
            <w:tcW w:type="dxa" w:w="4158"/>
          </w:tcPr>
          <w:p>
            <w:pPr>
              <w:spacing w:after="40"/>
            </w:pPr>
            <w:r>
              <w:rPr>
                <w:sz w:val="17"/>
              </w:rPr>
            </w:r>
            <w:r>
              <w:rPr>
                <w:rFonts w:ascii="IBM Plex Sans" w:hAnsi="IBM Plex Sans" w:cs="IBM Plex Sans"/>
                <w:b w:val="0"/>
                <w:i w:val="0"/>
                <w:color w:val="161412"/>
                <w:sz w:val="17"/>
              </w:rPr>
              <w:t>Motion</w:t>
            </w:r>
          </w:p>
        </w:tc>
        <w:tc>
          <w:tcPr>
            <w:tcW w:type="dxa" w:w="4158"/>
          </w:tcPr>
          <w:p>
            <w:pPr>
              <w:spacing w:after="40"/>
            </w:pPr>
            <w:r>
              <w:rPr>
                <w:sz w:val="17"/>
              </w:rPr>
            </w:r>
            <w:r>
              <w:rPr>
                <w:rFonts w:ascii="IBM Plex Sans" w:hAnsi="IBM Plex Sans" w:cs="IBM Plex Sans"/>
                <w:b w:val="0"/>
                <w:i w:val="0"/>
                <w:color w:val="161412"/>
                <w:sz w:val="17"/>
              </w:rPr>
              <w:t>asentamiento o cierre</w:t>
            </w:r>
          </w:p>
        </w:tc>
      </w:tr>
      <w:tr>
        <w:tc>
          <w:tcPr>
            <w:tcW w:type="dxa" w:w="4158"/>
          </w:tcPr>
          <w:p>
            <w:pPr>
              <w:spacing w:after="40"/>
            </w:pPr>
            <w:r>
              <w:rPr>
                <w:sz w:val="17"/>
              </w:rPr>
            </w:r>
            <w:r>
              <w:rPr>
                <w:rFonts w:ascii="IBM Plex Sans" w:hAnsi="IBM Plex Sans" w:cs="IBM Plex Sans"/>
                <w:b w:val="0"/>
                <w:i w:val="0"/>
                <w:color w:val="161412"/>
                <w:sz w:val="17"/>
              </w:rPr>
              <w:t>Color</w:t>
            </w:r>
          </w:p>
        </w:tc>
        <w:tc>
          <w:tcPr>
            <w:tcW w:type="dxa" w:w="4158"/>
          </w:tcPr>
          <w:p>
            <w:pPr>
              <w:spacing w:after="40"/>
            </w:pPr>
            <w:r>
              <w:rPr>
                <w:sz w:val="17"/>
              </w:rPr>
            </w:r>
            <w:r>
              <w:rPr>
                <w:rFonts w:ascii="IBM Plex Sans" w:hAnsi="IBM Plex Sans" w:cs="IBM Plex Sans"/>
                <w:b w:val="0"/>
                <w:i w:val="0"/>
                <w:color w:val="161412"/>
                <w:sz w:val="17"/>
              </w:rPr>
              <w:t>refuerzo de estado o valencia</w:t>
            </w:r>
          </w:p>
        </w:tc>
      </w:tr>
      <w:tr>
        <w:tc>
          <w:tcPr>
            <w:tcW w:type="dxa" w:w="4158"/>
          </w:tcPr>
          <w:p>
            <w:pPr>
              <w:spacing w:after="40"/>
            </w:pPr>
            <w:r>
              <w:rPr>
                <w:sz w:val="17"/>
              </w:rPr>
            </w:r>
            <w:r>
              <w:rPr>
                <w:rFonts w:ascii="IBM Plex Sans" w:hAnsi="IBM Plex Sans" w:cs="IBM Plex Sans"/>
                <w:b w:val="0"/>
                <w:i w:val="0"/>
                <w:color w:val="161412"/>
                <w:sz w:val="17"/>
              </w:rPr>
              <w:t>Sonido</w:t>
            </w:r>
          </w:p>
        </w:tc>
        <w:tc>
          <w:tcPr>
            <w:tcW w:type="dxa" w:w="4158"/>
          </w:tcPr>
          <w:p>
            <w:pPr>
              <w:spacing w:after="40"/>
            </w:pPr>
            <w:r>
              <w:rPr>
                <w:sz w:val="17"/>
              </w:rPr>
            </w:r>
            <w:r>
              <w:rPr>
                <w:rFonts w:ascii="IBM Plex Sans" w:hAnsi="IBM Plex Sans" w:cs="IBM Plex Sans"/>
                <w:b w:val="0"/>
                <w:i w:val="0"/>
                <w:color w:val="161412"/>
                <w:sz w:val="17"/>
              </w:rPr>
              <w:t>cierre opcional</w:t>
            </w:r>
          </w:p>
        </w:tc>
      </w:tr>
      <w:tr>
        <w:tc>
          <w:tcPr>
            <w:tcW w:type="dxa" w:w="4158"/>
          </w:tcPr>
          <w:p>
            <w:pPr>
              <w:spacing w:after="40"/>
            </w:pPr>
            <w:r>
              <w:rPr>
                <w:sz w:val="17"/>
              </w:rPr>
            </w:r>
            <w:r>
              <w:rPr>
                <w:rFonts w:ascii="IBM Plex Sans" w:hAnsi="IBM Plex Sans" w:cs="IBM Plex Sans"/>
                <w:b w:val="0"/>
                <w:i w:val="0"/>
                <w:color w:val="161412"/>
                <w:sz w:val="17"/>
              </w:rPr>
              <w:t>Háptica</w:t>
            </w:r>
          </w:p>
        </w:tc>
        <w:tc>
          <w:tcPr>
            <w:tcW w:type="dxa" w:w="4158"/>
          </w:tcPr>
          <w:p>
            <w:pPr>
              <w:spacing w:after="40"/>
            </w:pPr>
            <w:r>
              <w:rPr>
                <w:sz w:val="17"/>
              </w:rPr>
            </w:r>
            <w:r>
              <w:rPr>
                <w:rFonts w:ascii="IBM Plex Sans" w:hAnsi="IBM Plex Sans" w:cs="IBM Plex Sans"/>
                <w:b w:val="0"/>
                <w:i w:val="0"/>
                <w:color w:val="161412"/>
                <w:sz w:val="17"/>
              </w:rPr>
              <w:t>impacto o encaje opcional</w:t>
            </w:r>
          </w:p>
        </w:tc>
      </w:tr>
      <w:tr>
        <w:tc>
          <w:tcPr>
            <w:tcW w:type="dxa" w:w="4158"/>
          </w:tcPr>
          <w:p>
            <w:pPr>
              <w:spacing w:after="40"/>
            </w:pPr>
            <w:r>
              <w:rPr>
                <w:sz w:val="17"/>
              </w:rPr>
            </w:r>
            <w:r>
              <w:rPr>
                <w:rFonts w:ascii="IBM Plex Sans" w:hAnsi="IBM Plex Sans" w:cs="IBM Plex Sans"/>
                <w:b w:val="0"/>
                <w:i w:val="0"/>
                <w:color w:val="161412"/>
                <w:sz w:val="17"/>
              </w:rPr>
              <w:t>Tiempo</w:t>
            </w:r>
          </w:p>
        </w:tc>
        <w:tc>
          <w:tcPr>
            <w:tcW w:type="dxa" w:w="4158"/>
          </w:tcPr>
          <w:p>
            <w:pPr>
              <w:spacing w:after="40"/>
            </w:pPr>
            <w:r>
              <w:rPr>
                <w:sz w:val="17"/>
              </w:rPr>
            </w:r>
            <w:r>
              <w:rPr>
                <w:rFonts w:ascii="IBM Plex Sans" w:hAnsi="IBM Plex Sans" w:cs="IBM Plex Sans"/>
                <w:b w:val="0"/>
                <w:i w:val="0"/>
                <w:color w:val="161412"/>
                <w:sz w:val="17"/>
              </w:rPr>
              <w:t>marca el momento de resolución</w:t>
            </w:r>
          </w:p>
        </w:tc>
      </w:tr>
    </w:tbl>
    <w:p>
      <w:pPr>
        <w:spacing w:after="80"/>
      </w:pPr>
    </w:p>
    <w:p>
      <w:pPr>
        <w:spacing w:after="200" w:before="40"/>
      </w:pPr>
      <w:r>
        <w:rPr>
          <w:rFonts w:ascii="IBM Plex Sans" w:hAnsi="IBM Plex Sans" w:cs="IBM Plex Sans"/>
          <w:b/>
          <w:color w:val="1F3A5F"/>
          <w:sz w:val="17"/>
        </w:rPr>
        <w:t xml:space="preserve">TABLA 23.3   </w:t>
      </w:r>
      <w:r>
        <w:rPr>
          <w:rFonts w:ascii="IBM Plex Sans" w:hAnsi="IBM Plex Sans" w:cs="IBM Plex Sans"/>
          <w:color w:val="3A352F"/>
          <w:sz w:val="18"/>
        </w:rPr>
        <w:t xml:space="preserve">Migraciones de commit cuando falta un canal</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Canal ausente</w:t>
            </w:r>
          </w:p>
        </w:tc>
        <w:tc>
          <w:tcPr>
            <w:tcW w:type="dxa" w:w="4158"/>
            <w:shd w:val="clear" w:color="auto" w:fill="EAE4D8"/>
          </w:tcPr>
          <w:p>
            <w:pPr>
              <w:spacing w:after="40"/>
            </w:pPr>
            <w:r>
              <w:rPr>
                <w:sz w:val="17"/>
              </w:rPr>
            </w:r>
            <w:r>
              <w:rPr>
                <w:rFonts w:ascii="IBM Plex Sans" w:hAnsi="IBM Plex Sans" w:cs="IBM Plex Sans"/>
                <w:b/>
                <w:i w:val="0"/>
                <w:color w:val="1F3A5F"/>
                <w:sz w:val="17"/>
              </w:rPr>
              <w:t>Sustituto</w:t>
            </w:r>
          </w:p>
        </w:tc>
      </w:tr>
      <w:tr>
        <w:tc>
          <w:tcPr>
            <w:tcW w:type="dxa" w:w="4158"/>
          </w:tcPr>
          <w:p>
            <w:pPr>
              <w:spacing w:after="40"/>
            </w:pPr>
            <w:r>
              <w:rPr>
                <w:sz w:val="17"/>
              </w:rPr>
            </w:r>
            <w:r>
              <w:rPr>
                <w:rFonts w:ascii="IBM Plex Sans" w:hAnsi="IBM Plex Sans" w:cs="IBM Plex Sans"/>
                <w:b w:val="0"/>
                <w:i w:val="0"/>
                <w:color w:val="161412"/>
                <w:sz w:val="17"/>
              </w:rPr>
              <w:t>Color</w:t>
            </w:r>
          </w:p>
        </w:tc>
        <w:tc>
          <w:tcPr>
            <w:tcW w:type="dxa" w:w="4158"/>
          </w:tcPr>
          <w:p>
            <w:pPr>
              <w:spacing w:after="40"/>
            </w:pPr>
            <w:r>
              <w:rPr>
                <w:sz w:val="17"/>
              </w:rPr>
            </w:r>
            <w:r>
              <w:rPr>
                <w:rFonts w:ascii="IBM Plex Sans" w:hAnsi="IBM Plex Sans" w:cs="IBM Plex Sans"/>
                <w:b w:val="0"/>
                <w:i w:val="0"/>
                <w:color w:val="161412"/>
                <w:sz w:val="17"/>
              </w:rPr>
              <w:t>forma + texto</w:t>
            </w:r>
          </w:p>
        </w:tc>
      </w:tr>
      <w:tr>
        <w:tc>
          <w:tcPr>
            <w:tcW w:type="dxa" w:w="4158"/>
          </w:tcPr>
          <w:p>
            <w:pPr>
              <w:spacing w:after="40"/>
            </w:pPr>
            <w:r>
              <w:rPr>
                <w:sz w:val="17"/>
              </w:rPr>
            </w:r>
            <w:r>
              <w:rPr>
                <w:rFonts w:ascii="IBM Plex Sans" w:hAnsi="IBM Plex Sans" w:cs="IBM Plex Sans"/>
                <w:b w:val="0"/>
                <w:i w:val="0"/>
                <w:color w:val="161412"/>
                <w:sz w:val="17"/>
              </w:rPr>
              <w:t>Motion</w:t>
            </w:r>
          </w:p>
        </w:tc>
        <w:tc>
          <w:tcPr>
            <w:tcW w:type="dxa" w:w="4158"/>
          </w:tcPr>
          <w:p>
            <w:pPr>
              <w:spacing w:after="40"/>
            </w:pPr>
            <w:r>
              <w:rPr>
                <w:sz w:val="17"/>
              </w:rPr>
            </w:r>
            <w:r>
              <w:rPr>
                <w:rFonts w:ascii="IBM Plex Sans" w:hAnsi="IBM Plex Sans" w:cs="IBM Plex Sans"/>
                <w:b w:val="0"/>
                <w:i w:val="0"/>
                <w:color w:val="161412"/>
                <w:sz w:val="17"/>
              </w:rPr>
              <w:t>estado persistente</w:t>
            </w:r>
          </w:p>
        </w:tc>
      </w:tr>
      <w:tr>
        <w:tc>
          <w:tcPr>
            <w:tcW w:type="dxa" w:w="4158"/>
          </w:tcPr>
          <w:p>
            <w:pPr>
              <w:spacing w:after="40"/>
            </w:pPr>
            <w:r>
              <w:rPr>
                <w:sz w:val="17"/>
              </w:rPr>
            </w:r>
            <w:r>
              <w:rPr>
                <w:rFonts w:ascii="IBM Plex Sans" w:hAnsi="IBM Plex Sans" w:cs="IBM Plex Sans"/>
                <w:b w:val="0"/>
                <w:i w:val="0"/>
                <w:color w:val="161412"/>
                <w:sz w:val="17"/>
              </w:rPr>
              <w:t>Sonido</w:t>
            </w:r>
          </w:p>
        </w:tc>
        <w:tc>
          <w:tcPr>
            <w:tcW w:type="dxa" w:w="4158"/>
          </w:tcPr>
          <w:p>
            <w:pPr>
              <w:spacing w:after="40"/>
            </w:pPr>
            <w:r>
              <w:rPr>
                <w:sz w:val="17"/>
              </w:rPr>
            </w:r>
            <w:r>
              <w:rPr>
                <w:rFonts w:ascii="IBM Plex Sans" w:hAnsi="IBM Plex Sans" w:cs="IBM Plex Sans"/>
                <w:b w:val="0"/>
                <w:i w:val="0"/>
                <w:color w:val="161412"/>
                <w:sz w:val="17"/>
              </w:rPr>
              <w:t>mensaje visible</w:t>
            </w:r>
          </w:p>
        </w:tc>
      </w:tr>
      <w:tr>
        <w:tc>
          <w:tcPr>
            <w:tcW w:type="dxa" w:w="4158"/>
          </w:tcPr>
          <w:p>
            <w:pPr>
              <w:spacing w:after="40"/>
            </w:pPr>
            <w:r>
              <w:rPr>
                <w:sz w:val="17"/>
              </w:rPr>
            </w:r>
            <w:r>
              <w:rPr>
                <w:rFonts w:ascii="IBM Plex Sans" w:hAnsi="IBM Plex Sans" w:cs="IBM Plex Sans"/>
                <w:b w:val="0"/>
                <w:i w:val="0"/>
                <w:color w:val="161412"/>
                <w:sz w:val="17"/>
              </w:rPr>
              <w:t>Háptica</w:t>
            </w:r>
          </w:p>
        </w:tc>
        <w:tc>
          <w:tcPr>
            <w:tcW w:type="dxa" w:w="4158"/>
          </w:tcPr>
          <w:p>
            <w:pPr>
              <w:spacing w:after="40"/>
            </w:pPr>
            <w:r>
              <w:rPr>
                <w:sz w:val="17"/>
              </w:rPr>
            </w:r>
            <w:r>
              <w:rPr>
                <w:rFonts w:ascii="IBM Plex Sans" w:hAnsi="IBM Plex Sans" w:cs="IBM Plex Sans"/>
                <w:b w:val="0"/>
                <w:i w:val="0"/>
                <w:color w:val="161412"/>
                <w:sz w:val="17"/>
              </w:rPr>
              <w:t>estado + motion</w:t>
            </w:r>
          </w:p>
        </w:tc>
      </w:tr>
    </w:tbl>
    <w:p>
      <w:pPr>
        <w:spacing w:after="80"/>
      </w:pPr>
    </w:p>
    <w:p>
      <w:pPr>
        <w:spacing w:after="200" w:before="40"/>
      </w:pPr>
      <w:r>
        <w:rPr>
          <w:rFonts w:ascii="IBM Plex Sans" w:hAnsi="IBM Plex Sans" w:cs="IBM Plex Sans"/>
          <w:b/>
          <w:color w:val="1F3A5F"/>
          <w:sz w:val="17"/>
        </w:rPr>
        <w:t xml:space="preserve">TABLA 23.4   </w:t>
      </w:r>
      <w:r>
        <w:rPr>
          <w:rFonts w:ascii="IBM Plex Sans" w:hAnsi="IBM Plex Sans" w:cs="IBM Plex Sans"/>
          <w:color w:val="3A352F"/>
          <w:sz w:val="18"/>
        </w:rPr>
        <w:t xml:space="preserve">Antipatrones de commit</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Antipatrón</w:t>
            </w:r>
          </w:p>
        </w:tc>
        <w:tc>
          <w:tcPr>
            <w:tcW w:type="dxa" w:w="4158"/>
            <w:shd w:val="clear" w:color="auto" w:fill="EAE4D8"/>
          </w:tcPr>
          <w:p>
            <w:pPr>
              <w:spacing w:after="40"/>
            </w:pPr>
            <w:r>
              <w:rPr>
                <w:sz w:val="17"/>
              </w:rPr>
            </w:r>
            <w:r>
              <w:rPr>
                <w:rFonts w:ascii="IBM Plex Sans" w:hAnsi="IBM Plex Sans" w:cs="IBM Plex Sans"/>
                <w:b/>
                <w:i w:val="0"/>
                <w:color w:val="1F3A5F"/>
                <w:sz w:val="17"/>
              </w:rPr>
              <w:t>Problema</w:t>
            </w:r>
          </w:p>
        </w:tc>
      </w:tr>
      <w:tr>
        <w:tc>
          <w:tcPr>
            <w:tcW w:type="dxa" w:w="4158"/>
          </w:tcPr>
          <w:p>
            <w:pPr>
              <w:spacing w:after="40"/>
            </w:pPr>
            <w:r>
              <w:rPr>
                <w:sz w:val="17"/>
              </w:rPr>
            </w:r>
            <w:r>
              <w:rPr>
                <w:rFonts w:ascii="IBM Plex Sans" w:hAnsi="IBM Plex Sans" w:cs="IBM Plex Sans"/>
                <w:b w:val="0"/>
                <w:i w:val="0"/>
                <w:color w:val="161412"/>
                <w:sz w:val="17"/>
              </w:rPr>
              <w:t>Sin commit visible</w:t>
            </w:r>
          </w:p>
        </w:tc>
        <w:tc>
          <w:tcPr>
            <w:tcW w:type="dxa" w:w="4158"/>
          </w:tcPr>
          <w:p>
            <w:pPr>
              <w:spacing w:after="40"/>
            </w:pPr>
            <w:r>
              <w:rPr>
                <w:sz w:val="17"/>
              </w:rPr>
            </w:r>
            <w:r>
              <w:rPr>
                <w:rFonts w:ascii="IBM Plex Sans" w:hAnsi="IBM Plex Sans" w:cs="IBM Plex Sans"/>
                <w:b w:val="0"/>
                <w:i w:val="0"/>
                <w:color w:val="161412"/>
                <w:sz w:val="17"/>
              </w:rPr>
              <w:t>incertidumbre</w:t>
            </w:r>
          </w:p>
        </w:tc>
      </w:tr>
      <w:tr>
        <w:tc>
          <w:tcPr>
            <w:tcW w:type="dxa" w:w="4158"/>
          </w:tcPr>
          <w:p>
            <w:pPr>
              <w:spacing w:after="40"/>
            </w:pPr>
            <w:r>
              <w:rPr>
                <w:sz w:val="17"/>
              </w:rPr>
            </w:r>
            <w:r>
              <w:rPr>
                <w:rFonts w:ascii="IBM Plex Sans" w:hAnsi="IBM Plex Sans" w:cs="IBM Plex Sans"/>
                <w:b w:val="0"/>
                <w:i w:val="0"/>
                <w:color w:val="161412"/>
                <w:sz w:val="17"/>
              </w:rPr>
              <w:t>Commit efímero</w:t>
            </w:r>
          </w:p>
        </w:tc>
        <w:tc>
          <w:tcPr>
            <w:tcW w:type="dxa" w:w="4158"/>
          </w:tcPr>
          <w:p>
            <w:pPr>
              <w:spacing w:after="40"/>
            </w:pPr>
            <w:r>
              <w:rPr>
                <w:sz w:val="17"/>
              </w:rPr>
            </w:r>
            <w:r>
              <w:rPr>
                <w:rFonts w:ascii="IBM Plex Sans" w:hAnsi="IBM Plex Sans" w:cs="IBM Plex Sans"/>
                <w:b w:val="0"/>
                <w:i w:val="0"/>
                <w:color w:val="161412"/>
                <w:sz w:val="17"/>
              </w:rPr>
              <w:t>no deja huella</w:t>
            </w:r>
          </w:p>
        </w:tc>
      </w:tr>
      <w:tr>
        <w:tc>
          <w:tcPr>
            <w:tcW w:type="dxa" w:w="4158"/>
          </w:tcPr>
          <w:p>
            <w:pPr>
              <w:spacing w:after="40"/>
            </w:pPr>
            <w:r>
              <w:rPr>
                <w:sz w:val="17"/>
              </w:rPr>
            </w:r>
            <w:r>
              <w:rPr>
                <w:rFonts w:ascii="IBM Plex Sans" w:hAnsi="IBM Plex Sans" w:cs="IBM Plex Sans"/>
                <w:b w:val="0"/>
                <w:i w:val="0"/>
                <w:color w:val="161412"/>
                <w:sz w:val="17"/>
              </w:rPr>
              <w:t>Todo es success</w:t>
            </w:r>
          </w:p>
        </w:tc>
        <w:tc>
          <w:tcPr>
            <w:tcW w:type="dxa" w:w="4158"/>
          </w:tcPr>
          <w:p>
            <w:pPr>
              <w:spacing w:after="40"/>
            </w:pPr>
            <w:r>
              <w:rPr>
                <w:sz w:val="17"/>
              </w:rPr>
            </w:r>
            <w:r>
              <w:rPr>
                <w:rFonts w:ascii="IBM Plex Sans" w:hAnsi="IBM Plex Sans" w:cs="IBM Plex Sans"/>
                <w:b w:val="0"/>
                <w:i w:val="0"/>
                <w:color w:val="161412"/>
                <w:sz w:val="17"/>
              </w:rPr>
              <w:t>trivializa resultados</w:t>
            </w:r>
          </w:p>
        </w:tc>
      </w:tr>
      <w:tr>
        <w:tc>
          <w:tcPr>
            <w:tcW w:type="dxa" w:w="4158"/>
          </w:tcPr>
          <w:p>
            <w:pPr>
              <w:spacing w:after="40"/>
            </w:pPr>
            <w:r>
              <w:rPr>
                <w:sz w:val="17"/>
              </w:rPr>
            </w:r>
            <w:r>
              <w:rPr>
                <w:rFonts w:ascii="IBM Plex Sans" w:hAnsi="IBM Plex Sans" w:cs="IBM Plex Sans"/>
                <w:b w:val="0"/>
                <w:i w:val="0"/>
                <w:color w:val="161412"/>
                <w:sz w:val="17"/>
              </w:rPr>
              <w:t>Todo es danger</w:t>
            </w:r>
          </w:p>
        </w:tc>
        <w:tc>
          <w:tcPr>
            <w:tcW w:type="dxa" w:w="4158"/>
          </w:tcPr>
          <w:p>
            <w:pPr>
              <w:spacing w:after="40"/>
            </w:pPr>
            <w:r>
              <w:rPr>
                <w:sz w:val="17"/>
              </w:rPr>
            </w:r>
            <w:r>
              <w:rPr>
                <w:rFonts w:ascii="IBM Plex Sans" w:hAnsi="IBM Plex Sans" w:cs="IBM Plex Sans"/>
                <w:b w:val="0"/>
                <w:i w:val="0"/>
                <w:color w:val="161412"/>
                <w:sz w:val="17"/>
              </w:rPr>
              <w:t>mezcla pérdida y amenaza</w:t>
            </w:r>
          </w:p>
        </w:tc>
      </w:tr>
      <w:tr>
        <w:tc>
          <w:tcPr>
            <w:tcW w:type="dxa" w:w="4158"/>
          </w:tcPr>
          <w:p>
            <w:pPr>
              <w:spacing w:after="40"/>
            </w:pPr>
            <w:r>
              <w:rPr>
                <w:sz w:val="17"/>
              </w:rPr>
            </w:r>
            <w:r>
              <w:rPr>
                <w:rFonts w:ascii="IBM Plex Sans" w:hAnsi="IBM Plex Sans" w:cs="IBM Plex Sans"/>
                <w:b w:val="0"/>
                <w:i w:val="0"/>
                <w:color w:val="161412"/>
                <w:sz w:val="17"/>
              </w:rPr>
              <w:t>Celebración constante</w:t>
            </w:r>
          </w:p>
        </w:tc>
        <w:tc>
          <w:tcPr>
            <w:tcW w:type="dxa" w:w="4158"/>
          </w:tcPr>
          <w:p>
            <w:pPr>
              <w:spacing w:after="40"/>
            </w:pPr>
            <w:r>
              <w:rPr>
                <w:sz w:val="17"/>
              </w:rPr>
            </w:r>
            <w:r>
              <w:rPr>
                <w:rFonts w:ascii="IBM Plex Sans" w:hAnsi="IBM Plex Sans" w:cs="IBM Plex Sans"/>
                <w:b w:val="0"/>
                <w:i w:val="0"/>
                <w:color w:val="161412"/>
                <w:sz w:val="17"/>
              </w:rPr>
              <w:t>fatiga</w:t>
            </w:r>
          </w:p>
        </w:tc>
      </w:tr>
      <w:tr>
        <w:tc>
          <w:tcPr>
            <w:tcW w:type="dxa" w:w="4158"/>
          </w:tcPr>
          <w:p>
            <w:pPr>
              <w:spacing w:after="40"/>
            </w:pPr>
            <w:r>
              <w:rPr>
                <w:sz w:val="17"/>
              </w:rPr>
            </w:r>
            <w:r>
              <w:rPr>
                <w:rFonts w:ascii="IBM Plex Sans" w:hAnsi="IBM Plex Sans" w:cs="IBM Plex Sans"/>
                <w:b w:val="0"/>
                <w:i w:val="0"/>
                <w:color w:val="161412"/>
                <w:sz w:val="17"/>
              </w:rPr>
              <w:t>Sin diferencia entre affirm y fulfill</w:t>
            </w:r>
          </w:p>
        </w:tc>
        <w:tc>
          <w:tcPr>
            <w:tcW w:type="dxa" w:w="4158"/>
          </w:tcPr>
          <w:p>
            <w:pPr>
              <w:spacing w:after="40"/>
            </w:pPr>
            <w:r>
              <w:rPr>
                <w:sz w:val="17"/>
              </w:rPr>
            </w:r>
            <w:r>
              <w:rPr>
                <w:rFonts w:ascii="IBM Plex Sans" w:hAnsi="IBM Plex Sans" w:cs="IBM Plex Sans"/>
                <w:b w:val="0"/>
                <w:i w:val="0"/>
                <w:color w:val="161412"/>
                <w:sz w:val="17"/>
              </w:rPr>
              <w:t>pérdida de matiz</w:t>
            </w:r>
          </w:p>
        </w:tc>
      </w:tr>
      <w:tr>
        <w:tc>
          <w:tcPr>
            <w:tcW w:type="dxa" w:w="4158"/>
          </w:tcPr>
          <w:p>
            <w:pPr>
              <w:spacing w:after="40"/>
            </w:pPr>
            <w:r>
              <w:rPr>
                <w:sz w:val="17"/>
              </w:rPr>
            </w:r>
            <w:r>
              <w:rPr>
                <w:rFonts w:ascii="IBM Plex Sans" w:hAnsi="IBM Plex Sans" w:cs="IBM Plex Sans"/>
                <w:b w:val="0"/>
                <w:i w:val="0"/>
                <w:color w:val="161412"/>
                <w:sz w:val="17"/>
              </w:rPr>
              <w:t>Resultado solo en color</w:t>
            </w:r>
          </w:p>
        </w:tc>
        <w:tc>
          <w:tcPr>
            <w:tcW w:type="dxa" w:w="4158"/>
          </w:tcPr>
          <w:p>
            <w:pPr>
              <w:spacing w:after="40"/>
            </w:pPr>
            <w:r>
              <w:rPr>
                <w:sz w:val="17"/>
              </w:rPr>
            </w:r>
            <w:r>
              <w:rPr>
                <w:rFonts w:ascii="IBM Plex Sans" w:hAnsi="IBM Plex Sans" w:cs="IBM Plex Sans"/>
                <w:b w:val="0"/>
                <w:i w:val="0"/>
                <w:color w:val="161412"/>
                <w:sz w:val="17"/>
              </w:rPr>
              <w:t>inaccesible</w:t>
            </w:r>
          </w:p>
        </w:tc>
      </w:tr>
    </w:tbl>
    <w:p>
      <w:pPr>
        <w:spacing w:after="80"/>
      </w:pPr>
    </w:p>
    <w:p>
      <w:pPr>
        <w:spacing w:after="200" w:before="40"/>
      </w:pPr>
      <w:r>
        <w:rPr>
          <w:rFonts w:ascii="IBM Plex Sans" w:hAnsi="IBM Plex Sans" w:cs="IBM Plex Sans"/>
          <w:b/>
          <w:color w:val="1F3A5F"/>
          <w:sz w:val="17"/>
        </w:rPr>
        <w:t xml:space="preserve">TABLA 23.5   </w:t>
      </w:r>
      <w:r>
        <w:rPr>
          <w:rFonts w:ascii="IBM Plex Sans" w:hAnsi="IBM Plex Sans" w:cs="IBM Plex Sans"/>
          <w:color w:val="3A352F"/>
          <w:sz w:val="18"/>
        </w:rPr>
        <w:t xml:space="preserve">Preguntas de validación de commit</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Dimensión</w:t>
            </w:r>
          </w:p>
        </w:tc>
        <w:tc>
          <w:tcPr>
            <w:tcW w:type="dxa" w:w="4158"/>
            <w:shd w:val="clear" w:color="auto" w:fill="EAE4D8"/>
          </w:tcPr>
          <w:p>
            <w:pPr>
              <w:spacing w:after="40"/>
            </w:pPr>
            <w:r>
              <w:rPr>
                <w:sz w:val="17"/>
              </w:rPr>
            </w:r>
            <w:r>
              <w:rPr>
                <w:rFonts w:ascii="IBM Plex Sans" w:hAnsi="IBM Plex Sans" w:cs="IBM Plex Sans"/>
                <w:b/>
                <w:i w:val="0"/>
                <w:color w:val="1F3A5F"/>
                <w:sz w:val="17"/>
              </w:rPr>
              <w:t>Pregunta</w:t>
            </w:r>
          </w:p>
        </w:tc>
      </w:tr>
      <w:tr>
        <w:tc>
          <w:tcPr>
            <w:tcW w:type="dxa" w:w="4158"/>
          </w:tcPr>
          <w:p>
            <w:pPr>
              <w:spacing w:after="40"/>
            </w:pPr>
            <w:r>
              <w:rPr>
                <w:sz w:val="17"/>
              </w:rPr>
            </w:r>
            <w:r>
              <w:rPr>
                <w:rFonts w:ascii="IBM Plex Sans" w:hAnsi="IBM Plex Sans" w:cs="IBM Plex Sans"/>
                <w:b w:val="0"/>
                <w:i w:val="0"/>
                <w:color w:val="161412"/>
                <w:sz w:val="17"/>
              </w:rPr>
              <w:t>Estado</w:t>
            </w:r>
          </w:p>
        </w:tc>
        <w:tc>
          <w:tcPr>
            <w:tcW w:type="dxa" w:w="4158"/>
          </w:tcPr>
          <w:p>
            <w:pPr>
              <w:spacing w:after="40"/>
            </w:pPr>
            <w:r>
              <w:rPr>
                <w:sz w:val="17"/>
              </w:rPr>
            </w:r>
            <w:r>
              <w:rPr>
                <w:rFonts w:ascii="IBM Plex Sans" w:hAnsi="IBM Plex Sans" w:cs="IBM Plex Sans"/>
                <w:b w:val="0"/>
                <w:i w:val="0"/>
                <w:color w:val="161412"/>
                <w:sz w:val="17"/>
              </w:rPr>
              <w:t>¿qué quedó aplicado?</w:t>
            </w:r>
          </w:p>
        </w:tc>
      </w:tr>
      <w:tr>
        <w:tc>
          <w:tcPr>
            <w:tcW w:type="dxa" w:w="4158"/>
          </w:tcPr>
          <w:p>
            <w:pPr>
              <w:spacing w:after="40"/>
            </w:pPr>
            <w:r>
              <w:rPr>
                <w:sz w:val="17"/>
              </w:rPr>
            </w:r>
            <w:r>
              <w:rPr>
                <w:rFonts w:ascii="IBM Plex Sans" w:hAnsi="IBM Plex Sans" w:cs="IBM Plex Sans"/>
                <w:b w:val="0"/>
                <w:i w:val="0"/>
                <w:color w:val="161412"/>
                <w:sz w:val="17"/>
              </w:rPr>
              <w:t>Resultado</w:t>
            </w:r>
          </w:p>
        </w:tc>
        <w:tc>
          <w:tcPr>
            <w:tcW w:type="dxa" w:w="4158"/>
          </w:tcPr>
          <w:p>
            <w:pPr>
              <w:spacing w:after="40"/>
            </w:pPr>
            <w:r>
              <w:rPr>
                <w:sz w:val="17"/>
              </w:rPr>
            </w:r>
            <w:r>
              <w:rPr>
                <w:rFonts w:ascii="IBM Plex Sans" w:hAnsi="IBM Plex Sans" w:cs="IBM Plex Sans"/>
                <w:b w:val="0"/>
                <w:i w:val="0"/>
                <w:color w:val="161412"/>
                <w:sz w:val="17"/>
              </w:rPr>
              <w:t>¿qué ocurrió?</w:t>
            </w:r>
          </w:p>
        </w:tc>
      </w:tr>
      <w:tr>
        <w:tc>
          <w:tcPr>
            <w:tcW w:type="dxa" w:w="4158"/>
          </w:tcPr>
          <w:p>
            <w:pPr>
              <w:spacing w:after="40"/>
            </w:pPr>
            <w:r>
              <w:rPr>
                <w:sz w:val="17"/>
              </w:rPr>
            </w:r>
            <w:r>
              <w:rPr>
                <w:rFonts w:ascii="IBM Plex Sans" w:hAnsi="IBM Plex Sans" w:cs="IBM Plex Sans"/>
                <w:b w:val="0"/>
                <w:i w:val="0"/>
                <w:color w:val="161412"/>
                <w:sz w:val="17"/>
              </w:rPr>
              <w:t>Cierre</w:t>
            </w:r>
          </w:p>
        </w:tc>
        <w:tc>
          <w:tcPr>
            <w:tcW w:type="dxa" w:w="4158"/>
          </w:tcPr>
          <w:p>
            <w:pPr>
              <w:spacing w:after="40"/>
            </w:pPr>
            <w:r>
              <w:rPr>
                <w:sz w:val="17"/>
              </w:rPr>
            </w:r>
            <w:r>
              <w:rPr>
                <w:rFonts w:ascii="IBM Plex Sans" w:hAnsi="IBM Plex Sans" w:cs="IBM Plex Sans"/>
                <w:b w:val="0"/>
                <w:i w:val="0"/>
                <w:color w:val="161412"/>
                <w:sz w:val="17"/>
              </w:rPr>
              <w:t>¿puedo continuar?</w:t>
            </w:r>
          </w:p>
        </w:tc>
      </w:tr>
      <w:tr>
        <w:tc>
          <w:tcPr>
            <w:tcW w:type="dxa" w:w="4158"/>
          </w:tcPr>
          <w:p>
            <w:pPr>
              <w:spacing w:after="40"/>
            </w:pPr>
            <w:r>
              <w:rPr>
                <w:sz w:val="17"/>
              </w:rPr>
            </w:r>
            <w:r>
              <w:rPr>
                <w:rFonts w:ascii="IBM Plex Sans" w:hAnsi="IBM Plex Sans" w:cs="IBM Plex Sans"/>
                <w:b w:val="0"/>
                <w:i w:val="0"/>
                <w:color w:val="161412"/>
                <w:sz w:val="17"/>
              </w:rPr>
              <w:t>Consecuencia</w:t>
            </w:r>
          </w:p>
        </w:tc>
        <w:tc>
          <w:tcPr>
            <w:tcW w:type="dxa" w:w="4158"/>
          </w:tcPr>
          <w:p>
            <w:pPr>
              <w:spacing w:after="40"/>
            </w:pPr>
            <w:r>
              <w:rPr>
                <w:sz w:val="17"/>
              </w:rPr>
            </w:r>
            <w:r>
              <w:rPr>
                <w:rFonts w:ascii="IBM Plex Sans" w:hAnsi="IBM Plex Sans" w:cs="IBM Plex Sans"/>
                <w:b w:val="0"/>
                <w:i w:val="0"/>
                <w:color w:val="161412"/>
                <w:sz w:val="17"/>
              </w:rPr>
              <w:t>¿qué cambió en el sistema?</w:t>
            </w:r>
          </w:p>
        </w:tc>
      </w:tr>
      <w:tr>
        <w:tc>
          <w:tcPr>
            <w:tcW w:type="dxa" w:w="4158"/>
          </w:tcPr>
          <w:p>
            <w:pPr>
              <w:spacing w:after="40"/>
            </w:pPr>
            <w:r>
              <w:rPr>
                <w:sz w:val="17"/>
              </w:rPr>
            </w:r>
            <w:r>
              <w:rPr>
                <w:rFonts w:ascii="IBM Plex Sans" w:hAnsi="IBM Plex Sans" w:cs="IBM Plex Sans"/>
                <w:b w:val="0"/>
                <w:i w:val="0"/>
                <w:color w:val="161412"/>
                <w:sz w:val="17"/>
              </w:rPr>
              <w:t>Evaluación</w:t>
            </w:r>
          </w:p>
        </w:tc>
        <w:tc>
          <w:tcPr>
            <w:tcW w:type="dxa" w:w="4158"/>
          </w:tcPr>
          <w:p>
            <w:pPr>
              <w:spacing w:after="40"/>
            </w:pPr>
            <w:r>
              <w:rPr>
                <w:sz w:val="17"/>
              </w:rPr>
            </w:r>
            <w:r>
              <w:rPr>
                <w:rFonts w:ascii="IBM Plex Sans" w:hAnsi="IBM Plex Sans" w:cs="IBM Plex Sans"/>
                <w:b w:val="0"/>
                <w:i w:val="0"/>
                <w:color w:val="161412"/>
                <w:sz w:val="17"/>
              </w:rPr>
              <w:t>¿cómo debo interpretarlo?</w:t>
            </w:r>
          </w:p>
        </w:tc>
      </w:tr>
    </w:tbl>
    <w:p>
      <w:pPr>
        <w:spacing w:after="80"/>
      </w:pPr>
    </w:p>
    <w:p>
      <w:r>
        <w:br w:type="page"/>
      </w:r>
    </w:p>
    <w:p>
      <w:pPr>
        <w:spacing w:after="40"/>
      </w:pPr>
      <w:r>
        <w:rPr>
          <w:rFonts w:ascii="IBM Plex Sans" w:hAnsi="IBM Plex Sans" w:cs="IBM Plex Sans"/>
          <w:b/>
          <w:color w:val="1F3A5F"/>
          <w:sz w:val="18"/>
        </w:rPr>
        <w:t>CAPÍTULO 24</w:t>
      </w:r>
    </w:p>
    <w:p>
      <w:pPr>
        <w:spacing w:after="80" w:line="240" w:lineRule="auto"/>
      </w:pPr>
      <w:r>
        <w:rPr>
          <w:rFonts w:ascii="IBM Plex Sans" w:hAnsi="IBM Plex Sans" w:cs="IBM Plex Sans"/>
          <w:color w:val="161412"/>
          <w:sz w:val="220"/>
        </w:rPr>
        <w:t>24</w:t>
      </w:r>
    </w:p>
    <w:p>
      <w:pPr>
        <w:spacing w:after="60" w:line="240" w:lineRule="auto"/>
      </w:pPr>
      <w:r>
        <w:rPr>
          <w:rFonts w:ascii="Newsreader" w:hAnsi="Newsreader" w:cs="Newsreader"/>
          <w:color w:val="161412"/>
          <w:sz w:val="60"/>
        </w:rPr>
        <w:t>Signal</w:t>
      </w:r>
    </w:p>
    <w:p>
      <w:pPr>
        <w:spacing w:after="280"/>
      </w:pPr>
      <w:r>
        <w:rPr>
          <w:rFonts w:ascii="IBM Plex Sans" w:hAnsi="IBM Plex Sans" w:cs="IBM Plex Sans"/>
          <w:color w:val="6A635A"/>
          <w:sz w:val="26"/>
        </w:rPr>
        <w:t>Cuando el sistema reclama atención</w:t>
      </w:r>
    </w:p>
    <w:p>
      <w:pPr>
        <w:pBdr>
          <w:bottom w:val="single" w:sz="4" w:space="4" w:color="1F3A5F"/>
        </w:pBdr>
      </w:pP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¿Cómo reclama el sistema atención sin confundir aviso, amenaza y pérdida?</w:t>
      </w:r>
    </w:p>
    <w:p>
      <w:pPr>
        <w:spacing w:after="120" w:line="320" w:lineRule="auto"/>
        <w:jc w:val="both"/>
      </w:pPr>
      <w:r>
        <w:rPr>
          <w:rFonts w:ascii="Newsreader" w:hAnsi="Newsreader" w:cs="Newsreader"/>
          <w:b w:val="0"/>
          <w:i w:val="0"/>
          <w:color w:val="161412"/>
        </w:rPr>
        <w:t>Un punto rojo se posa sobre un icono. Una pestaña parpadea. Algo, en algún borde de la pantalla, dice «mírame». No has hecho nada para provocarlo: es el sistema quien reclama. Y la pregunta inmediata no es qué quiere, sino cuánta urgencia trae: si es un aviso que puede esperar o una alarma que no.</w:t>
      </w:r>
    </w:p>
    <w:p>
      <w:pPr>
        <w:spacing w:after="120" w:line="320" w:lineRule="auto"/>
        <w:jc w:val="both"/>
      </w:pPr>
      <w:r>
        <w:rPr>
          <w:rFonts w:ascii="Newsreader" w:hAnsi="Newsreader" w:cs="Newsreader"/>
          <w:b w:val="0"/>
          <w:i w:val="0"/>
          <w:color w:val="161412"/>
        </w:rPr>
        <w:t>Si contact responde a «¿el sistema ha sentido mi acción?» y commit a «¿qué ha pasado como consecuencia?», signal responde a una pregunta distinta: ¿debo atender esto? Aquí el flujo se invierte: no es el usuario quien actúa primero, sino el sistema quien orienta, interrumpe o reclama la atención. Una advertencia antes de eliminar, un error en un campo, un badge que indica algo nuevo, una notificación, un aviso de expiración de sesión, una validación: todo eso pertenece a signal.</w:t>
      </w:r>
    </w:p>
    <w:p>
      <w:pPr>
        <w:spacing w:before="200" w:after="60"/>
        <w:jc w:val="center"/>
      </w:pPr>
      <w:r>
        <w:drawing>
          <wp:inline xmlns:a="http://schemas.openxmlformats.org/drawingml/2006/main" xmlns:pic="http://schemas.openxmlformats.org/drawingml/2006/picture">
            <wp:extent cx="5029200" cy="3080385"/>
            <wp:docPr id="9010" name="fig24_1"/>
            <wp:cNvGraphicFramePr>
              <a:graphicFrameLocks noChangeAspect="1"/>
            </wp:cNvGraphicFramePr>
            <a:graphic>
              <a:graphicData uri="http://schemas.openxmlformats.org/drawingml/2006/picture">
                <pic:pic>
                  <pic:nvPicPr>
                    <pic:cNvPr id="9010" name="fig24_1"/>
                    <pic:cNvPicPr/>
                  </pic:nvPicPr>
                  <pic:blipFill>
                    <a:blip r:embed="rId909"/>
                    <a:stretch>
                      <a:fillRect/>
                    </a:stretch>
                  </pic:blipFill>
                  <pic:spPr>
                    <a:xfrm>
                      <a:off x="0" y="0"/>
                      <a:ext cx="5029200" cy="3080385"/>
                    </a:xfrm>
                    <a:prstGeom prst="rect"/>
                  </pic:spPr>
                </pic:pic>
              </a:graphicData>
            </a:graphic>
          </wp:inline>
        </w:drawing>
      </w:r>
    </w:p>
    <w:p>
      <w:pPr>
        <w:spacing w:before="320" w:after="40"/>
      </w:pPr>
      <w:r>
        <w:rPr>
          <w:rFonts w:ascii="IBM Plex Sans" w:hAnsi="IBM Plex Sans" w:cs="IBM Plex Sans"/>
          <w:b/>
          <w:color w:val="1F3A5F"/>
          <w:sz w:val="18"/>
        </w:rPr>
        <w:t>§ 1</w:t>
      </w:r>
    </w:p>
    <w:p>
      <w:pPr>
        <w:spacing w:after="160" w:line="240" w:lineRule="auto"/>
      </w:pPr>
      <w:r>
        <w:rPr>
          <w:rFonts w:ascii="Newsreader" w:hAnsi="Newsreader" w:cs="Newsreader"/>
          <w:color w:val="161412"/>
          <w:sz w:val="38"/>
        </w:rPr>
        <w:t>Qué es signal</w:t>
      </w:r>
    </w:p>
    <w:p>
      <w:pPr>
        <w:spacing w:after="120" w:line="320" w:lineRule="auto"/>
        <w:jc w:val="both"/>
      </w:pPr>
      <w:r>
        <w:rPr>
          <w:rFonts w:ascii="Newsreader" w:hAnsi="Newsreader" w:cs="Newsreader"/>
          <w:b w:val="0"/>
          <w:i w:val="0"/>
          <w:color w:val="161412"/>
        </w:rPr>
        <w:t>signal es la familia semántica de la orientación y reclamación de atención. No ejecuta una acción, no fija un resultado, no cambia el marco por sí sola: hace algo más básico.</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 xml:space="preserve">Un signal dirige la percepción del usuario hacia algo relevante.</w:t>
      </w:r>
    </w:p>
    <w:p>
      <w:pPr>
        <w:spacing w:after="120" w:line="320" w:lineRule="auto"/>
        <w:jc w:val="both"/>
      </w:pPr>
      <w:r>
        <w:rPr>
          <w:rFonts w:ascii="Newsreader" w:hAnsi="Newsreader" w:cs="Newsreader"/>
          <w:b w:val="0"/>
          <w:i w:val="0"/>
          <w:color w:val="161412"/>
        </w:rPr>
        <w:t xml:space="preserve">Sus verbos gradúan esa reclamación: </w:t>
      </w:r>
      <w:r>
        <w:rPr>
          <w:rFonts w:ascii="Newsreader" w:hAnsi="Newsreader" w:cs="Newsreader"/>
          <w:b w:val="0"/>
          <w:i/>
          <w:color w:val="161412"/>
        </w:rPr>
        <w:t>announce</w:t>
      </w:r>
      <w:r>
        <w:rPr>
          <w:rFonts w:ascii="Newsreader" w:hAnsi="Newsreader" w:cs="Newsreader"/>
          <w:b w:val="0"/>
          <w:i w:val="0"/>
          <w:color w:val="161412"/>
        </w:rPr>
        <w:t xml:space="preserve">, </w:t>
      </w:r>
      <w:r>
        <w:rPr>
          <w:rFonts w:ascii="Newsreader" w:hAnsi="Newsreader" w:cs="Newsreader"/>
          <w:b w:val="0"/>
          <w:i/>
          <w:color w:val="161412"/>
        </w:rPr>
        <w:t>notify</w:t>
      </w:r>
      <w:r>
        <w:rPr>
          <w:rFonts w:ascii="Newsreader" w:hAnsi="Newsreader" w:cs="Newsreader"/>
          <w:b w:val="0"/>
          <w:i w:val="0"/>
          <w:color w:val="161412"/>
        </w:rPr>
        <w:t xml:space="preserve">, </w:t>
      </w:r>
      <w:r>
        <w:rPr>
          <w:rFonts w:ascii="Newsreader" w:hAnsi="Newsreader" w:cs="Newsreader"/>
          <w:b w:val="0"/>
          <w:i/>
          <w:color w:val="161412"/>
        </w:rPr>
        <w:t>warn</w:t>
      </w:r>
      <w:r>
        <w:rPr>
          <w:rFonts w:ascii="Newsreader" w:hAnsi="Newsreader" w:cs="Newsreader"/>
          <w:b w:val="0"/>
          <w:i w:val="0"/>
          <w:color w:val="161412"/>
        </w:rPr>
        <w:t xml:space="preserve">, </w:t>
      </w:r>
      <w:r>
        <w:rPr>
          <w:rFonts w:ascii="Newsreader" w:hAnsi="Newsreader" w:cs="Newsreader"/>
          <w:b w:val="0"/>
          <w:i/>
          <w:color w:val="161412"/>
        </w:rPr>
        <w:t>alert</w:t>
      </w:r>
      <w:r>
        <w:rPr>
          <w:rFonts w:ascii="Newsreader" w:hAnsi="Newsreader" w:cs="Newsreader"/>
          <w:b w:val="0"/>
          <w:i w:val="0"/>
          <w:color w:val="161412"/>
        </w:rPr>
        <w:t xml:space="preserve">, </w:t>
      </w:r>
      <w:r>
        <w:rPr>
          <w:rFonts w:ascii="Newsreader" w:hAnsi="Newsreader" w:cs="Newsreader"/>
          <w:b w:val="0"/>
          <w:i/>
          <w:color w:val="161412"/>
        </w:rPr>
        <w:t>inform</w:t>
      </w:r>
      <w:r>
        <w:rPr>
          <w:rFonts w:ascii="Newsreader" w:hAnsi="Newsreader" w:cs="Newsreader"/>
          <w:b w:val="0"/>
          <w:i w:val="0"/>
          <w:color w:val="161412"/>
        </w:rPr>
        <w:t xml:space="preserve">, </w:t>
      </w:r>
      <w:r>
        <w:rPr>
          <w:rFonts w:ascii="Newsreader" w:hAnsi="Newsreader" w:cs="Newsreader"/>
          <w:b w:val="0"/>
          <w:i/>
          <w:color w:val="161412"/>
        </w:rPr>
        <w:t>emphasize</w:t>
      </w:r>
      <w:r>
        <w:rPr>
          <w:rFonts w:ascii="Newsreader" w:hAnsi="Newsreader" w:cs="Newsreader"/>
          <w:b w:val="0"/>
          <w:i w:val="0"/>
          <w:color w:val="161412"/>
        </w:rPr>
        <w:t xml:space="preserve">, </w:t>
      </w:r>
      <w:r>
        <w:rPr>
          <w:rFonts w:ascii="Newsreader" w:hAnsi="Newsreader" w:cs="Newsreader"/>
          <w:b w:val="0"/>
          <w:i/>
          <w:color w:val="161412"/>
        </w:rPr>
        <w:t>remind</w:t>
      </w:r>
      <w:r>
        <w:rPr>
          <w:rFonts w:ascii="Newsreader" w:hAnsi="Newsreader" w:cs="Newsreader"/>
          <w:b w:val="0"/>
          <w:i w:val="0"/>
          <w:color w:val="161412"/>
        </w:rPr>
        <w:t>.</w:t>
      </w:r>
    </w:p>
    <w:p>
      <w:pPr>
        <w:spacing w:before="320" w:after="40"/>
      </w:pPr>
      <w:r>
        <w:rPr>
          <w:rFonts w:ascii="IBM Plex Sans" w:hAnsi="IBM Plex Sans" w:cs="IBM Plex Sans"/>
          <w:b/>
          <w:color w:val="1F3A5F"/>
          <w:sz w:val="18"/>
        </w:rPr>
        <w:t>§ 2</w:t>
      </w:r>
    </w:p>
    <w:p>
      <w:pPr>
        <w:spacing w:after="160" w:line="240" w:lineRule="auto"/>
      </w:pPr>
      <w:r>
        <w:rPr>
          <w:rFonts w:ascii="Newsreader" w:hAnsi="Newsreader" w:cs="Newsreader"/>
          <w:color w:val="161412"/>
          <w:sz w:val="38"/>
        </w:rPr>
        <w:t>Qué no es signal</w:t>
      </w:r>
    </w:p>
    <w:p>
      <w:pPr>
        <w:spacing w:after="120" w:line="320" w:lineRule="auto"/>
        <w:jc w:val="both"/>
      </w:pPr>
      <w:r>
        <w:rPr>
          <w:rFonts w:ascii="Newsreader" w:hAnsi="Newsreader" w:cs="Newsreader"/>
          <w:b w:val="0"/>
          <w:i w:val="0"/>
          <w:color w:val="161412"/>
        </w:rPr>
        <w:t>Cada frontera de la familia deja fuera una confusión frecuente:</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signal no es commit.</w:t>
      </w:r>
      <w:r>
        <w:rPr>
          <w:rFonts w:ascii="Newsreader" w:hAnsi="Newsreader" w:cs="Newsreader"/>
          <w:b w:val="0"/>
          <w:i w:val="0"/>
          <w:color w:val="161412"/>
        </w:rPr>
        <w:t xml:space="preserve"> signal.warn ≠ commit.fail: una advertencia no es un resultado. Un resultado puede necesitar señal, pero no son lo mismo.</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signal no es contact.</w:t>
      </w:r>
      <w:r>
        <w:rPr>
          <w:rFonts w:ascii="Newsreader" w:hAnsi="Newsreader" w:cs="Newsreader"/>
          <w:b w:val="0"/>
          <w:i w:val="0"/>
          <w:color w:val="161412"/>
        </w:rPr>
        <w:t xml:space="preserve"> No es respuesta a una acción; puede aparecer sin gesto directo del usuario.</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signal no es emerge.</w:t>
      </w:r>
      <w:r>
        <w:rPr>
          <w:rFonts w:ascii="Newsreader" w:hAnsi="Newsreader" w:cs="Newsreader"/>
          <w:b w:val="0"/>
          <w:i w:val="0"/>
          <w:color w:val="161412"/>
        </w:rPr>
        <w:t xml:space="preserve"> emerge.open ≠ signal: algo puede aparecer sin reclamar atención.</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signal no es shift.</w:t>
      </w:r>
      <w:r>
        <w:rPr>
          <w:rFonts w:ascii="Newsreader" w:hAnsi="Newsreader" w:cs="Newsreader"/>
          <w:b w:val="0"/>
          <w:i w:val="0"/>
          <w:color w:val="161412"/>
        </w:rPr>
        <w:t xml:space="preserve"> El modal no es la señal; el mensaje que contiene puede serlo.</w:t>
      </w:r>
    </w:p>
    <w:p>
      <w:pPr>
        <w:spacing w:before="320" w:after="40"/>
      </w:pPr>
      <w:r>
        <w:rPr>
          <w:rFonts w:ascii="IBM Plex Sans" w:hAnsi="IBM Plex Sans" w:cs="IBM Plex Sans"/>
          <w:b/>
          <w:color w:val="1F3A5F"/>
          <w:sz w:val="18"/>
        </w:rPr>
        <w:t>§ 3</w:t>
      </w:r>
    </w:p>
    <w:p>
      <w:pPr>
        <w:spacing w:after="160" w:line="240" w:lineRule="auto"/>
      </w:pPr>
      <w:r>
        <w:rPr>
          <w:rFonts w:ascii="Newsreader" w:hAnsi="Newsreader" w:cs="Newsreader"/>
          <w:color w:val="161412"/>
          <w:sz w:val="38"/>
        </w:rPr>
        <w:t>Fundamento psicoperceptivo: atención, saliencia y carga cognitiva</w:t>
      </w:r>
    </w:p>
    <w:p>
      <w:pPr>
        <w:spacing w:after="120" w:line="320" w:lineRule="auto"/>
        <w:jc w:val="both"/>
      </w:pPr>
      <w:r>
        <w:rPr>
          <w:rFonts w:ascii="Newsreader" w:hAnsi="Newsreader" w:cs="Newsreader"/>
          <w:b w:val="0"/>
          <w:i w:val="0"/>
          <w:color w:val="161412"/>
        </w:rPr>
        <w:t>signal se apoya en la orientación atencional. La percepción no procesa todo por igual: el sistema atencional decide qué entra en foco, qué queda en fondo, qué se pospone y qué interrumpe. Una señal puede orientar, informar, advertir, interrumpir, mantener algo en vigilancia —o, si se abusa de ella, fatigar—.</w:t>
      </w:r>
    </w:p>
    <w:p>
      <w:pPr>
        <w:spacing w:after="120" w:line="320" w:lineRule="auto"/>
        <w:jc w:val="both"/>
      </w:pPr>
      <w:r>
        <w:rPr>
          <w:rFonts w:ascii="Newsreader" w:hAnsi="Newsreader" w:cs="Newsreader"/>
          <w:b w:val="0"/>
          <w:i w:val="0"/>
          <w:color w:val="161412"/>
        </w:rPr>
        <w:t>El concepto clave es la saliencia: la capacidad de un estímulo para destacar del fondo y reclamar procesamiento. Y la saliencia tiene coste: demasiada produce ruido; demasiado poca, invisibilidad. Por eso signal no es simplemente «mostrar algo», sino regular cuánta atención se pide. La familia se apoya en los mecanismos de orientación atencional y en la distinción entre estímulos que simplemente aparecen y estímulos que exigen procesamiento.</w:t>
      </w:r>
    </w:p>
    <w:p>
      <w:pPr>
        <w:spacing w:before="320" w:after="40"/>
      </w:pPr>
      <w:r>
        <w:rPr>
          <w:rFonts w:ascii="IBM Plex Sans" w:hAnsi="IBM Plex Sans" w:cs="IBM Plex Sans"/>
          <w:b/>
          <w:color w:val="1F3A5F"/>
          <w:sz w:val="18"/>
        </w:rPr>
        <w:t>§ 4</w:t>
      </w:r>
    </w:p>
    <w:p>
      <w:pPr>
        <w:spacing w:after="160" w:line="240" w:lineRule="auto"/>
      </w:pPr>
      <w:r>
        <w:rPr>
          <w:rFonts w:ascii="Newsreader" w:hAnsi="Newsreader" w:cs="Newsreader"/>
          <w:color w:val="161412"/>
          <w:sz w:val="38"/>
        </w:rPr>
        <w:t>La pregunta perceptiva</w:t>
      </w:r>
    </w:p>
    <w:p>
      <w:pPr>
        <w:spacing w:after="120" w:line="320" w:lineRule="auto"/>
        <w:jc w:val="both"/>
      </w:pPr>
      <w:r>
        <w:rPr>
          <w:rFonts w:ascii="Newsreader" w:hAnsi="Newsreader" w:cs="Newsreader"/>
          <w:b w:val="0"/>
          <w:i w:val="0"/>
          <w:color w:val="161412"/>
        </w:rPr>
        <w:t>signal responde a: ¿debo notar esto? Y, en los casos de mayor urgencia, a su forma intensificada: ¿debo actuar ahora?</w:t>
      </w:r>
    </w:p>
    <w:p>
      <w:pPr>
        <w:spacing w:before="320" w:after="40"/>
      </w:pPr>
      <w:r>
        <w:rPr>
          <w:rFonts w:ascii="IBM Plex Sans" w:hAnsi="IBM Plex Sans" w:cs="IBM Plex Sans"/>
          <w:b/>
          <w:color w:val="1F3A5F"/>
          <w:sz w:val="18"/>
        </w:rPr>
        <w:t>§ 5</w:t>
      </w:r>
    </w:p>
    <w:p>
      <w:pPr>
        <w:spacing w:after="160" w:line="240" w:lineRule="auto"/>
      </w:pPr>
      <w:r>
        <w:rPr>
          <w:rFonts w:ascii="Newsreader" w:hAnsi="Newsreader" w:cs="Newsreader"/>
          <w:color w:val="161412"/>
          <w:sz w:val="38"/>
        </w:rPr>
        <w:t>Tipos de señal</w:t>
      </w:r>
    </w:p>
    <w:p>
      <w:pPr>
        <w:spacing w:after="120" w:line="320" w:lineRule="auto"/>
        <w:jc w:val="both"/>
      </w:pPr>
      <w:r>
        <w:rPr>
          <w:rFonts w:ascii="Newsreader" w:hAnsi="Newsreader" w:cs="Newsreader"/>
          <w:b w:val="0"/>
          <w:i w:val="0"/>
          <w:color w:val="161412"/>
        </w:rPr>
        <w:t>Los cuatro verbos centrales forman una escala de urgencia, cada uno con su lectura:</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signal.announce + neutral</w:t>
      </w:r>
      <w:r>
        <w:rPr>
          <w:rFonts w:ascii="Newsreader" w:hAnsi="Newsreader" w:cs="Newsreader"/>
          <w:b w:val="0"/>
          <w:i w:val="0"/>
          <w:color w:val="161412"/>
        </w:rPr>
        <w:t xml:space="preserve"> → «esto existe», sin urgencia.</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signal.notify + neutral / affirm</w:t>
      </w:r>
      <w:r>
        <w:rPr>
          <w:rFonts w:ascii="Newsreader" w:hAnsi="Newsreader" w:cs="Newsreader"/>
          <w:b w:val="0"/>
          <w:i w:val="0"/>
          <w:color w:val="161412"/>
        </w:rPr>
        <w:t xml:space="preserve"> → «algo ocurrió», pero no requiere acción inmediata.</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signal.warn + risk</w:t>
      </w:r>
      <w:r>
        <w:rPr>
          <w:rFonts w:ascii="Newsreader" w:hAnsi="Newsreader" w:cs="Newsreader"/>
          <w:b w:val="0"/>
          <w:i w:val="0"/>
          <w:color w:val="161412"/>
        </w:rPr>
        <w:t xml:space="preserve"> → «revisa esto».</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signal.alert + threat</w:t>
      </w:r>
      <w:r>
        <w:rPr>
          <w:rFonts w:ascii="Newsreader" w:hAnsi="Newsreader" w:cs="Newsreader"/>
          <w:b w:val="0"/>
          <w:i w:val="0"/>
          <w:color w:val="161412"/>
        </w:rPr>
        <w:t xml:space="preserve"> → «atiende ahora».</w:t>
      </w:r>
    </w:p>
    <w:p>
      <w:pPr>
        <w:spacing w:before="320" w:after="40"/>
      </w:pPr>
      <w:r>
        <w:rPr>
          <w:rFonts w:ascii="IBM Plex Sans" w:hAnsi="IBM Plex Sans" w:cs="IBM Plex Sans"/>
          <w:b/>
          <w:color w:val="1F3A5F"/>
          <w:sz w:val="18"/>
        </w:rPr>
        <w:t>§ 6</w:t>
      </w:r>
    </w:p>
    <w:p>
      <w:pPr>
        <w:spacing w:after="160" w:line="240" w:lineRule="auto"/>
      </w:pPr>
      <w:r>
        <w:rPr>
          <w:rFonts w:ascii="Newsreader" w:hAnsi="Newsreader" w:cs="Newsreader"/>
          <w:color w:val="161412"/>
          <w:sz w:val="38"/>
        </w:rPr>
        <w:t>Canales, texto e intent</w:t>
      </w:r>
    </w:p>
    <w:p>
      <w:pPr>
        <w:spacing w:after="120" w:line="320" w:lineRule="auto"/>
        <w:jc w:val="both"/>
      </w:pPr>
      <w:r>
        <w:rPr>
          <w:rFonts w:ascii="Newsreader" w:hAnsi="Newsreader" w:cs="Newsreader"/>
          <w:b w:val="0"/>
          <w:i w:val="0"/>
          <w:color w:val="161412"/>
        </w:rPr>
        <w:t>signal es una familia multicanal fuerte, y en ella el texto tiene un papel especial: es el canal que puede explicar con precisión qué ocurre y qué debe hacer el usuario.</w:t>
      </w:r>
    </w:p>
    <w:p>
      <w:pPr>
        <w:spacing w:after="120" w:line="320" w:lineRule="auto"/>
        <w:jc w:val="both"/>
      </w:pPr>
      <w:r>
        <w:rPr>
          <w:rFonts w:ascii="Newsreader" w:hAnsi="Newsreader" w:cs="Newsreader"/>
          <w:b w:val="0"/>
          <w:i w:val="0"/>
          <w:color w:val="161412"/>
        </w:rPr>
        <w:t>La relación con el intent es central, porque la escala de urgencia y la escala evaluativa van de la mano: announce con neutral no carga afecto; notify con affirm es confirmación ligera; warn con risk señala un problema corregible; alert con threat trae urgencia. loss es menos común en signal, porque la pérdida suele vivir en commit, pero una señal puede anunciar una pérdida ya ocurrida —signal.announce + loss— cuando lo que el sistema hace es comunicar una consecuencia previa.</w:t>
      </w:r>
    </w:p>
    <w:p>
      <w:pPr>
        <w:spacing w:before="320" w:after="40"/>
      </w:pPr>
      <w:r>
        <w:rPr>
          <w:rFonts w:ascii="IBM Plex Sans" w:hAnsi="IBM Plex Sans" w:cs="IBM Plex Sans"/>
          <w:b/>
          <w:color w:val="1F3A5F"/>
          <w:sz w:val="18"/>
        </w:rPr>
        <w:t>§ 7</w:t>
      </w:r>
    </w:p>
    <w:p>
      <w:pPr>
        <w:spacing w:after="160" w:line="240" w:lineRule="auto"/>
      </w:pPr>
      <w:r>
        <w:rPr>
          <w:rFonts w:ascii="Newsreader" w:hAnsi="Newsreader" w:cs="Newsreader"/>
          <w:color w:val="161412"/>
          <w:sz w:val="38"/>
        </w:rPr>
        <w:t>signal frente a emerge y commit</w:t>
      </w:r>
    </w:p>
    <w:p>
      <w:pPr>
        <w:spacing w:after="120" w:line="320" w:lineRule="auto"/>
        <w:jc w:val="both"/>
      </w:pPr>
      <w:r>
        <w:rPr>
          <w:rFonts w:ascii="Newsreader" w:hAnsi="Newsreader" w:cs="Newsreader"/>
          <w:b w:val="0"/>
          <w:i w:val="0"/>
          <w:color w:val="161412"/>
        </w:rPr>
        <w:t>Las dos fronteras más finas de la familia son estas. Con emerge: emerge hace que algo aparezca; signal hace que eso que aparece importe. El error común es emerge.open + danger, que carga el contenedor en lugar del evento evaluable. Con commit: la señal puede ocurrir antes o durante; el commit ocurre como resultado. signal.warn + risk dice «revisa este campo»; commit.fail + risk dice «la operación no se completó». La primera aún puede evitar la segunda.</w:t>
      </w:r>
    </w:p>
    <w:p>
      <w:pPr>
        <w:spacing w:before="320" w:after="40"/>
      </w:pPr>
      <w:r>
        <w:rPr>
          <w:rFonts w:ascii="IBM Plex Sans" w:hAnsi="IBM Plex Sans" w:cs="IBM Plex Sans"/>
          <w:b/>
          <w:color w:val="1F3A5F"/>
          <w:sz w:val="18"/>
        </w:rPr>
        <w:t>§ 8</w:t>
      </w:r>
    </w:p>
    <w:p>
      <w:pPr>
        <w:spacing w:after="160" w:line="240" w:lineRule="auto"/>
      </w:pPr>
      <w:r>
        <w:rPr>
          <w:rFonts w:ascii="Newsreader" w:hAnsi="Newsreader" w:cs="Newsreader"/>
          <w:color w:val="161412"/>
          <w:sz w:val="38"/>
        </w:rPr>
        <w:t>Ejemplos prácticos</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Error de formulario</w:t>
      </w:r>
      <w:r>
        <w:rPr>
          <w:rFonts w:ascii="Newsreader" w:hAnsi="Newsreader" w:cs="Newsreader"/>
          <w:b w:val="0"/>
          <w:i w:val="0"/>
          <w:color w:val="161412"/>
        </w:rPr>
        <w:t xml:space="preserve"> → signal.warn + risk: forma inline, color moderado, texto claro, persistente hasta la corrección.</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Notificación informativa</w:t>
      </w:r>
      <w:r>
        <w:rPr>
          <w:rFonts w:ascii="Newsreader" w:hAnsi="Newsreader" w:cs="Newsreader"/>
          <w:b w:val="0"/>
          <w:i w:val="0"/>
          <w:color w:val="161412"/>
        </w:rPr>
        <w:t xml:space="preserve"> → signal.notify + neutral: presencia leve, no interrumpe.</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Alerta crítica</w:t>
      </w:r>
      <w:r>
        <w:rPr>
          <w:rFonts w:ascii="Newsreader" w:hAnsi="Newsreader" w:cs="Newsreader"/>
          <w:b w:val="0"/>
          <w:i w:val="0"/>
          <w:color w:val="161412"/>
        </w:rPr>
        <w:t xml:space="preserve"> → signal.alert + threat: presencia fuerte, posible sonido, persistente hasta la acción.</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Información contextual</w:t>
      </w:r>
      <w:r>
        <w:rPr>
          <w:rFonts w:ascii="Newsreader" w:hAnsi="Newsreader" w:cs="Newsreader"/>
          <w:b w:val="0"/>
          <w:i w:val="0"/>
          <w:color w:val="161412"/>
        </w:rPr>
        <w:t xml:space="preserve"> → signal.announce + neutral: no es el intent «info» de la convención heredada, sino una señal neutra.</w:t>
      </w:r>
    </w:p>
    <w:p>
      <w:pPr>
        <w:spacing w:before="320" w:after="40"/>
      </w:pPr>
      <w:r>
        <w:rPr>
          <w:rFonts w:ascii="IBM Plex Sans" w:hAnsi="IBM Plex Sans" w:cs="IBM Plex Sans"/>
          <w:b/>
          <w:color w:val="1F3A5F"/>
          <w:sz w:val="18"/>
        </w:rPr>
        <w:t>§ 9</w:t>
      </w:r>
    </w:p>
    <w:p>
      <w:pPr>
        <w:spacing w:after="160" w:line="240" w:lineRule="auto"/>
      </w:pPr>
      <w:r>
        <w:rPr>
          <w:rFonts w:ascii="Newsreader" w:hAnsi="Newsreader" w:cs="Newsreader"/>
          <w:color w:val="161412"/>
          <w:sz w:val="38"/>
        </w:rPr>
        <w:t>Accesibilidad</w:t>
      </w:r>
    </w:p>
    <w:p>
      <w:pPr>
        <w:spacing w:after="120" w:line="320" w:lineRule="auto"/>
        <w:jc w:val="both"/>
      </w:pPr>
      <w:r>
        <w:rPr>
          <w:rFonts w:ascii="Newsreader" w:hAnsi="Newsreader" w:cs="Newsreader"/>
          <w:b w:val="0"/>
          <w:i w:val="0"/>
          <w:color w:val="161412"/>
        </w:rPr>
        <w:t>signal es la familia más crítica en accesibilidad. Una señal accesible no depende solo del color, lleva texto claro, persiste si importa, usa live region cuando procede, no es solo sonora, no desaparece demasiado rápido y no interrumpe sin necesidad.</w:t>
      </w:r>
    </w:p>
    <w:p>
      <w:pPr>
        <w:spacing w:before="320" w:after="40"/>
      </w:pPr>
      <w:r>
        <w:rPr>
          <w:rFonts w:ascii="IBM Plex Sans" w:hAnsi="IBM Plex Sans" w:cs="IBM Plex Sans"/>
          <w:b/>
          <w:color w:val="1F3A5F"/>
          <w:sz w:val="18"/>
        </w:rPr>
        <w:t>§ 10</w:t>
      </w:r>
    </w:p>
    <w:p>
      <w:pPr>
        <w:spacing w:after="160" w:line="240" w:lineRule="auto"/>
      </w:pPr>
      <w:r>
        <w:rPr>
          <w:rFonts w:ascii="Newsreader" w:hAnsi="Newsreader" w:cs="Newsreader"/>
          <w:color w:val="161412"/>
          <w:sz w:val="38"/>
        </w:rPr>
        <w:t>Antipatrones</w:t>
      </w:r>
    </w:p>
    <w:p>
      <w:pPr>
        <w:spacing w:after="120" w:line="320" w:lineRule="auto"/>
        <w:jc w:val="both"/>
      </w:pPr>
      <w:r>
        <w:rPr>
          <w:rFonts w:ascii="Newsreader" w:hAnsi="Newsreader" w:cs="Newsreader"/>
          <w:b/>
          <w:i w:val="0"/>
          <w:color w:val="161412"/>
        </w:rPr>
        <w:t>Todo es urgente.</w:t>
      </w:r>
      <w:r>
        <w:rPr>
          <w:rFonts w:ascii="Newsreader" w:hAnsi="Newsreader" w:cs="Newsreader"/>
          <w:b w:val="0"/>
          <w:i w:val="0"/>
          <w:color w:val="161412"/>
        </w:rPr>
        <w:t xml:space="preserve"> Usar alert para lo que merece notify. La urgencia constante se convierte en ruido de fondo, y la alarma real llega devaluada. La gravedad de la señal corresponde a la gravedad del evento; la mayoría de los eventos no son urgentes.</w:t>
      </w:r>
    </w:p>
    <w:p>
      <w:pPr>
        <w:spacing w:after="120" w:line="320" w:lineRule="auto"/>
        <w:jc w:val="both"/>
      </w:pPr>
      <w:r>
        <w:rPr>
          <w:rFonts w:ascii="Newsreader" w:hAnsi="Newsreader" w:cs="Newsreader"/>
          <w:b/>
          <w:i w:val="0"/>
          <w:color w:val="161412"/>
        </w:rPr>
        <w:t>Insistencia sin memoria.</w:t>
      </w:r>
      <w:r>
        <w:rPr>
          <w:rFonts w:ascii="Newsreader" w:hAnsi="Newsreader" w:cs="Newsreader"/>
          <w:b w:val="0"/>
          <w:i w:val="0"/>
          <w:color w:val="161412"/>
        </w:rPr>
        <w:t xml:space="preserve"> La señal reaparece aunque ya fue vista y atendida. El sistema no registra la atención del usuario y lo castiga por haberla prestado. Una señal atendida cambia de estado o se retira.</w:t>
      </w:r>
    </w:p>
    <w:p>
      <w:pPr>
        <w:spacing w:after="120" w:line="320" w:lineRule="auto"/>
        <w:jc w:val="both"/>
      </w:pPr>
      <w:r>
        <w:rPr>
          <w:rFonts w:ascii="Newsreader" w:hAnsi="Newsreader" w:cs="Newsreader"/>
          <w:b/>
          <w:i w:val="0"/>
          <w:color w:val="161412"/>
        </w:rPr>
        <w:t>Señal sin salida.</w:t>
      </w:r>
      <w:r>
        <w:rPr>
          <w:rFonts w:ascii="Newsreader" w:hAnsi="Newsreader" w:cs="Newsreader"/>
          <w:b w:val="0"/>
          <w:i w:val="0"/>
          <w:color w:val="161412"/>
        </w:rPr>
        <w:t xml:space="preserve"> Se reclama atención pero no se ofrece acción: qué revisar, qué corregir, dónde ir. La atención convocada no tiene dónde aterrizar. Toda señal que pide actuar dice cómo.</w:t>
      </w:r>
    </w:p>
    <w:p>
      <w:pPr>
        <w:spacing w:before="320" w:after="40"/>
      </w:pPr>
      <w:r>
        <w:rPr>
          <w:rFonts w:ascii="IBM Plex Sans" w:hAnsi="IBM Plex Sans" w:cs="IBM Plex Sans"/>
          <w:b/>
          <w:color w:val="1F3A5F"/>
          <w:sz w:val="18"/>
        </w:rPr>
        <w:t>§ 11</w:t>
      </w:r>
    </w:p>
    <w:p>
      <w:pPr>
        <w:spacing w:after="160" w:line="240" w:lineRule="auto"/>
      </w:pPr>
      <w:r>
        <w:rPr>
          <w:rFonts w:ascii="Newsreader" w:hAnsi="Newsreader" w:cs="Newsreader"/>
          <w:color w:val="161412"/>
          <w:sz w:val="38"/>
        </w:rPr>
        <w:t>Síntesis</w:t>
      </w:r>
    </w:p>
    <w:p>
      <w:pPr>
        <w:spacing w:after="120" w:line="320" w:lineRule="auto"/>
        <w:jc w:val="both"/>
      </w:pPr>
      <w:r>
        <w:rPr>
          <w:rFonts w:ascii="Newsreader" w:hAnsi="Newsreader" w:cs="Newsreader"/>
          <w:b w:val="0"/>
          <w:i w:val="0"/>
          <w:color w:val="161412"/>
        </w:rPr>
        <w:t>signal es la familia de la atención. No actúa, no fija, no transforma el sistema directamente: dirige la percepción del usuario, y comunica que algo merece atención y con qué grado de urgencia.</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Una interfaz no solo responde a acciones. También guía la atención.</w:t>
      </w:r>
    </w:p>
    <w:p>
      <w:pPr>
        <w:spacing w:after="200" w:before="40"/>
      </w:pPr>
      <w:r>
        <w:rPr>
          <w:rFonts w:ascii="IBM Plex Sans" w:hAnsi="IBM Plex Sans" w:cs="IBM Plex Sans"/>
          <w:b/>
          <w:color w:val="1F3A5F"/>
          <w:sz w:val="17"/>
        </w:rPr>
        <w:t xml:space="preserve">TABLA 24.1   </w:t>
      </w:r>
      <w:r>
        <w:rPr>
          <w:rFonts w:ascii="IBM Plex Sans" w:hAnsi="IBM Plex Sans" w:cs="IBM Plex Sans"/>
          <w:color w:val="3A352F"/>
          <w:sz w:val="18"/>
        </w:rPr>
        <w:t xml:space="preserve">Tipos de signal, intent y lectura</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Tipo</w:t>
            </w:r>
          </w:p>
        </w:tc>
        <w:tc>
          <w:tcPr>
            <w:tcW w:type="dxa" w:w="2772"/>
            <w:shd w:val="clear" w:color="auto" w:fill="EAE4D8"/>
          </w:tcPr>
          <w:p>
            <w:pPr>
              <w:spacing w:after="40"/>
            </w:pPr>
            <w:r>
              <w:rPr>
                <w:sz w:val="17"/>
              </w:rPr>
            </w:r>
            <w:r>
              <w:rPr>
                <w:rFonts w:ascii="IBM Plex Sans" w:hAnsi="IBM Plex Sans" w:cs="IBM Plex Sans"/>
                <w:b/>
                <w:i w:val="0"/>
                <w:color w:val="1F3A5F"/>
                <w:sz w:val="17"/>
              </w:rPr>
              <w:t>Intent</w:t>
            </w:r>
          </w:p>
        </w:tc>
        <w:tc>
          <w:tcPr>
            <w:tcW w:type="dxa" w:w="2772"/>
            <w:shd w:val="clear" w:color="auto" w:fill="EAE4D8"/>
          </w:tcPr>
          <w:p>
            <w:pPr>
              <w:spacing w:after="40"/>
            </w:pPr>
            <w:r>
              <w:rPr>
                <w:sz w:val="17"/>
              </w:rPr>
            </w:r>
            <w:r>
              <w:rPr>
                <w:rFonts w:ascii="IBM Plex Sans" w:hAnsi="IBM Plex Sans" w:cs="IBM Plex Sans"/>
                <w:b/>
                <w:i w:val="0"/>
                <w:color w:val="1F3A5F"/>
                <w:sz w:val="17"/>
              </w:rPr>
              <w:t>Lectura</w:t>
            </w:r>
          </w:p>
        </w:tc>
      </w:tr>
      <w:tr>
        <w:tc>
          <w:tcPr>
            <w:tcW w:type="dxa" w:w="2772"/>
          </w:tcPr>
          <w:p>
            <w:pPr>
              <w:spacing w:after="40"/>
            </w:pPr>
            <w:r>
              <w:rPr>
                <w:sz w:val="17"/>
              </w:rPr>
            </w:r>
            <w:r>
              <w:rPr>
                <w:rFonts w:ascii="IBM Plex Sans" w:hAnsi="IBM Plex Sans" w:cs="IBM Plex Sans"/>
                <w:b w:val="0"/>
                <w:i w:val="0"/>
                <w:color w:val="161412"/>
                <w:sz w:val="17"/>
              </w:rPr>
              <w:t>announce</w:t>
            </w:r>
          </w:p>
        </w:tc>
        <w:tc>
          <w:tcPr>
            <w:tcW w:type="dxa" w:w="2772"/>
          </w:tcPr>
          <w:p>
            <w:pPr>
              <w:spacing w:after="40"/>
            </w:pPr>
            <w:r>
              <w:rPr>
                <w:sz w:val="17"/>
              </w:rPr>
            </w:r>
            <w:r>
              <w:rPr>
                <w:rFonts w:ascii="IBM Plex Sans" w:hAnsi="IBM Plex Sans" w:cs="IBM Plex Sans"/>
                <w:b w:val="0"/>
                <w:i w:val="0"/>
                <w:color w:val="161412"/>
                <w:sz w:val="17"/>
              </w:rPr>
              <w:t>neutral</w:t>
            </w:r>
          </w:p>
        </w:tc>
        <w:tc>
          <w:tcPr>
            <w:tcW w:type="dxa" w:w="2772"/>
          </w:tcPr>
          <w:p>
            <w:pPr>
              <w:spacing w:after="40"/>
            </w:pPr>
            <w:r>
              <w:rPr>
                <w:sz w:val="17"/>
              </w:rPr>
            </w:r>
            <w:r>
              <w:rPr>
                <w:rFonts w:ascii="IBM Plex Sans" w:hAnsi="IBM Plex Sans" w:cs="IBM Plex Sans"/>
                <w:b w:val="0"/>
                <w:i w:val="0"/>
                <w:color w:val="161412"/>
                <w:sz w:val="17"/>
              </w:rPr>
              <w:t>existe</w:t>
            </w:r>
          </w:p>
        </w:tc>
      </w:tr>
      <w:tr>
        <w:tc>
          <w:tcPr>
            <w:tcW w:type="dxa" w:w="2772"/>
          </w:tcPr>
          <w:p>
            <w:pPr>
              <w:spacing w:after="40"/>
            </w:pPr>
            <w:r>
              <w:rPr>
                <w:sz w:val="17"/>
              </w:rPr>
            </w:r>
            <w:r>
              <w:rPr>
                <w:rFonts w:ascii="IBM Plex Sans" w:hAnsi="IBM Plex Sans" w:cs="IBM Plex Sans"/>
                <w:b w:val="0"/>
                <w:i w:val="0"/>
                <w:color w:val="161412"/>
                <w:sz w:val="17"/>
              </w:rPr>
              <w:t>notify</w:t>
            </w:r>
          </w:p>
        </w:tc>
        <w:tc>
          <w:tcPr>
            <w:tcW w:type="dxa" w:w="2772"/>
          </w:tcPr>
          <w:p>
            <w:pPr>
              <w:spacing w:after="40"/>
            </w:pPr>
            <w:r>
              <w:rPr>
                <w:sz w:val="17"/>
              </w:rPr>
            </w:r>
            <w:r>
              <w:rPr>
                <w:rFonts w:ascii="IBM Plex Sans" w:hAnsi="IBM Plex Sans" w:cs="IBM Plex Sans"/>
                <w:b w:val="0"/>
                <w:i w:val="0"/>
                <w:color w:val="161412"/>
                <w:sz w:val="17"/>
              </w:rPr>
              <w:t>neutral / affirm</w:t>
            </w:r>
          </w:p>
        </w:tc>
        <w:tc>
          <w:tcPr>
            <w:tcW w:type="dxa" w:w="2772"/>
          </w:tcPr>
          <w:p>
            <w:pPr>
              <w:spacing w:after="40"/>
            </w:pPr>
            <w:r>
              <w:rPr>
                <w:sz w:val="17"/>
              </w:rPr>
            </w:r>
            <w:r>
              <w:rPr>
                <w:rFonts w:ascii="IBM Plex Sans" w:hAnsi="IBM Plex Sans" w:cs="IBM Plex Sans"/>
                <w:b w:val="0"/>
                <w:i w:val="0"/>
                <w:color w:val="161412"/>
                <w:sz w:val="17"/>
              </w:rPr>
              <w:t>ocurrió algo</w:t>
            </w:r>
          </w:p>
        </w:tc>
      </w:tr>
      <w:tr>
        <w:tc>
          <w:tcPr>
            <w:tcW w:type="dxa" w:w="2772"/>
          </w:tcPr>
          <w:p>
            <w:pPr>
              <w:spacing w:after="40"/>
            </w:pPr>
            <w:r>
              <w:rPr>
                <w:sz w:val="17"/>
              </w:rPr>
            </w:r>
            <w:r>
              <w:rPr>
                <w:rFonts w:ascii="IBM Plex Sans" w:hAnsi="IBM Plex Sans" w:cs="IBM Plex Sans"/>
                <w:b w:val="0"/>
                <w:i w:val="0"/>
                <w:color w:val="161412"/>
                <w:sz w:val="17"/>
              </w:rPr>
              <w:t>warn</w:t>
            </w:r>
          </w:p>
        </w:tc>
        <w:tc>
          <w:tcPr>
            <w:tcW w:type="dxa" w:w="2772"/>
          </w:tcPr>
          <w:p>
            <w:pPr>
              <w:spacing w:after="40"/>
            </w:pPr>
            <w:r>
              <w:rPr>
                <w:sz w:val="17"/>
              </w:rPr>
            </w:r>
            <w:r>
              <w:rPr>
                <w:rFonts w:ascii="IBM Plex Sans" w:hAnsi="IBM Plex Sans" w:cs="IBM Plex Sans"/>
                <w:b w:val="0"/>
                <w:i w:val="0"/>
                <w:color w:val="161412"/>
                <w:sz w:val="17"/>
              </w:rPr>
              <w:t>risk</w:t>
            </w:r>
          </w:p>
        </w:tc>
        <w:tc>
          <w:tcPr>
            <w:tcW w:type="dxa" w:w="2772"/>
          </w:tcPr>
          <w:p>
            <w:pPr>
              <w:spacing w:after="40"/>
            </w:pPr>
            <w:r>
              <w:rPr>
                <w:sz w:val="17"/>
              </w:rPr>
            </w:r>
            <w:r>
              <w:rPr>
                <w:rFonts w:ascii="IBM Plex Sans" w:hAnsi="IBM Plex Sans" w:cs="IBM Plex Sans"/>
                <w:b w:val="0"/>
                <w:i w:val="0"/>
                <w:color w:val="161412"/>
                <w:sz w:val="17"/>
              </w:rPr>
              <w:t>revisa</w:t>
            </w:r>
          </w:p>
        </w:tc>
      </w:tr>
      <w:tr>
        <w:tc>
          <w:tcPr>
            <w:tcW w:type="dxa" w:w="2772"/>
          </w:tcPr>
          <w:p>
            <w:pPr>
              <w:spacing w:after="40"/>
            </w:pPr>
            <w:r>
              <w:rPr>
                <w:sz w:val="17"/>
              </w:rPr>
            </w:r>
            <w:r>
              <w:rPr>
                <w:rFonts w:ascii="IBM Plex Sans" w:hAnsi="IBM Plex Sans" w:cs="IBM Plex Sans"/>
                <w:b w:val="0"/>
                <w:i w:val="0"/>
                <w:color w:val="161412"/>
                <w:sz w:val="17"/>
              </w:rPr>
              <w:t>alert</w:t>
            </w:r>
          </w:p>
        </w:tc>
        <w:tc>
          <w:tcPr>
            <w:tcW w:type="dxa" w:w="2772"/>
          </w:tcPr>
          <w:p>
            <w:pPr>
              <w:spacing w:after="40"/>
            </w:pPr>
            <w:r>
              <w:rPr>
                <w:sz w:val="17"/>
              </w:rPr>
            </w:r>
            <w:r>
              <w:rPr>
                <w:rFonts w:ascii="IBM Plex Sans" w:hAnsi="IBM Plex Sans" w:cs="IBM Plex Sans"/>
                <w:b w:val="0"/>
                <w:i w:val="0"/>
                <w:color w:val="161412"/>
                <w:sz w:val="17"/>
              </w:rPr>
              <w:t>threat</w:t>
            </w:r>
          </w:p>
        </w:tc>
        <w:tc>
          <w:tcPr>
            <w:tcW w:type="dxa" w:w="2772"/>
          </w:tcPr>
          <w:p>
            <w:pPr>
              <w:spacing w:after="40"/>
            </w:pPr>
            <w:r>
              <w:rPr>
                <w:sz w:val="17"/>
              </w:rPr>
            </w:r>
            <w:r>
              <w:rPr>
                <w:rFonts w:ascii="IBM Plex Sans" w:hAnsi="IBM Plex Sans" w:cs="IBM Plex Sans"/>
                <w:b w:val="0"/>
                <w:i w:val="0"/>
                <w:color w:val="161412"/>
                <w:sz w:val="17"/>
              </w:rPr>
              <w:t>actúa ahora</w:t>
            </w:r>
          </w:p>
        </w:tc>
      </w:tr>
    </w:tbl>
    <w:p>
      <w:pPr>
        <w:spacing w:after="80"/>
      </w:pPr>
    </w:p>
    <w:p>
      <w:pPr>
        <w:spacing w:after="200" w:before="40"/>
      </w:pPr>
      <w:r>
        <w:rPr>
          <w:rFonts w:ascii="IBM Plex Sans" w:hAnsi="IBM Plex Sans" w:cs="IBM Plex Sans"/>
          <w:b/>
          <w:color w:val="1F3A5F"/>
          <w:sz w:val="17"/>
        </w:rPr>
        <w:t xml:space="preserve">TABLA 24.2   </w:t>
      </w:r>
      <w:r>
        <w:rPr>
          <w:rFonts w:ascii="IBM Plex Sans" w:hAnsi="IBM Plex Sans" w:cs="IBM Plex Sans"/>
          <w:color w:val="3A352F"/>
          <w:sz w:val="18"/>
        </w:rPr>
        <w:t xml:space="preserve">Canales de signal y su función</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Canal</w:t>
            </w:r>
          </w:p>
        </w:tc>
        <w:tc>
          <w:tcPr>
            <w:tcW w:type="dxa" w:w="4158"/>
            <w:shd w:val="clear" w:color="auto" w:fill="EAE4D8"/>
          </w:tcPr>
          <w:p>
            <w:pPr>
              <w:spacing w:after="40"/>
            </w:pPr>
            <w:r>
              <w:rPr>
                <w:sz w:val="17"/>
              </w:rPr>
            </w:r>
            <w:r>
              <w:rPr>
                <w:rFonts w:ascii="IBM Plex Sans" w:hAnsi="IBM Plex Sans" w:cs="IBM Plex Sans"/>
                <w:b/>
                <w:i w:val="0"/>
                <w:color w:val="1F3A5F"/>
                <w:sz w:val="17"/>
              </w:rPr>
              <w:t>Función</w:t>
            </w:r>
          </w:p>
        </w:tc>
      </w:tr>
      <w:tr>
        <w:tc>
          <w:tcPr>
            <w:tcW w:type="dxa" w:w="4158"/>
          </w:tcPr>
          <w:p>
            <w:pPr>
              <w:spacing w:after="40"/>
            </w:pPr>
            <w:r>
              <w:rPr>
                <w:sz w:val="17"/>
              </w:rPr>
            </w:r>
            <w:r>
              <w:rPr>
                <w:rFonts w:ascii="IBM Plex Sans" w:hAnsi="IBM Plex Sans" w:cs="IBM Plex Sans"/>
                <w:b w:val="0"/>
                <w:i w:val="0"/>
                <w:color w:val="161412"/>
                <w:sz w:val="17"/>
              </w:rPr>
              <w:t>Presencia</w:t>
            </w:r>
          </w:p>
        </w:tc>
        <w:tc>
          <w:tcPr>
            <w:tcW w:type="dxa" w:w="4158"/>
          </w:tcPr>
          <w:p>
            <w:pPr>
              <w:spacing w:after="40"/>
            </w:pPr>
            <w:r>
              <w:rPr>
                <w:sz w:val="17"/>
              </w:rPr>
            </w:r>
            <w:r>
              <w:rPr>
                <w:rFonts w:ascii="IBM Plex Sans" w:hAnsi="IBM Plex Sans" w:cs="IBM Plex Sans"/>
                <w:b w:val="0"/>
                <w:i w:val="0"/>
                <w:color w:val="161412"/>
                <w:sz w:val="17"/>
              </w:rPr>
              <w:t>aparición visible</w:t>
            </w:r>
          </w:p>
        </w:tc>
      </w:tr>
      <w:tr>
        <w:tc>
          <w:tcPr>
            <w:tcW w:type="dxa" w:w="4158"/>
          </w:tcPr>
          <w:p>
            <w:pPr>
              <w:spacing w:after="40"/>
            </w:pPr>
            <w:r>
              <w:rPr>
                <w:sz w:val="17"/>
              </w:rPr>
            </w:r>
            <w:r>
              <w:rPr>
                <w:rFonts w:ascii="IBM Plex Sans" w:hAnsi="IBM Plex Sans" w:cs="IBM Plex Sans"/>
                <w:b w:val="0"/>
                <w:i w:val="0"/>
                <w:color w:val="161412"/>
                <w:sz w:val="17"/>
              </w:rPr>
              <w:t>Forma</w:t>
            </w:r>
          </w:p>
        </w:tc>
        <w:tc>
          <w:tcPr>
            <w:tcW w:type="dxa" w:w="4158"/>
          </w:tcPr>
          <w:p>
            <w:pPr>
              <w:spacing w:after="40"/>
            </w:pPr>
            <w:r>
              <w:rPr>
                <w:sz w:val="17"/>
              </w:rPr>
            </w:r>
            <w:r>
              <w:rPr>
                <w:rFonts w:ascii="IBM Plex Sans" w:hAnsi="IBM Plex Sans" w:cs="IBM Plex Sans"/>
                <w:b w:val="0"/>
                <w:i w:val="0"/>
                <w:color w:val="161412"/>
                <w:sz w:val="17"/>
              </w:rPr>
              <w:t>separar de contenido</w:t>
            </w:r>
          </w:p>
        </w:tc>
      </w:tr>
      <w:tr>
        <w:tc>
          <w:tcPr>
            <w:tcW w:type="dxa" w:w="4158"/>
          </w:tcPr>
          <w:p>
            <w:pPr>
              <w:spacing w:after="40"/>
            </w:pPr>
            <w:r>
              <w:rPr>
                <w:sz w:val="17"/>
              </w:rPr>
            </w:r>
            <w:r>
              <w:rPr>
                <w:rFonts w:ascii="IBM Plex Sans" w:hAnsi="IBM Plex Sans" w:cs="IBM Plex Sans"/>
                <w:b w:val="0"/>
                <w:i w:val="0"/>
                <w:color w:val="161412"/>
                <w:sz w:val="17"/>
              </w:rPr>
              <w:t>Color</w:t>
            </w:r>
          </w:p>
        </w:tc>
        <w:tc>
          <w:tcPr>
            <w:tcW w:type="dxa" w:w="4158"/>
          </w:tcPr>
          <w:p>
            <w:pPr>
              <w:spacing w:after="40"/>
            </w:pPr>
            <w:r>
              <w:rPr>
                <w:sz w:val="17"/>
              </w:rPr>
            </w:r>
            <w:r>
              <w:rPr>
                <w:rFonts w:ascii="IBM Plex Sans" w:hAnsi="IBM Plex Sans" w:cs="IBM Plex Sans"/>
                <w:b w:val="0"/>
                <w:i w:val="0"/>
                <w:color w:val="161412"/>
                <w:sz w:val="17"/>
              </w:rPr>
              <w:t>valencia y saliencia</w:t>
            </w:r>
          </w:p>
        </w:tc>
      </w:tr>
      <w:tr>
        <w:tc>
          <w:tcPr>
            <w:tcW w:type="dxa" w:w="4158"/>
          </w:tcPr>
          <w:p>
            <w:pPr>
              <w:spacing w:after="40"/>
            </w:pPr>
            <w:r>
              <w:rPr>
                <w:sz w:val="17"/>
              </w:rPr>
            </w:r>
            <w:r>
              <w:rPr>
                <w:rFonts w:ascii="IBM Plex Sans" w:hAnsi="IBM Plex Sans" w:cs="IBM Plex Sans"/>
                <w:b w:val="0"/>
                <w:i w:val="0"/>
                <w:color w:val="161412"/>
                <w:sz w:val="17"/>
              </w:rPr>
              <w:t>Texto</w:t>
            </w:r>
          </w:p>
        </w:tc>
        <w:tc>
          <w:tcPr>
            <w:tcW w:type="dxa" w:w="4158"/>
          </w:tcPr>
          <w:p>
            <w:pPr>
              <w:spacing w:after="40"/>
            </w:pPr>
            <w:r>
              <w:rPr>
                <w:sz w:val="17"/>
              </w:rPr>
            </w:r>
            <w:r>
              <w:rPr>
                <w:rFonts w:ascii="IBM Plex Sans" w:hAnsi="IBM Plex Sans" w:cs="IBM Plex Sans"/>
                <w:b w:val="0"/>
                <w:i w:val="0"/>
                <w:color w:val="161412"/>
                <w:sz w:val="17"/>
              </w:rPr>
              <w:t>significado explícito</w:t>
            </w:r>
          </w:p>
        </w:tc>
      </w:tr>
      <w:tr>
        <w:tc>
          <w:tcPr>
            <w:tcW w:type="dxa" w:w="4158"/>
          </w:tcPr>
          <w:p>
            <w:pPr>
              <w:spacing w:after="40"/>
            </w:pPr>
            <w:r>
              <w:rPr>
                <w:sz w:val="17"/>
              </w:rPr>
            </w:r>
            <w:r>
              <w:rPr>
                <w:rFonts w:ascii="IBM Plex Sans" w:hAnsi="IBM Plex Sans" w:cs="IBM Plex Sans"/>
                <w:b w:val="0"/>
                <w:i w:val="0"/>
                <w:color w:val="161412"/>
                <w:sz w:val="17"/>
              </w:rPr>
              <w:t>Tiempo</w:t>
            </w:r>
          </w:p>
        </w:tc>
        <w:tc>
          <w:tcPr>
            <w:tcW w:type="dxa" w:w="4158"/>
          </w:tcPr>
          <w:p>
            <w:pPr>
              <w:spacing w:after="40"/>
            </w:pPr>
            <w:r>
              <w:rPr>
                <w:sz w:val="17"/>
              </w:rPr>
            </w:r>
            <w:r>
              <w:rPr>
                <w:rFonts w:ascii="IBM Plex Sans" w:hAnsi="IBM Plex Sans" w:cs="IBM Plex Sans"/>
                <w:b w:val="0"/>
                <w:i w:val="0"/>
                <w:color w:val="161412"/>
                <w:sz w:val="17"/>
              </w:rPr>
              <w:t>persistencia</w:t>
            </w:r>
          </w:p>
        </w:tc>
      </w:tr>
      <w:tr>
        <w:tc>
          <w:tcPr>
            <w:tcW w:type="dxa" w:w="4158"/>
          </w:tcPr>
          <w:p>
            <w:pPr>
              <w:spacing w:after="40"/>
            </w:pPr>
            <w:r>
              <w:rPr>
                <w:sz w:val="17"/>
              </w:rPr>
            </w:r>
            <w:r>
              <w:rPr>
                <w:rFonts w:ascii="IBM Plex Sans" w:hAnsi="IBM Plex Sans" w:cs="IBM Plex Sans"/>
                <w:b w:val="0"/>
                <w:i w:val="0"/>
                <w:color w:val="161412"/>
                <w:sz w:val="17"/>
              </w:rPr>
              <w:t>Motion</w:t>
            </w:r>
          </w:p>
        </w:tc>
        <w:tc>
          <w:tcPr>
            <w:tcW w:type="dxa" w:w="4158"/>
          </w:tcPr>
          <w:p>
            <w:pPr>
              <w:spacing w:after="40"/>
            </w:pPr>
            <w:r>
              <w:rPr>
                <w:sz w:val="17"/>
              </w:rPr>
            </w:r>
            <w:r>
              <w:rPr>
                <w:rFonts w:ascii="IBM Plex Sans" w:hAnsi="IBM Plex Sans" w:cs="IBM Plex Sans"/>
                <w:b w:val="0"/>
                <w:i w:val="0"/>
                <w:color w:val="161412"/>
                <w:sz w:val="17"/>
              </w:rPr>
              <w:t>entrada / énfasis</w:t>
            </w:r>
          </w:p>
        </w:tc>
      </w:tr>
      <w:tr>
        <w:tc>
          <w:tcPr>
            <w:tcW w:type="dxa" w:w="4158"/>
          </w:tcPr>
          <w:p>
            <w:pPr>
              <w:spacing w:after="40"/>
            </w:pPr>
            <w:r>
              <w:rPr>
                <w:sz w:val="17"/>
              </w:rPr>
            </w:r>
            <w:r>
              <w:rPr>
                <w:rFonts w:ascii="IBM Plex Sans" w:hAnsi="IBM Plex Sans" w:cs="IBM Plex Sans"/>
                <w:b w:val="0"/>
                <w:i w:val="0"/>
                <w:color w:val="161412"/>
                <w:sz w:val="17"/>
              </w:rPr>
              <w:t>Sonido</w:t>
            </w:r>
          </w:p>
        </w:tc>
        <w:tc>
          <w:tcPr>
            <w:tcW w:type="dxa" w:w="4158"/>
          </w:tcPr>
          <w:p>
            <w:pPr>
              <w:spacing w:after="40"/>
            </w:pPr>
            <w:r>
              <w:rPr>
                <w:sz w:val="17"/>
              </w:rPr>
            </w:r>
            <w:r>
              <w:rPr>
                <w:rFonts w:ascii="IBM Plex Sans" w:hAnsi="IBM Plex Sans" w:cs="IBM Plex Sans"/>
                <w:b w:val="0"/>
                <w:i w:val="0"/>
                <w:color w:val="161412"/>
                <w:sz w:val="17"/>
              </w:rPr>
              <w:t>opcional, fuera de foco</w:t>
            </w:r>
          </w:p>
        </w:tc>
      </w:tr>
      <w:tr>
        <w:tc>
          <w:tcPr>
            <w:tcW w:type="dxa" w:w="4158"/>
          </w:tcPr>
          <w:p>
            <w:pPr>
              <w:spacing w:after="40"/>
            </w:pPr>
            <w:r>
              <w:rPr>
                <w:sz w:val="17"/>
              </w:rPr>
            </w:r>
            <w:r>
              <w:rPr>
                <w:rFonts w:ascii="IBM Plex Sans" w:hAnsi="IBM Plex Sans" w:cs="IBM Plex Sans"/>
                <w:b w:val="0"/>
                <w:i w:val="0"/>
                <w:color w:val="161412"/>
                <w:sz w:val="17"/>
              </w:rPr>
              <w:t>Háptica</w:t>
            </w:r>
          </w:p>
        </w:tc>
        <w:tc>
          <w:tcPr>
            <w:tcW w:type="dxa" w:w="4158"/>
          </w:tcPr>
          <w:p>
            <w:pPr>
              <w:spacing w:after="40"/>
            </w:pPr>
            <w:r>
              <w:rPr>
                <w:sz w:val="17"/>
              </w:rPr>
            </w:r>
            <w:r>
              <w:rPr>
                <w:rFonts w:ascii="IBM Plex Sans" w:hAnsi="IBM Plex Sans" w:cs="IBM Plex Sans"/>
                <w:b w:val="0"/>
                <w:i w:val="0"/>
                <w:color w:val="161412"/>
                <w:sz w:val="17"/>
              </w:rPr>
              <w:t>opcional, alertas</w:t>
            </w:r>
          </w:p>
        </w:tc>
      </w:tr>
    </w:tbl>
    <w:p>
      <w:pPr>
        <w:spacing w:after="80"/>
      </w:pPr>
    </w:p>
    <w:p>
      <w:pPr>
        <w:spacing w:after="200" w:before="40"/>
      </w:pPr>
      <w:r>
        <w:rPr>
          <w:rFonts w:ascii="IBM Plex Sans" w:hAnsi="IBM Plex Sans" w:cs="IBM Plex Sans"/>
          <w:b/>
          <w:color w:val="1F3A5F"/>
          <w:sz w:val="17"/>
        </w:rPr>
        <w:t xml:space="preserve">TABLA 24.3   </w:t>
      </w:r>
      <w:r>
        <w:rPr>
          <w:rFonts w:ascii="IBM Plex Sans" w:hAnsi="IBM Plex Sans" w:cs="IBM Plex Sans"/>
          <w:color w:val="3A352F"/>
          <w:sz w:val="18"/>
        </w:rPr>
        <w:t xml:space="preserve">Migraciones de signal cuando falta un canal</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Problema</w:t>
            </w:r>
          </w:p>
        </w:tc>
        <w:tc>
          <w:tcPr>
            <w:tcW w:type="dxa" w:w="4158"/>
            <w:shd w:val="clear" w:color="auto" w:fill="EAE4D8"/>
          </w:tcPr>
          <w:p>
            <w:pPr>
              <w:spacing w:after="40"/>
            </w:pPr>
            <w:r>
              <w:rPr>
                <w:sz w:val="17"/>
              </w:rPr>
            </w:r>
            <w:r>
              <w:rPr>
                <w:rFonts w:ascii="IBM Plex Sans" w:hAnsi="IBM Plex Sans" w:cs="IBM Plex Sans"/>
                <w:b/>
                <w:i w:val="0"/>
                <w:color w:val="1F3A5F"/>
                <w:sz w:val="17"/>
              </w:rPr>
              <w:t>Solución</w:t>
            </w:r>
          </w:p>
        </w:tc>
      </w:tr>
      <w:tr>
        <w:tc>
          <w:tcPr>
            <w:tcW w:type="dxa" w:w="4158"/>
          </w:tcPr>
          <w:p>
            <w:pPr>
              <w:spacing w:after="40"/>
            </w:pPr>
            <w:r>
              <w:rPr>
                <w:sz w:val="17"/>
              </w:rPr>
            </w:r>
            <w:r>
              <w:rPr>
                <w:rFonts w:ascii="IBM Plex Sans" w:hAnsi="IBM Plex Sans" w:cs="IBM Plex Sans"/>
                <w:b w:val="0"/>
                <w:i w:val="0"/>
                <w:color w:val="161412"/>
                <w:sz w:val="17"/>
              </w:rPr>
              <w:t>solo color</w:t>
            </w:r>
          </w:p>
        </w:tc>
        <w:tc>
          <w:tcPr>
            <w:tcW w:type="dxa" w:w="4158"/>
          </w:tcPr>
          <w:p>
            <w:pPr>
              <w:spacing w:after="40"/>
            </w:pPr>
            <w:r>
              <w:rPr>
                <w:sz w:val="17"/>
              </w:rPr>
            </w:r>
            <w:r>
              <w:rPr>
                <w:rFonts w:ascii="IBM Plex Sans" w:hAnsi="IBM Plex Sans" w:cs="IBM Plex Sans"/>
                <w:b w:val="0"/>
                <w:i w:val="0"/>
                <w:color w:val="161412"/>
                <w:sz w:val="17"/>
              </w:rPr>
              <w:t>añadir texto/icono</w:t>
            </w:r>
          </w:p>
        </w:tc>
      </w:tr>
      <w:tr>
        <w:tc>
          <w:tcPr>
            <w:tcW w:type="dxa" w:w="4158"/>
          </w:tcPr>
          <w:p>
            <w:pPr>
              <w:spacing w:after="40"/>
            </w:pPr>
            <w:r>
              <w:rPr>
                <w:sz w:val="17"/>
              </w:rPr>
            </w:r>
            <w:r>
              <w:rPr>
                <w:rFonts w:ascii="IBM Plex Sans" w:hAnsi="IBM Plex Sans" w:cs="IBM Plex Sans"/>
                <w:b w:val="0"/>
                <w:i w:val="0"/>
                <w:color w:val="161412"/>
                <w:sz w:val="17"/>
              </w:rPr>
              <w:t>solo sonido</w:t>
            </w:r>
          </w:p>
        </w:tc>
        <w:tc>
          <w:tcPr>
            <w:tcW w:type="dxa" w:w="4158"/>
          </w:tcPr>
          <w:p>
            <w:pPr>
              <w:spacing w:after="40"/>
            </w:pPr>
            <w:r>
              <w:rPr>
                <w:sz w:val="17"/>
              </w:rPr>
            </w:r>
            <w:r>
              <w:rPr>
                <w:rFonts w:ascii="IBM Plex Sans" w:hAnsi="IBM Plex Sans" w:cs="IBM Plex Sans"/>
                <w:b w:val="0"/>
                <w:i w:val="0"/>
                <w:color w:val="161412"/>
                <w:sz w:val="17"/>
              </w:rPr>
              <w:t>añadir visual</w:t>
            </w:r>
          </w:p>
        </w:tc>
      </w:tr>
      <w:tr>
        <w:tc>
          <w:tcPr>
            <w:tcW w:type="dxa" w:w="4158"/>
          </w:tcPr>
          <w:p>
            <w:pPr>
              <w:spacing w:after="40"/>
            </w:pPr>
            <w:r>
              <w:rPr>
                <w:sz w:val="17"/>
              </w:rPr>
            </w:r>
            <w:r>
              <w:rPr>
                <w:rFonts w:ascii="IBM Plex Sans" w:hAnsi="IBM Plex Sans" w:cs="IBM Plex Sans"/>
                <w:b w:val="0"/>
                <w:i w:val="0"/>
                <w:color w:val="161412"/>
                <w:sz w:val="17"/>
              </w:rPr>
              <w:t>efímero</w:t>
            </w:r>
          </w:p>
        </w:tc>
        <w:tc>
          <w:tcPr>
            <w:tcW w:type="dxa" w:w="4158"/>
          </w:tcPr>
          <w:p>
            <w:pPr>
              <w:spacing w:after="40"/>
            </w:pPr>
            <w:r>
              <w:rPr>
                <w:sz w:val="17"/>
              </w:rPr>
            </w:r>
            <w:r>
              <w:rPr>
                <w:rFonts w:ascii="IBM Plex Sans" w:hAnsi="IBM Plex Sans" w:cs="IBM Plex Sans"/>
                <w:b w:val="0"/>
                <w:i w:val="0"/>
                <w:color w:val="161412"/>
                <w:sz w:val="17"/>
              </w:rPr>
              <w:t>persistencia</w:t>
            </w:r>
          </w:p>
        </w:tc>
      </w:tr>
      <w:tr>
        <w:tc>
          <w:tcPr>
            <w:tcW w:type="dxa" w:w="4158"/>
          </w:tcPr>
          <w:p>
            <w:pPr>
              <w:spacing w:after="40"/>
            </w:pPr>
            <w:r>
              <w:rPr>
                <w:sz w:val="17"/>
              </w:rPr>
            </w:r>
            <w:r>
              <w:rPr>
                <w:rFonts w:ascii="IBM Plex Sans" w:hAnsi="IBM Plex Sans" w:cs="IBM Plex Sans"/>
                <w:b w:val="0"/>
                <w:i w:val="0"/>
                <w:color w:val="161412"/>
                <w:sz w:val="17"/>
              </w:rPr>
              <w:t>fuera de foco</w:t>
            </w:r>
          </w:p>
        </w:tc>
        <w:tc>
          <w:tcPr>
            <w:tcW w:type="dxa" w:w="4158"/>
          </w:tcPr>
          <w:p>
            <w:pPr>
              <w:spacing w:after="40"/>
            </w:pPr>
            <w:r>
              <w:rPr>
                <w:sz w:val="17"/>
              </w:rPr>
            </w:r>
            <w:r>
              <w:rPr>
                <w:rFonts w:ascii="IBM Plex Sans" w:hAnsi="IBM Plex Sans" w:cs="IBM Plex Sans"/>
                <w:b w:val="0"/>
                <w:i w:val="0"/>
                <w:color w:val="161412"/>
                <w:sz w:val="17"/>
              </w:rPr>
              <w:t>live region</w:t>
            </w:r>
          </w:p>
        </w:tc>
      </w:tr>
      <w:tr>
        <w:tc>
          <w:tcPr>
            <w:tcW w:type="dxa" w:w="4158"/>
          </w:tcPr>
          <w:p>
            <w:pPr>
              <w:spacing w:after="40"/>
            </w:pPr>
            <w:r>
              <w:rPr>
                <w:sz w:val="17"/>
              </w:rPr>
            </w:r>
            <w:r>
              <w:rPr>
                <w:rFonts w:ascii="IBM Plex Sans" w:hAnsi="IBM Plex Sans" w:cs="IBM Plex Sans"/>
                <w:b w:val="0"/>
                <w:i w:val="0"/>
                <w:color w:val="161412"/>
                <w:sz w:val="17"/>
              </w:rPr>
              <w:t>exceso de alerta</w:t>
            </w:r>
          </w:p>
        </w:tc>
        <w:tc>
          <w:tcPr>
            <w:tcW w:type="dxa" w:w="4158"/>
          </w:tcPr>
          <w:p>
            <w:pPr>
              <w:spacing w:after="40"/>
            </w:pPr>
            <w:r>
              <w:rPr>
                <w:sz w:val="17"/>
              </w:rPr>
            </w:r>
            <w:r>
              <w:rPr>
                <w:rFonts w:ascii="IBM Plex Sans" w:hAnsi="IBM Plex Sans" w:cs="IBM Plex Sans"/>
                <w:b w:val="0"/>
                <w:i w:val="0"/>
                <w:color w:val="161412"/>
                <w:sz w:val="17"/>
              </w:rPr>
              <w:t>graduar</w:t>
            </w:r>
          </w:p>
        </w:tc>
      </w:tr>
    </w:tbl>
    <w:p>
      <w:pPr>
        <w:spacing w:after="80"/>
      </w:pPr>
    </w:p>
    <w:p>
      <w:pPr>
        <w:spacing w:after="200" w:before="40"/>
      </w:pPr>
      <w:r>
        <w:rPr>
          <w:rFonts w:ascii="IBM Plex Sans" w:hAnsi="IBM Plex Sans" w:cs="IBM Plex Sans"/>
          <w:b/>
          <w:color w:val="1F3A5F"/>
          <w:sz w:val="17"/>
        </w:rPr>
        <w:t xml:space="preserve">TABLA 24.4   </w:t>
      </w:r>
      <w:r>
        <w:rPr>
          <w:rFonts w:ascii="IBM Plex Sans" w:hAnsi="IBM Plex Sans" w:cs="IBM Plex Sans"/>
          <w:color w:val="3A352F"/>
          <w:sz w:val="18"/>
        </w:rPr>
        <w:t xml:space="preserve">Antipatrones de signal</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Antipatrón</w:t>
            </w:r>
          </w:p>
        </w:tc>
        <w:tc>
          <w:tcPr>
            <w:tcW w:type="dxa" w:w="4158"/>
            <w:shd w:val="clear" w:color="auto" w:fill="EAE4D8"/>
          </w:tcPr>
          <w:p>
            <w:pPr>
              <w:spacing w:after="40"/>
            </w:pPr>
            <w:r>
              <w:rPr>
                <w:sz w:val="17"/>
              </w:rPr>
            </w:r>
            <w:r>
              <w:rPr>
                <w:rFonts w:ascii="IBM Plex Sans" w:hAnsi="IBM Plex Sans" w:cs="IBM Plex Sans"/>
                <w:b/>
                <w:i w:val="0"/>
                <w:color w:val="1F3A5F"/>
                <w:sz w:val="17"/>
              </w:rPr>
              <w:t>Problema</w:t>
            </w:r>
          </w:p>
        </w:tc>
      </w:tr>
      <w:tr>
        <w:tc>
          <w:tcPr>
            <w:tcW w:type="dxa" w:w="4158"/>
          </w:tcPr>
          <w:p>
            <w:pPr>
              <w:spacing w:after="40"/>
            </w:pPr>
            <w:r>
              <w:rPr>
                <w:sz w:val="17"/>
              </w:rPr>
            </w:r>
            <w:r>
              <w:rPr>
                <w:rFonts w:ascii="IBM Plex Sans" w:hAnsi="IBM Plex Sans" w:cs="IBM Plex Sans"/>
                <w:b w:val="0"/>
                <w:i w:val="0"/>
                <w:color w:val="161412"/>
                <w:sz w:val="17"/>
              </w:rPr>
              <w:t>Todo es alert</w:t>
            </w:r>
          </w:p>
        </w:tc>
        <w:tc>
          <w:tcPr>
            <w:tcW w:type="dxa" w:w="4158"/>
          </w:tcPr>
          <w:p>
            <w:pPr>
              <w:spacing w:after="40"/>
            </w:pPr>
            <w:r>
              <w:rPr>
                <w:sz w:val="17"/>
              </w:rPr>
            </w:r>
            <w:r>
              <w:rPr>
                <w:rFonts w:ascii="IBM Plex Sans" w:hAnsi="IBM Plex Sans" w:cs="IBM Plex Sans"/>
                <w:b w:val="0"/>
                <w:i w:val="0"/>
                <w:color w:val="161412"/>
                <w:sz w:val="17"/>
              </w:rPr>
              <w:t>fatiga</w:t>
            </w:r>
          </w:p>
        </w:tc>
      </w:tr>
      <w:tr>
        <w:tc>
          <w:tcPr>
            <w:tcW w:type="dxa" w:w="4158"/>
          </w:tcPr>
          <w:p>
            <w:pPr>
              <w:spacing w:after="40"/>
            </w:pPr>
            <w:r>
              <w:rPr>
                <w:sz w:val="17"/>
              </w:rPr>
            </w:r>
            <w:r>
              <w:rPr>
                <w:rFonts w:ascii="IBM Plex Sans" w:hAnsi="IBM Plex Sans" w:cs="IBM Plex Sans"/>
                <w:b w:val="0"/>
                <w:i w:val="0"/>
                <w:color w:val="161412"/>
                <w:sz w:val="17"/>
              </w:rPr>
              <w:t>Info como intent</w:t>
            </w:r>
          </w:p>
        </w:tc>
        <w:tc>
          <w:tcPr>
            <w:tcW w:type="dxa" w:w="4158"/>
          </w:tcPr>
          <w:p>
            <w:pPr>
              <w:spacing w:after="40"/>
            </w:pPr>
            <w:r>
              <w:rPr>
                <w:sz w:val="17"/>
              </w:rPr>
            </w:r>
            <w:r>
              <w:rPr>
                <w:rFonts w:ascii="IBM Plex Sans" w:hAnsi="IBM Plex Sans" w:cs="IBM Plex Sans"/>
                <w:b w:val="0"/>
                <w:i w:val="0"/>
                <w:color w:val="161412"/>
                <w:sz w:val="17"/>
              </w:rPr>
              <w:t>confusión</w:t>
            </w:r>
          </w:p>
        </w:tc>
      </w:tr>
      <w:tr>
        <w:tc>
          <w:tcPr>
            <w:tcW w:type="dxa" w:w="4158"/>
          </w:tcPr>
          <w:p>
            <w:pPr>
              <w:spacing w:after="40"/>
            </w:pPr>
            <w:r>
              <w:rPr>
                <w:sz w:val="17"/>
              </w:rPr>
            </w:r>
            <w:r>
              <w:rPr>
                <w:rFonts w:ascii="IBM Plex Sans" w:hAnsi="IBM Plex Sans" w:cs="IBM Plex Sans"/>
                <w:b w:val="0"/>
                <w:i w:val="0"/>
                <w:color w:val="161412"/>
                <w:sz w:val="17"/>
              </w:rPr>
              <w:t>Warning para todo</w:t>
            </w:r>
          </w:p>
        </w:tc>
        <w:tc>
          <w:tcPr>
            <w:tcW w:type="dxa" w:w="4158"/>
          </w:tcPr>
          <w:p>
            <w:pPr>
              <w:spacing w:after="40"/>
            </w:pPr>
            <w:r>
              <w:rPr>
                <w:sz w:val="17"/>
              </w:rPr>
            </w:r>
            <w:r>
              <w:rPr>
                <w:rFonts w:ascii="IBM Plex Sans" w:hAnsi="IBM Plex Sans" w:cs="IBM Plex Sans"/>
                <w:b w:val="0"/>
                <w:i w:val="0"/>
                <w:color w:val="161412"/>
                <w:sz w:val="17"/>
              </w:rPr>
              <w:t>pierde significado</w:t>
            </w:r>
          </w:p>
        </w:tc>
      </w:tr>
      <w:tr>
        <w:tc>
          <w:tcPr>
            <w:tcW w:type="dxa" w:w="4158"/>
          </w:tcPr>
          <w:p>
            <w:pPr>
              <w:spacing w:after="40"/>
            </w:pPr>
            <w:r>
              <w:rPr>
                <w:sz w:val="17"/>
              </w:rPr>
            </w:r>
            <w:r>
              <w:rPr>
                <w:rFonts w:ascii="IBM Plex Sans" w:hAnsi="IBM Plex Sans" w:cs="IBM Plex Sans"/>
                <w:b w:val="0"/>
                <w:i w:val="0"/>
                <w:color w:val="161412"/>
                <w:sz w:val="17"/>
              </w:rPr>
              <w:t>Señales efímeras</w:t>
            </w:r>
          </w:p>
        </w:tc>
        <w:tc>
          <w:tcPr>
            <w:tcW w:type="dxa" w:w="4158"/>
          </w:tcPr>
          <w:p>
            <w:pPr>
              <w:spacing w:after="40"/>
            </w:pPr>
            <w:r>
              <w:rPr>
                <w:sz w:val="17"/>
              </w:rPr>
            </w:r>
            <w:r>
              <w:rPr>
                <w:rFonts w:ascii="IBM Plex Sans" w:hAnsi="IBM Plex Sans" w:cs="IBM Plex Sans"/>
                <w:b w:val="0"/>
                <w:i w:val="0"/>
                <w:color w:val="161412"/>
                <w:sz w:val="17"/>
              </w:rPr>
              <w:t>no se procesan</w:t>
            </w:r>
          </w:p>
        </w:tc>
      </w:tr>
      <w:tr>
        <w:tc>
          <w:tcPr>
            <w:tcW w:type="dxa" w:w="4158"/>
          </w:tcPr>
          <w:p>
            <w:pPr>
              <w:spacing w:after="40"/>
            </w:pPr>
            <w:r>
              <w:rPr>
                <w:sz w:val="17"/>
              </w:rPr>
            </w:r>
            <w:r>
              <w:rPr>
                <w:rFonts w:ascii="IBM Plex Sans" w:hAnsi="IBM Plex Sans" w:cs="IBM Plex Sans"/>
                <w:b w:val="0"/>
                <w:i w:val="0"/>
                <w:color w:val="161412"/>
                <w:sz w:val="17"/>
              </w:rPr>
              <w:t>Exceso de motion</w:t>
            </w:r>
          </w:p>
        </w:tc>
        <w:tc>
          <w:tcPr>
            <w:tcW w:type="dxa" w:w="4158"/>
          </w:tcPr>
          <w:p>
            <w:pPr>
              <w:spacing w:after="40"/>
            </w:pPr>
            <w:r>
              <w:rPr>
                <w:sz w:val="17"/>
              </w:rPr>
            </w:r>
            <w:r>
              <w:rPr>
                <w:rFonts w:ascii="IBM Plex Sans" w:hAnsi="IBM Plex Sans" w:cs="IBM Plex Sans"/>
                <w:b w:val="0"/>
                <w:i w:val="0"/>
                <w:color w:val="161412"/>
                <w:sz w:val="17"/>
              </w:rPr>
              <w:t>ruido</w:t>
            </w:r>
          </w:p>
        </w:tc>
      </w:tr>
      <w:tr>
        <w:tc>
          <w:tcPr>
            <w:tcW w:type="dxa" w:w="4158"/>
          </w:tcPr>
          <w:p>
            <w:pPr>
              <w:spacing w:after="40"/>
            </w:pPr>
            <w:r>
              <w:rPr>
                <w:sz w:val="17"/>
              </w:rPr>
            </w:r>
            <w:r>
              <w:rPr>
                <w:rFonts w:ascii="IBM Plex Sans" w:hAnsi="IBM Plex Sans" w:cs="IBM Plex Sans"/>
                <w:b w:val="0"/>
                <w:i w:val="0"/>
                <w:color w:val="161412"/>
                <w:sz w:val="17"/>
              </w:rPr>
              <w:t>Modal para todo</w:t>
            </w:r>
          </w:p>
        </w:tc>
        <w:tc>
          <w:tcPr>
            <w:tcW w:type="dxa" w:w="4158"/>
          </w:tcPr>
          <w:p>
            <w:pPr>
              <w:spacing w:after="40"/>
            </w:pPr>
            <w:r>
              <w:rPr>
                <w:sz w:val="17"/>
              </w:rPr>
            </w:r>
            <w:r>
              <w:rPr>
                <w:rFonts w:ascii="IBM Plex Sans" w:hAnsi="IBM Plex Sans" w:cs="IBM Plex Sans"/>
                <w:b w:val="0"/>
                <w:i w:val="0"/>
                <w:color w:val="161412"/>
                <w:sz w:val="17"/>
              </w:rPr>
              <w:t>interrupción</w:t>
            </w:r>
          </w:p>
        </w:tc>
      </w:tr>
    </w:tbl>
    <w:p>
      <w:pPr>
        <w:spacing w:after="80"/>
      </w:pPr>
    </w:p>
    <w:p>
      <w:pPr>
        <w:spacing w:after="200" w:before="40"/>
      </w:pPr>
      <w:r>
        <w:rPr>
          <w:rFonts w:ascii="IBM Plex Sans" w:hAnsi="IBM Plex Sans" w:cs="IBM Plex Sans"/>
          <w:b/>
          <w:color w:val="1F3A5F"/>
          <w:sz w:val="17"/>
        </w:rPr>
        <w:t xml:space="preserve">TABLA 24.5   </w:t>
      </w:r>
      <w:r>
        <w:rPr>
          <w:rFonts w:ascii="IBM Plex Sans" w:hAnsi="IBM Plex Sans" w:cs="IBM Plex Sans"/>
          <w:color w:val="3A352F"/>
          <w:sz w:val="18"/>
        </w:rPr>
        <w:t xml:space="preserve">Preguntas de validación de signal</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Dimensión</w:t>
            </w:r>
          </w:p>
        </w:tc>
        <w:tc>
          <w:tcPr>
            <w:tcW w:type="dxa" w:w="4158"/>
            <w:shd w:val="clear" w:color="auto" w:fill="EAE4D8"/>
          </w:tcPr>
          <w:p>
            <w:pPr>
              <w:spacing w:after="40"/>
            </w:pPr>
            <w:r>
              <w:rPr>
                <w:sz w:val="17"/>
              </w:rPr>
            </w:r>
            <w:r>
              <w:rPr>
                <w:rFonts w:ascii="IBM Plex Sans" w:hAnsi="IBM Plex Sans" w:cs="IBM Plex Sans"/>
                <w:b/>
                <w:i w:val="0"/>
                <w:color w:val="1F3A5F"/>
                <w:sz w:val="17"/>
              </w:rPr>
              <w:t>Pregunta</w:t>
            </w:r>
          </w:p>
        </w:tc>
      </w:tr>
      <w:tr>
        <w:tc>
          <w:tcPr>
            <w:tcW w:type="dxa" w:w="4158"/>
          </w:tcPr>
          <w:p>
            <w:pPr>
              <w:spacing w:after="40"/>
            </w:pPr>
            <w:r>
              <w:rPr>
                <w:sz w:val="17"/>
              </w:rPr>
            </w:r>
            <w:r>
              <w:rPr>
                <w:rFonts w:ascii="IBM Plex Sans" w:hAnsi="IBM Plex Sans" w:cs="IBM Plex Sans"/>
                <w:b w:val="0"/>
                <w:i w:val="0"/>
                <w:color w:val="161412"/>
                <w:sz w:val="17"/>
              </w:rPr>
              <w:t>Atención</w:t>
            </w:r>
          </w:p>
        </w:tc>
        <w:tc>
          <w:tcPr>
            <w:tcW w:type="dxa" w:w="4158"/>
          </w:tcPr>
          <w:p>
            <w:pPr>
              <w:spacing w:after="40"/>
            </w:pPr>
            <w:r>
              <w:rPr>
                <w:sz w:val="17"/>
              </w:rPr>
            </w:r>
            <w:r>
              <w:rPr>
                <w:rFonts w:ascii="IBM Plex Sans" w:hAnsi="IBM Plex Sans" w:cs="IBM Plex Sans"/>
                <w:b w:val="0"/>
                <w:i w:val="0"/>
                <w:color w:val="161412"/>
                <w:sz w:val="17"/>
              </w:rPr>
              <w:t>¿debo mirar esto?</w:t>
            </w:r>
          </w:p>
        </w:tc>
      </w:tr>
      <w:tr>
        <w:tc>
          <w:tcPr>
            <w:tcW w:type="dxa" w:w="4158"/>
          </w:tcPr>
          <w:p>
            <w:pPr>
              <w:spacing w:after="40"/>
            </w:pPr>
            <w:r>
              <w:rPr>
                <w:sz w:val="17"/>
              </w:rPr>
            </w:r>
            <w:r>
              <w:rPr>
                <w:rFonts w:ascii="IBM Plex Sans" w:hAnsi="IBM Plex Sans" w:cs="IBM Plex Sans"/>
                <w:b w:val="0"/>
                <w:i w:val="0"/>
                <w:color w:val="161412"/>
                <w:sz w:val="17"/>
              </w:rPr>
              <w:t>Urgencia</w:t>
            </w:r>
          </w:p>
        </w:tc>
        <w:tc>
          <w:tcPr>
            <w:tcW w:type="dxa" w:w="4158"/>
          </w:tcPr>
          <w:p>
            <w:pPr>
              <w:spacing w:after="40"/>
            </w:pPr>
            <w:r>
              <w:rPr>
                <w:sz w:val="17"/>
              </w:rPr>
            </w:r>
            <w:r>
              <w:rPr>
                <w:rFonts w:ascii="IBM Plex Sans" w:hAnsi="IBM Plex Sans" w:cs="IBM Plex Sans"/>
                <w:b w:val="0"/>
                <w:i w:val="0"/>
                <w:color w:val="161412"/>
                <w:sz w:val="17"/>
              </w:rPr>
              <w:t>¿debo actuar ahora?</w:t>
            </w:r>
          </w:p>
        </w:tc>
      </w:tr>
      <w:tr>
        <w:tc>
          <w:tcPr>
            <w:tcW w:type="dxa" w:w="4158"/>
          </w:tcPr>
          <w:p>
            <w:pPr>
              <w:spacing w:after="40"/>
            </w:pPr>
            <w:r>
              <w:rPr>
                <w:sz w:val="17"/>
              </w:rPr>
            </w:r>
            <w:r>
              <w:rPr>
                <w:rFonts w:ascii="IBM Plex Sans" w:hAnsi="IBM Plex Sans" w:cs="IBM Plex Sans"/>
                <w:b w:val="0"/>
                <w:i w:val="0"/>
                <w:color w:val="161412"/>
                <w:sz w:val="17"/>
              </w:rPr>
              <w:t>Saliencia</w:t>
            </w:r>
          </w:p>
        </w:tc>
        <w:tc>
          <w:tcPr>
            <w:tcW w:type="dxa" w:w="4158"/>
          </w:tcPr>
          <w:p>
            <w:pPr>
              <w:spacing w:after="40"/>
            </w:pPr>
            <w:r>
              <w:rPr>
                <w:sz w:val="17"/>
              </w:rPr>
            </w:r>
            <w:r>
              <w:rPr>
                <w:rFonts w:ascii="IBM Plex Sans" w:hAnsi="IBM Plex Sans" w:cs="IBM Plex Sans"/>
                <w:b w:val="0"/>
                <w:i w:val="0"/>
                <w:color w:val="161412"/>
                <w:sz w:val="17"/>
              </w:rPr>
              <w:t>¿qué destaca?</w:t>
            </w:r>
          </w:p>
        </w:tc>
      </w:tr>
      <w:tr>
        <w:tc>
          <w:tcPr>
            <w:tcW w:type="dxa" w:w="4158"/>
          </w:tcPr>
          <w:p>
            <w:pPr>
              <w:spacing w:after="40"/>
            </w:pPr>
            <w:r>
              <w:rPr>
                <w:sz w:val="17"/>
              </w:rPr>
            </w:r>
            <w:r>
              <w:rPr>
                <w:rFonts w:ascii="IBM Plex Sans" w:hAnsi="IBM Plex Sans" w:cs="IBM Plex Sans"/>
                <w:b w:val="0"/>
                <w:i w:val="0"/>
                <w:color w:val="161412"/>
                <w:sz w:val="17"/>
              </w:rPr>
              <w:t>Contexto</w:t>
            </w:r>
          </w:p>
        </w:tc>
        <w:tc>
          <w:tcPr>
            <w:tcW w:type="dxa" w:w="4158"/>
          </w:tcPr>
          <w:p>
            <w:pPr>
              <w:spacing w:after="40"/>
            </w:pPr>
            <w:r>
              <w:rPr>
                <w:sz w:val="17"/>
              </w:rPr>
            </w:r>
            <w:r>
              <w:rPr>
                <w:rFonts w:ascii="IBM Plex Sans" w:hAnsi="IBM Plex Sans" w:cs="IBM Plex Sans"/>
                <w:b w:val="0"/>
                <w:i w:val="0"/>
                <w:color w:val="161412"/>
                <w:sz w:val="17"/>
              </w:rPr>
              <w:t>¿qué significa esto?</w:t>
            </w:r>
          </w:p>
        </w:tc>
      </w:tr>
    </w:tbl>
    <w:p>
      <w:pPr>
        <w:spacing w:after="80"/>
      </w:pPr>
    </w:p>
    <w:p>
      <w:r>
        <w:br w:type="page"/>
      </w:r>
    </w:p>
    <w:p>
      <w:pPr>
        <w:spacing w:after="40"/>
      </w:pPr>
      <w:r>
        <w:rPr>
          <w:rFonts w:ascii="IBM Plex Sans" w:hAnsi="IBM Plex Sans" w:cs="IBM Plex Sans"/>
          <w:b/>
          <w:color w:val="1F3A5F"/>
          <w:sz w:val="18"/>
        </w:rPr>
        <w:t>CAPÍTULO 25</w:t>
      </w:r>
    </w:p>
    <w:p>
      <w:pPr>
        <w:spacing w:after="80" w:line="240" w:lineRule="auto"/>
      </w:pPr>
      <w:r>
        <w:rPr>
          <w:rFonts w:ascii="IBM Plex Sans" w:hAnsi="IBM Plex Sans" w:cs="IBM Plex Sans"/>
          <w:color w:val="161412"/>
          <w:sz w:val="220"/>
        </w:rPr>
        <w:t>25</w:t>
      </w:r>
    </w:p>
    <w:p>
      <w:pPr>
        <w:spacing w:after="60" w:line="240" w:lineRule="auto"/>
      </w:pPr>
      <w:r>
        <w:rPr>
          <w:rFonts w:ascii="Newsreader" w:hAnsi="Newsreader" w:cs="Newsreader"/>
          <w:color w:val="161412"/>
          <w:sz w:val="60"/>
        </w:rPr>
        <w:t>Handle</w:t>
      </w:r>
    </w:p>
    <w:p>
      <w:pPr>
        <w:spacing w:after="280"/>
      </w:pPr>
      <w:r>
        <w:rPr>
          <w:rFonts w:ascii="IBM Plex Sans" w:hAnsi="IBM Plex Sans" w:cs="IBM Plex Sans"/>
          <w:color w:val="6A635A"/>
          <w:sz w:val="26"/>
        </w:rPr>
        <w:t>Cuando el usuario manipula directamente un objeto</w:t>
      </w:r>
    </w:p>
    <w:p>
      <w:pPr>
        <w:pBdr>
          <w:bottom w:val="single" w:sz="4" w:space="4" w:color="1F3A5F"/>
        </w:pBdr>
      </w:pP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¿Cómo se percibe que un objeto está bajo el control directo del usuario?</w:t>
      </w:r>
    </w:p>
    <w:p>
      <w:pPr>
        <w:spacing w:after="120" w:line="320" w:lineRule="auto"/>
        <w:jc w:val="both"/>
      </w:pPr>
      <w:r>
        <w:rPr>
          <w:rFonts w:ascii="Newsreader" w:hAnsi="Newsreader" w:cs="Newsreader"/>
          <w:b w:val="0"/>
          <w:i w:val="0"/>
          <w:color w:val="161412"/>
        </w:rPr>
        <w:t>Arrastras un archivo hacia una carpeta. Mientras lo mueves, el archivo te sigue, una zona se ilumina para decir «aquí cabe» y otra se resiste. Tienes algo cogido, y lo sabes con la mano antes que con la cabeza. Soltarlo en el sitio correcto, o fuera, será una decisión que se siente física.</w:t>
      </w:r>
    </w:p>
    <w:p>
      <w:pPr>
        <w:spacing w:after="120" w:line="320" w:lineRule="auto"/>
        <w:jc w:val="both"/>
      </w:pPr>
      <w:r>
        <w:rPr>
          <w:rFonts w:ascii="Newsreader" w:hAnsi="Newsreader" w:cs="Newsreader"/>
          <w:b w:val="0"/>
          <w:i w:val="0"/>
          <w:color w:val="161412"/>
        </w:rPr>
        <w:t>Hasta ahora hemos visto familias donde la interacción suele ser discreta: contact registra una acción, commit fija una consecuencia y signal reclama atención. Pero hay un tipo de interacción donde el evento no cabe en un instante. El usuario no solo pulsa, ni solo confirma, ni solo observa: manipula. Arrastra, reordena, redimensiona, desliza, mueve, agarra, suelta. Aquí aparece otra pregunta —¿estoy controlando directamente este objeto?— y esa pregunta define handle.</w:t>
      </w:r>
    </w:p>
    <w:p>
      <w:pPr>
        <w:spacing w:before="200" w:after="60"/>
        <w:jc w:val="center"/>
      </w:pPr>
      <w:r>
        <w:drawing>
          <wp:inline xmlns:a="http://schemas.openxmlformats.org/drawingml/2006/main" xmlns:pic="http://schemas.openxmlformats.org/drawingml/2006/picture">
            <wp:extent cx="5029200" cy="3080385"/>
            <wp:docPr id="9011" name="fig25_1"/>
            <wp:cNvGraphicFramePr>
              <a:graphicFrameLocks noChangeAspect="1"/>
            </wp:cNvGraphicFramePr>
            <a:graphic>
              <a:graphicData uri="http://schemas.openxmlformats.org/drawingml/2006/picture">
                <pic:pic>
                  <pic:nvPicPr>
                    <pic:cNvPr id="9011" name="fig25_1"/>
                    <pic:cNvPicPr/>
                  </pic:nvPicPr>
                  <pic:blipFill>
                    <a:blip r:embed="rId910"/>
                    <a:stretch>
                      <a:fillRect/>
                    </a:stretch>
                  </pic:blipFill>
                  <pic:spPr>
                    <a:xfrm>
                      <a:off x="0" y="0"/>
                      <a:ext cx="5029200" cy="3080385"/>
                    </a:xfrm>
                    <a:prstGeom prst="rect"/>
                  </pic:spPr>
                </pic:pic>
              </a:graphicData>
            </a:graphic>
          </wp:inline>
        </w:drawing>
      </w:r>
    </w:p>
    <w:p>
      <w:pPr>
        <w:spacing w:before="320" w:after="40"/>
      </w:pPr>
      <w:r>
        <w:rPr>
          <w:rFonts w:ascii="IBM Plex Sans" w:hAnsi="IBM Plex Sans" w:cs="IBM Plex Sans"/>
          <w:b/>
          <w:color w:val="1F3A5F"/>
          <w:sz w:val="18"/>
        </w:rPr>
        <w:t>§ 1</w:t>
      </w:r>
    </w:p>
    <w:p>
      <w:pPr>
        <w:spacing w:after="160" w:line="240" w:lineRule="auto"/>
      </w:pPr>
      <w:r>
        <w:rPr>
          <w:rFonts w:ascii="Newsreader" w:hAnsi="Newsreader" w:cs="Newsreader"/>
          <w:color w:val="161412"/>
          <w:sz w:val="38"/>
        </w:rPr>
        <w:t>Qué es handle</w:t>
      </w:r>
    </w:p>
    <w:p>
      <w:pPr>
        <w:spacing w:after="120" w:line="320" w:lineRule="auto"/>
        <w:jc w:val="both"/>
      </w:pPr>
      <w:r>
        <w:rPr>
          <w:rFonts w:ascii="Newsreader" w:hAnsi="Newsreader" w:cs="Newsreader"/>
          <w:b w:val="0"/>
          <w:i w:val="0"/>
          <w:color w:val="161412"/>
        </w:rPr>
        <w:t>handle es la familia semántica de la manipulación directa. No es una acción puntual, ni un resultado, ni una señal: es una relación continua entre el usuario y un objeto. Es lo que la investigación clásica llamó manipulación directa —operar sobre una representación continua del objeto, con acciones reversibles y respuesta inmediata (Shneiderman, 1983; Hutchins, Hollan y Norman, 1985)—, a la que esta gramática añade su lectura como evento perceptivo con estructura temporal propia.</w:t>
      </w:r>
    </w:p>
    <w:p>
      <w:pPr>
        <w:spacing w:after="120" w:line="320" w:lineRule="auto"/>
        <w:jc w:val="both"/>
      </w:pPr>
      <w:r>
        <w:rPr>
          <w:rFonts w:ascii="Newsreader" w:hAnsi="Newsreader" w:cs="Newsreader"/>
          <w:b w:val="0"/>
          <w:i w:val="0"/>
          <w:color w:val="161412"/>
        </w:rPr>
        <w:t xml:space="preserve">Sus verbos nombran esa relación: </w:t>
      </w:r>
      <w:r>
        <w:rPr>
          <w:rFonts w:ascii="Newsreader" w:hAnsi="Newsreader" w:cs="Newsreader"/>
          <w:b w:val="0"/>
          <w:i/>
          <w:color w:val="161412"/>
        </w:rPr>
        <w:t xml:space="preserve">pick</w:t>
      </w:r>
      <w:r>
        <w:rPr>
          <w:rFonts w:ascii="Newsreader" w:hAnsi="Newsreader" w:cs="Newsreader"/>
          <w:b w:val="0"/>
          <w:i w:val="0"/>
          <w:color w:val="161412"/>
        </w:rPr>
        <w:t xml:space="preserve">, </w:t>
      </w:r>
      <w:r>
        <w:rPr>
          <w:rFonts w:ascii="Newsreader" w:hAnsi="Newsreader" w:cs="Newsreader"/>
          <w:b w:val="0"/>
          <w:i/>
          <w:color w:val="161412"/>
        </w:rPr>
        <w:t xml:space="preserve">carry</w:t>
      </w:r>
      <w:r>
        <w:rPr>
          <w:rFonts w:ascii="Newsreader" w:hAnsi="Newsreader" w:cs="Newsreader"/>
          <w:b w:val="0"/>
          <w:i w:val="0"/>
          <w:color w:val="161412"/>
        </w:rPr>
        <w:t xml:space="preserve">, </w:t>
      </w:r>
      <w:r>
        <w:rPr>
          <w:rFonts w:ascii="Newsreader" w:hAnsi="Newsreader" w:cs="Newsreader"/>
          <w:b w:val="0"/>
          <w:i/>
          <w:color w:val="161412"/>
        </w:rPr>
        <w:t xml:space="preserve">drop</w:t>
      </w:r>
      <w:r>
        <w:rPr>
          <w:rFonts w:ascii="Newsreader" w:hAnsi="Newsreader" w:cs="Newsreader"/>
          <w:b w:val="0"/>
          <w:i w:val="0"/>
          <w:color w:val="161412"/>
        </w:rPr>
        <w:t xml:space="preserve">, </w:t>
      </w:r>
      <w:r>
        <w:rPr>
          <w:rFonts w:ascii="Newsreader" w:hAnsi="Newsreader" w:cs="Newsreader"/>
          <w:b w:val="0"/>
          <w:i/>
          <w:color w:val="161412"/>
        </w:rPr>
        <w:t xml:space="preserve">drag</w:t>
      </w:r>
      <w:r>
        <w:rPr>
          <w:rFonts w:ascii="Newsreader" w:hAnsi="Newsreader" w:cs="Newsreader"/>
          <w:b w:val="0"/>
          <w:i w:val="0"/>
          <w:color w:val="161412"/>
        </w:rPr>
        <w:t xml:space="preserve">, </w:t>
      </w:r>
      <w:r>
        <w:rPr>
          <w:rFonts w:ascii="Newsreader" w:hAnsi="Newsreader" w:cs="Newsreader"/>
          <w:b w:val="0"/>
          <w:i/>
          <w:color w:val="161412"/>
        </w:rPr>
        <w:t xml:space="preserve">resize</w:t>
      </w:r>
      <w:r>
        <w:rPr>
          <w:rFonts w:ascii="Newsreader" w:hAnsi="Newsreader" w:cs="Newsreader"/>
          <w:b w:val="0"/>
          <w:i w:val="0"/>
          <w:color w:val="161412"/>
        </w:rPr>
        <w:t xml:space="preserve">, </w:t>
      </w:r>
      <w:r>
        <w:rPr>
          <w:rFonts w:ascii="Newsreader" w:hAnsi="Newsreader" w:cs="Newsreader"/>
          <w:b w:val="0"/>
          <w:i/>
          <w:color w:val="161412"/>
        </w:rPr>
        <w:t xml:space="preserve">rotate</w:t>
      </w:r>
      <w:r>
        <w:rPr>
          <w:rFonts w:ascii="Newsreader" w:hAnsi="Newsreader" w:cs="Newsreader"/>
          <w:b w:val="0"/>
          <w:i w:val="0"/>
          <w:color w:val="161412"/>
        </w:rPr>
        <w:t xml:space="preserve">, </w:t>
      </w:r>
      <w:r>
        <w:rPr>
          <w:rFonts w:ascii="Newsreader" w:hAnsi="Newsreader" w:cs="Newsreader"/>
          <w:b w:val="0"/>
          <w:i/>
          <w:color w:val="161412"/>
        </w:rPr>
        <w:t xml:space="preserve">reorder</w:t>
      </w:r>
      <w:r>
        <w:rPr>
          <w:rFonts w:ascii="Newsreader" w:hAnsi="Newsreader" w:cs="Newsreader"/>
          <w:b w:val="0"/>
          <w:i w:val="0"/>
          <w:color w:val="161412"/>
        </w:rPr>
        <w:t xml:space="preserve">, </w:t>
      </w:r>
      <w:r>
        <w:rPr>
          <w:rFonts w:ascii="Newsreader" w:hAnsi="Newsreader" w:cs="Newsreader"/>
          <w:b w:val="0"/>
          <w:i/>
          <w:color w:val="161412"/>
        </w:rPr>
        <w:t xml:space="preserve">scroll</w:t>
      </w:r>
      <w:r>
        <w:rPr>
          <w:rFonts w:ascii="Newsreader" w:hAnsi="Newsreader" w:cs="Newsreader"/>
          <w:b w:val="0"/>
          <w:i w:val="0"/>
          <w:color w:val="161412"/>
        </w:rPr>
        <w:t xml:space="preserve">, </w:t>
      </w:r>
      <w:r>
        <w:rPr>
          <w:rFonts w:ascii="Newsreader" w:hAnsi="Newsreader" w:cs="Newsreader"/>
          <w:b w:val="0"/>
          <w:i/>
          <w:color w:val="161412"/>
        </w:rPr>
        <w:t xml:space="preserve">zoom</w:t>
      </w:r>
      <w:r>
        <w:rPr>
          <w:rFonts w:ascii="Newsreader" w:hAnsi="Newsreader" w:cs="Newsreader"/>
          <w:b w:val="0"/>
          <w:i w:val="0"/>
          <w:color w:val="161412"/>
        </w:rPr>
        <w:t xml:space="preserve">. A diferencia de otras familias, handle no es un instante: es una secuencia sostenida en el tiempo.</w:t>
      </w:r>
    </w:p>
    <w:p>
      <w:pPr>
        <w:spacing w:before="320" w:after="40"/>
      </w:pPr>
      <w:r>
        <w:rPr>
          <w:rFonts w:ascii="IBM Plex Sans" w:hAnsi="IBM Plex Sans" w:cs="IBM Plex Sans"/>
          <w:b/>
          <w:color w:val="1F3A5F"/>
          <w:sz w:val="18"/>
        </w:rPr>
        <w:t>§ 2</w:t>
      </w:r>
    </w:p>
    <w:p>
      <w:pPr>
        <w:spacing w:after="160" w:line="240" w:lineRule="auto"/>
      </w:pPr>
      <w:r>
        <w:rPr>
          <w:rFonts w:ascii="Newsreader" w:hAnsi="Newsreader" w:cs="Newsreader"/>
          <w:color w:val="161412"/>
          <w:sz w:val="38"/>
        </w:rPr>
        <w:t>Qué no es handle</w:t>
      </w:r>
    </w:p>
    <w:p>
      <w:pPr>
        <w:spacing w:after="120" w:line="320" w:lineRule="auto"/>
        <w:jc w:val="both"/>
      </w:pPr>
      <w:r>
        <w:rPr>
          <w:rFonts w:ascii="Newsreader" w:hAnsi="Newsreader" w:cs="Newsreader"/>
          <w:b w:val="0"/>
          <w:i w:val="0"/>
          <w:color w:val="161412"/>
        </w:rPr>
        <w:t>Cada frontera deja fuera una confusión frecuente:</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handle no es contact.</w:t>
      </w:r>
      <w:r>
        <w:rPr>
          <w:rFonts w:ascii="Newsreader" w:hAnsi="Newsreader" w:cs="Newsreader"/>
          <w:b w:val="0"/>
          <w:i w:val="0"/>
          <w:color w:val="161412"/>
        </w:rPr>
        <w:t xml:space="preserve"> contact.press ≠ handle.pick: contact inicia, handle continúa.</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handle no es commit.</w:t>
      </w:r>
      <w:r>
        <w:rPr>
          <w:rFonts w:ascii="Newsreader" w:hAnsi="Newsreader" w:cs="Newsreader"/>
          <w:b w:val="0"/>
          <w:i w:val="0"/>
          <w:color w:val="161412"/>
        </w:rPr>
        <w:t xml:space="preserve"> handle.drop ≠ commit.delete: soltar no es necesariamente el resultado; el resultado ocurre después o en composición.</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handle no es sustain.</w:t>
      </w:r>
      <w:r>
        <w:rPr>
          <w:rFonts w:ascii="Newsreader" w:hAnsi="Newsreader" w:cs="Newsreader"/>
          <w:b w:val="0"/>
          <w:i w:val="0"/>
          <w:color w:val="161412"/>
        </w:rPr>
        <w:t xml:space="preserve"> sustain.progress ≠ handle.carry: un proceso automático no es control directo.</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handle no es shift.</w:t>
      </w:r>
      <w:r>
        <w:rPr>
          <w:rFonts w:ascii="Newsreader" w:hAnsi="Newsreader" w:cs="Newsreader"/>
          <w:b w:val="0"/>
          <w:i w:val="0"/>
          <w:color w:val="161412"/>
        </w:rPr>
        <w:t xml:space="preserve"> Mover un objeto no es cambiar de vista.</w:t>
      </w:r>
    </w:p>
    <w:p>
      <w:pPr>
        <w:spacing w:before="320" w:after="40"/>
      </w:pPr>
      <w:r>
        <w:rPr>
          <w:rFonts w:ascii="IBM Plex Sans" w:hAnsi="IBM Plex Sans" w:cs="IBM Plex Sans"/>
          <w:b/>
          <w:color w:val="1F3A5F"/>
          <w:sz w:val="18"/>
        </w:rPr>
        <w:t>§ 3</w:t>
      </w:r>
    </w:p>
    <w:p>
      <w:pPr>
        <w:spacing w:after="160" w:line="240" w:lineRule="auto"/>
      </w:pPr>
      <w:r>
        <w:rPr>
          <w:rFonts w:ascii="Newsreader" w:hAnsi="Newsreader" w:cs="Newsreader"/>
          <w:color w:val="161412"/>
          <w:sz w:val="38"/>
        </w:rPr>
        <w:t>Fundamento psicoperceptivo: control directo, esquema corporal y continuidad</w:t>
      </w:r>
    </w:p>
    <w:p>
      <w:pPr>
        <w:spacing w:after="120" w:line="320" w:lineRule="auto"/>
        <w:jc w:val="both"/>
      </w:pPr>
      <w:r>
        <w:rPr>
          <w:rFonts w:ascii="Newsreader" w:hAnsi="Newsreader" w:cs="Newsreader"/>
          <w:b w:val="0"/>
          <w:i w:val="0"/>
          <w:color w:val="161412"/>
        </w:rPr>
        <w:t>handle se apoya en la percepción de control directo sobre un objeto. Cuando el usuario arrastra algo, espera que ese objeto responda de inmediato, siga su gesto, conserve su identidad, se comporte de forma coherente y, al soltarlo, se asiente, encaje o sea rechazado. Esto conecta con esquemas sensoriomotores básicos —agarrar, trasladar, soltar—: el usuario no piensa en eventos discretos, piensa «estoy moviendo esto», y la interfaz debe sostener esa ilusión.</w:t>
      </w:r>
    </w:p>
    <w:p>
      <w:pPr>
        <w:spacing w:after="120" w:line="320" w:lineRule="auto"/>
        <w:jc w:val="both"/>
      </w:pPr>
      <w:r>
        <w:rPr>
          <w:rFonts w:ascii="Newsreader" w:hAnsi="Newsreader" w:cs="Newsreader"/>
          <w:b w:val="0"/>
          <w:i w:val="0"/>
          <w:color w:val="161412"/>
        </w:rPr>
        <w:t>Si el objeto se retrasa, el control se rompe. Si se mueve de forma extraña, el usuario pierde confianza. Si no se sabe qué se está manipulando, hay ambigüedad. handle es una de las familias más corporales del sistema, porque convierte la interfaz en espacio de acción continua.</w:t>
      </w:r>
    </w:p>
    <w:p>
      <w:pPr>
        <w:spacing w:before="320" w:after="40"/>
      </w:pPr>
      <w:r>
        <w:rPr>
          <w:rFonts w:ascii="IBM Plex Sans" w:hAnsi="IBM Plex Sans" w:cs="IBM Plex Sans"/>
          <w:b/>
          <w:color w:val="1F3A5F"/>
          <w:sz w:val="18"/>
        </w:rPr>
        <w:t>§ 4</w:t>
      </w:r>
    </w:p>
    <w:p>
      <w:pPr>
        <w:spacing w:after="160" w:line="240" w:lineRule="auto"/>
      </w:pPr>
      <w:r>
        <w:rPr>
          <w:rFonts w:ascii="Newsreader" w:hAnsi="Newsreader" w:cs="Newsreader"/>
          <w:color w:val="161412"/>
          <w:sz w:val="38"/>
        </w:rPr>
        <w:t>Las fases de handle</w:t>
      </w:r>
    </w:p>
    <w:p>
      <w:pPr>
        <w:spacing w:after="120" w:line="320" w:lineRule="auto"/>
        <w:jc w:val="both"/>
      </w:pPr>
      <w:r>
        <w:rPr>
          <w:rFonts w:ascii="Newsreader" w:hAnsi="Newsreader" w:cs="Newsreader"/>
          <w:b w:val="0"/>
          <w:i w:val="0"/>
          <w:color w:val="161412"/>
        </w:rPr>
        <w:t>handle tiene tres fases fundamentales, cada una con su pregunta y su lectura:</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Pick</w:t>
      </w:r>
      <w:r>
        <w:rPr>
          <w:rFonts w:ascii="Newsreader" w:hAnsi="Newsreader" w:cs="Newsreader"/>
          <w:b w:val="0"/>
          <w:i w:val="0"/>
          <w:color w:val="161412"/>
        </w:rPr>
        <w:t xml:space="preserve"> — handle.pick responde a «¿he agarrado esto?». Se expresa por profundidad, motion, forma y háptica opcional, y su lectura es «esto está bajo mi control».</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Carry</w:t>
      </w:r>
      <w:r>
        <w:rPr>
          <w:rFonts w:ascii="Newsreader" w:hAnsi="Newsreader" w:cs="Newsreader"/>
          <w:b w:val="0"/>
          <w:i w:val="0"/>
          <w:color w:val="161412"/>
        </w:rPr>
        <w:t xml:space="preserve"> — handle.carry responde a «¿sigue bajo mi control?». Exige motion continuo, latencia mínima y coherencia espacial; su lectura es «estoy moviendo esto».</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Drop</w:t>
      </w:r>
      <w:r>
        <w:rPr>
          <w:rFonts w:ascii="Newsreader" w:hAnsi="Newsreader" w:cs="Newsreader"/>
          <w:b w:val="0"/>
          <w:i w:val="0"/>
          <w:color w:val="161412"/>
        </w:rPr>
        <w:t xml:space="preserve"> — handle.drop responde a «¿qué ocurrió al soltar?». Es la fase donde handle se conecta con otras familias —commit.reorder + affirm, commit.delete + loss, signal.warn + risk— y su lectura se abre: «esto se colocó», «esto no encaja», «esto se perdió».</w:t>
      </w:r>
    </w:p>
    <w:p>
      <w:pPr>
        <w:spacing w:before="320" w:after="40"/>
      </w:pPr>
      <w:r>
        <w:rPr>
          <w:rFonts w:ascii="IBM Plex Sans" w:hAnsi="IBM Plex Sans" w:cs="IBM Plex Sans"/>
          <w:b/>
          <w:color w:val="1F3A5F"/>
          <w:sz w:val="18"/>
        </w:rPr>
        <w:t>§ 5</w:t>
      </w:r>
    </w:p>
    <w:p>
      <w:pPr>
        <w:spacing w:after="160" w:line="240" w:lineRule="auto"/>
      </w:pPr>
      <w:r>
        <w:rPr>
          <w:rFonts w:ascii="Newsreader" w:hAnsi="Newsreader" w:cs="Newsreader"/>
          <w:color w:val="161412"/>
          <w:sz w:val="38"/>
        </w:rPr>
        <w:t>Canales y evaluación</w:t>
      </w:r>
    </w:p>
    <w:p>
      <w:pPr>
        <w:spacing w:after="120" w:line="320" w:lineRule="auto"/>
        <w:jc w:val="both"/>
      </w:pPr>
      <w:r>
        <w:rPr>
          <w:rFonts w:ascii="Newsreader" w:hAnsi="Newsreader" w:cs="Newsreader"/>
          <w:b w:val="0"/>
          <w:i w:val="0"/>
          <w:color w:val="161412"/>
        </w:rPr>
        <w:t>handle es una de las familias más exigentes en canales: motion y profundidad son centrales, porque el objeto debe sentirse separado del layout mientras está en control directo.</w:t>
      </w:r>
    </w:p>
    <w:p>
      <w:pPr>
        <w:spacing w:after="120" w:line="320" w:lineRule="auto"/>
        <w:jc w:val="both"/>
      </w:pPr>
      <w:r>
        <w:rPr>
          <w:rFonts w:ascii="Newsreader" w:hAnsi="Newsreader" w:cs="Newsreader"/>
          <w:b w:val="0"/>
          <w:i w:val="0"/>
          <w:color w:val="161412"/>
        </w:rPr>
        <w:t>Con el intent, la regla es de fase: el carry normalmente no debe cargar intent, porque durante el carry el usuario planifica y controla; la evaluación aparece sobre todo en el drop. Así, handle.pick → handle.carry → handle.drop + risk si el destino es inválido, o handle.pick → handle.carry → commit.delete + loss si el drop produce eliminación. Esto evita inyectar evaluación en una fase que aún no tiene resultado.</w:t>
      </w:r>
    </w:p>
    <w:p>
      <w:pPr>
        <w:spacing w:after="120" w:line="320" w:lineRule="auto"/>
        <w:jc w:val="both"/>
      </w:pPr>
      <w:r>
        <w:rPr>
          <w:rFonts w:ascii="Newsreader" w:hAnsi="Newsreader" w:cs="Newsreader"/>
          <w:b w:val="0"/>
          <w:i w:val="0"/>
          <w:color w:val="161412"/>
        </w:rPr>
        <w:t xml:space="preserve">Hay un problema de rango que solo tienen los eventos continuos. Durante un carry, el sensor emite muestras a un ritmo muy superior al que el ojo o el oído resuelven: docenas o cientos por segundo. Expresar cada muestra como señal completa inunda los canales y aplana el gesto a un tono constante.</w:t>
      </w:r>
    </w:p>
    <w:p>
      <w:pPr>
        <w:spacing w:after="120" w:line="320" w:lineRule="auto"/>
        <w:jc w:val="both"/>
      </w:pPr>
      <w:r>
        <w:rPr>
          <w:rFonts w:ascii="Newsreader" w:hAnsi="Newsreader" w:cs="Newsreader"/>
          <w:b w:val="0"/>
          <w:i w:val="0"/>
          <w:color w:val="161412"/>
        </w:rPr>
        <w:t xml:space="preserve">La regla es muestrear al ritmo de la percepción, no del sensor: las señales del movimiento se agrupan al refresco perceptivo y se les impone un suelo mínimo por debajo del cual repetir no añade nada. Las entradas discretas a ritmo humano —una tecla que se repite— no se muestrean: cada repetición es ya un valor comprometido y merece su evento.</w:t>
      </w:r>
    </w:p>
    <w:p>
      <w:pPr>
        <w:spacing w:before="320" w:after="40"/>
      </w:pPr>
      <w:r>
        <w:rPr>
          <w:rFonts w:ascii="IBM Plex Sans" w:hAnsi="IBM Plex Sans" w:cs="IBM Plex Sans"/>
          <w:b/>
          <w:color w:val="1F3A5F"/>
          <w:sz w:val="18"/>
        </w:rPr>
        <w:t>§ 6</w:t>
      </w:r>
    </w:p>
    <w:p>
      <w:pPr>
        <w:spacing w:after="160" w:line="240" w:lineRule="auto"/>
      </w:pPr>
      <w:r>
        <w:rPr>
          <w:rFonts w:ascii="Newsreader" w:hAnsi="Newsreader" w:cs="Newsreader"/>
          <w:color w:val="161412"/>
          <w:sz w:val="38"/>
        </w:rPr>
        <w:t>Ejemplos prácticos</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Drag &amp; drop</w:t>
      </w:r>
      <w:r>
        <w:rPr>
          <w:rFonts w:ascii="Newsreader" w:hAnsi="Newsreader" w:cs="Newsreader"/>
          <w:b w:val="0"/>
          <w:i w:val="0"/>
          <w:color w:val="161412"/>
        </w:rPr>
        <w:t xml:space="preserve"> → contact.press · handle.pick · handle.carry · handle.drop · commit.move + affirm</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Reordenar una lista</w:t>
      </w:r>
      <w:r>
        <w:rPr>
          <w:rFonts w:ascii="Newsreader" w:hAnsi="Newsreader" w:cs="Newsreader"/>
          <w:b w:val="0"/>
          <w:i w:val="0"/>
          <w:color w:val="161412"/>
        </w:rPr>
        <w:t xml:space="preserve"> → handle.pick · handle.carry · handle.drop · commit.reorder + affirm</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Resize</w:t>
      </w:r>
      <w:r>
        <w:rPr>
          <w:rFonts w:ascii="Newsreader" w:hAnsi="Newsreader" w:cs="Newsreader"/>
          <w:b w:val="0"/>
          <w:i w:val="0"/>
          <w:color w:val="161412"/>
        </w:rPr>
        <w:t xml:space="preserve"> → handle.resize · commit.resize + affirm</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Slider</w:t>
      </w:r>
      <w:r>
        <w:rPr>
          <w:rFonts w:ascii="Newsreader" w:hAnsi="Newsreader" w:cs="Newsreader"/>
          <w:b w:val="0"/>
          <w:i w:val="0"/>
          <w:color w:val="161412"/>
        </w:rPr>
        <w:t xml:space="preserve"> → handle.drag · commit.set + affirm</w:t>
      </w:r>
    </w:p>
    <w:p>
      <w:pPr>
        <w:spacing w:before="320" w:after="40"/>
      </w:pPr>
      <w:r>
        <w:rPr>
          <w:rFonts w:ascii="IBM Plex Sans" w:hAnsi="IBM Plex Sans" w:cs="IBM Plex Sans"/>
          <w:b/>
          <w:color w:val="1F3A5F"/>
          <w:sz w:val="18"/>
        </w:rPr>
        <w:t>§ 7</w:t>
      </w:r>
    </w:p>
    <w:p>
      <w:pPr>
        <w:spacing w:after="160" w:line="240" w:lineRule="auto"/>
      </w:pPr>
      <w:r>
        <w:rPr>
          <w:rFonts w:ascii="Newsreader" w:hAnsi="Newsreader" w:cs="Newsreader"/>
          <w:color w:val="161412"/>
          <w:sz w:val="38"/>
        </w:rPr>
        <w:t>Accesibilidad</w:t>
      </w:r>
    </w:p>
    <w:p>
      <w:pPr>
        <w:spacing w:after="120" w:line="320" w:lineRule="auto"/>
        <w:jc w:val="both"/>
      </w:pPr>
      <w:r>
        <w:rPr>
          <w:rFonts w:ascii="Newsreader" w:hAnsi="Newsreader" w:cs="Newsreader"/>
          <w:b w:val="0"/>
          <w:i w:val="0"/>
          <w:color w:val="161412"/>
        </w:rPr>
        <w:t>handle es la familia más difícil de hacer accesible, porque suele depender de gesto continuo, precisión motora y control espacial. Las soluciones son conocidas: alternativa por teclado, botones de subir y bajar, el patrón selección + acción, zonas explícitas, respuesta textual, estado visible del objeto, cancelación clara —y, sobre todo, no depender solo del drag-and-drop—.</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La accesibilidad no exige el mismo gesto. Exige el mismo resultado operativo.</w:t>
      </w:r>
    </w:p>
    <w:p>
      <w:pPr>
        <w:spacing w:before="320" w:after="40"/>
      </w:pPr>
      <w:r>
        <w:rPr>
          <w:rFonts w:ascii="IBM Plex Sans" w:hAnsi="IBM Plex Sans" w:cs="IBM Plex Sans"/>
          <w:b/>
          <w:color w:val="1F3A5F"/>
          <w:sz w:val="18"/>
        </w:rPr>
        <w:t>§ 8</w:t>
      </w:r>
    </w:p>
    <w:p>
      <w:pPr>
        <w:spacing w:after="160" w:line="240" w:lineRule="auto"/>
      </w:pPr>
      <w:r>
        <w:rPr>
          <w:rFonts w:ascii="Newsreader" w:hAnsi="Newsreader" w:cs="Newsreader"/>
          <w:color w:val="161412"/>
          <w:sz w:val="38"/>
        </w:rPr>
        <w:t>Antipatrones</w:t>
      </w:r>
    </w:p>
    <w:p>
      <w:pPr>
        <w:spacing w:after="120" w:line="320" w:lineRule="auto"/>
        <w:jc w:val="both"/>
      </w:pPr>
      <w:r>
        <w:rPr>
          <w:rFonts w:ascii="Newsreader" w:hAnsi="Newsreader" w:cs="Newsreader"/>
          <w:b/>
          <w:i w:val="0"/>
          <w:color w:val="161412"/>
        </w:rPr>
        <w:t>Arrastre ciego.</w:t>
      </w:r>
      <w:r>
        <w:rPr>
          <w:rFonts w:ascii="Newsreader" w:hAnsi="Newsreader" w:cs="Newsreader"/>
          <w:b w:val="0"/>
          <w:i w:val="0"/>
          <w:color w:val="161412"/>
        </w:rPr>
        <w:t xml:space="preserve"> No se ve qué quedó cogido, ni qué destinos aceptan, ni dónde caerá. El usuario manipula a oscuras. El régimen de manipulación es visible de principio a fin: qué tengo, dónde puede ir, qué pasará al soltar.</w:t>
      </w:r>
    </w:p>
    <w:p>
      <w:pPr>
        <w:spacing w:after="120" w:line="320" w:lineRule="auto"/>
        <w:jc w:val="both"/>
      </w:pPr>
      <w:r>
        <w:rPr>
          <w:rFonts w:ascii="Newsreader" w:hAnsi="Newsreader" w:cs="Newsreader"/>
          <w:b/>
          <w:i w:val="0"/>
          <w:color w:val="161412"/>
        </w:rPr>
        <w:t>Drop mudo.</w:t>
      </w:r>
      <w:r>
        <w:rPr>
          <w:rFonts w:ascii="Newsreader" w:hAnsi="Newsreader" w:cs="Newsreader"/>
          <w:b w:val="0"/>
          <w:i w:val="0"/>
          <w:color w:val="161412"/>
        </w:rPr>
        <w:t xml:space="preserve"> Se suelta y nada confirma el encaje ni el rechazo. La manipulación termina sin desenlace legible. El drop es evaluable: el encaje o el rechazo se expresan en el momento.</w:t>
      </w:r>
    </w:p>
    <w:p>
      <w:pPr>
        <w:spacing w:after="120" w:line="320" w:lineRule="auto"/>
        <w:jc w:val="both"/>
      </w:pPr>
      <w:r>
        <w:rPr>
          <w:rFonts w:ascii="Newsreader" w:hAnsi="Newsreader" w:cs="Newsreader"/>
          <w:b/>
          <w:i w:val="0"/>
          <w:color w:val="161412"/>
        </w:rPr>
        <w:t>Manipulación sin escape.</w:t>
      </w:r>
      <w:r>
        <w:rPr>
          <w:rFonts w:ascii="Newsreader" w:hAnsi="Newsreader" w:cs="Newsreader"/>
          <w:b w:val="0"/>
          <w:i w:val="0"/>
          <w:color w:val="161412"/>
        </w:rPr>
        <w:t xml:space="preserve"> Una vez cogido, no hay forma perceptible de cancelar. El error se ve obligado a consumarse. Siempre existe una salida legible —soltar fuera, una tecla de escape— y se percibe que existe.</w:t>
      </w:r>
    </w:p>
    <w:p>
      <w:pPr>
        <w:spacing w:before="320" w:after="40"/>
      </w:pPr>
      <w:r>
        <w:rPr>
          <w:rFonts w:ascii="IBM Plex Sans" w:hAnsi="IBM Plex Sans" w:cs="IBM Plex Sans"/>
          <w:b/>
          <w:color w:val="1F3A5F"/>
          <w:sz w:val="18"/>
        </w:rPr>
        <w:t>§ 9</w:t>
      </w:r>
    </w:p>
    <w:p>
      <w:pPr>
        <w:spacing w:after="160" w:line="240" w:lineRule="auto"/>
      </w:pPr>
      <w:r>
        <w:rPr>
          <w:rFonts w:ascii="Newsreader" w:hAnsi="Newsreader" w:cs="Newsreader"/>
          <w:color w:val="161412"/>
          <w:sz w:val="38"/>
        </w:rPr>
        <w:t>Síntesis</w:t>
      </w:r>
    </w:p>
    <w:p>
      <w:pPr>
        <w:spacing w:after="120" w:line="320" w:lineRule="auto"/>
        <w:jc w:val="both"/>
      </w:pPr>
      <w:r>
        <w:rPr>
          <w:rFonts w:ascii="Newsreader" w:hAnsi="Newsreader" w:cs="Newsreader"/>
          <w:b w:val="0"/>
          <w:i w:val="0"/>
          <w:color w:val="161412"/>
        </w:rPr>
        <w:t>handle es la familia de la manipulación directa: comunica que el objeto está bajo el control del usuario y qué puede hacerse con él. No es un evento puntual, sino una secuencia sostenida —pick, carry, drop— que convierte la interfaz en espacio de acción continua.</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El objeto debe sentirse bajo control en todo momento.</w:t>
      </w:r>
    </w:p>
    <w:p>
      <w:pPr>
        <w:spacing w:after="200" w:before="40"/>
      </w:pPr>
      <w:r>
        <w:rPr>
          <w:rFonts w:ascii="IBM Plex Sans" w:hAnsi="IBM Plex Sans" w:cs="IBM Plex Sans"/>
          <w:b/>
          <w:color w:val="1F3A5F"/>
          <w:sz w:val="17"/>
        </w:rPr>
        <w:t xml:space="preserve">TABLA 25.1   </w:t>
      </w:r>
      <w:r>
        <w:rPr>
          <w:rFonts w:ascii="IBM Plex Sans" w:hAnsi="IBM Plex Sans" w:cs="IBM Plex Sans"/>
          <w:color w:val="3A352F"/>
          <w:sz w:val="18"/>
        </w:rPr>
        <w:t xml:space="preserve">Fases de handle y su lectura</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Fase</w:t>
            </w:r>
          </w:p>
        </w:tc>
        <w:tc>
          <w:tcPr>
            <w:tcW w:type="dxa" w:w="2772"/>
            <w:shd w:val="clear" w:color="auto" w:fill="EAE4D8"/>
          </w:tcPr>
          <w:p>
            <w:pPr>
              <w:spacing w:after="40"/>
            </w:pPr>
            <w:r>
              <w:rPr>
                <w:sz w:val="17"/>
              </w:rPr>
            </w:r>
            <w:r>
              <w:rPr>
                <w:rFonts w:ascii="IBM Plex Sans" w:hAnsi="IBM Plex Sans" w:cs="IBM Plex Sans"/>
                <w:b/>
                <w:i w:val="0"/>
                <w:color w:val="1F3A5F"/>
                <w:sz w:val="17"/>
              </w:rPr>
              <w:t>Evento</w:t>
            </w:r>
          </w:p>
        </w:tc>
        <w:tc>
          <w:tcPr>
            <w:tcW w:type="dxa" w:w="2772"/>
            <w:shd w:val="clear" w:color="auto" w:fill="EAE4D8"/>
          </w:tcPr>
          <w:p>
            <w:pPr>
              <w:spacing w:after="40"/>
            </w:pPr>
            <w:r>
              <w:rPr>
                <w:sz w:val="17"/>
              </w:rPr>
            </w:r>
            <w:r>
              <w:rPr>
                <w:rFonts w:ascii="IBM Plex Sans" w:hAnsi="IBM Plex Sans" w:cs="IBM Plex Sans"/>
                <w:b/>
                <w:i w:val="0"/>
                <w:color w:val="1F3A5F"/>
                <w:sz w:val="17"/>
              </w:rPr>
              <w:t>Lectura</w:t>
            </w:r>
          </w:p>
        </w:tc>
      </w:tr>
      <w:tr>
        <w:tc>
          <w:tcPr>
            <w:tcW w:type="dxa" w:w="2772"/>
          </w:tcPr>
          <w:p>
            <w:pPr>
              <w:spacing w:after="40"/>
            </w:pPr>
            <w:r>
              <w:rPr>
                <w:sz w:val="17"/>
              </w:rPr>
            </w:r>
            <w:r>
              <w:rPr>
                <w:rFonts w:ascii="IBM Plex Sans" w:hAnsi="IBM Plex Sans" w:cs="IBM Plex Sans"/>
                <w:b w:val="0"/>
                <w:i w:val="0"/>
                <w:color w:val="161412"/>
                <w:sz w:val="17"/>
              </w:rPr>
              <w:t>Pick</w:t>
            </w:r>
          </w:p>
        </w:tc>
        <w:tc>
          <w:tcPr>
            <w:tcW w:type="dxa" w:w="2772"/>
          </w:tcPr>
          <w:p>
            <w:pPr>
              <w:spacing w:after="40"/>
            </w:pPr>
            <w:r>
              <w:rPr>
                <w:sz w:val="17"/>
              </w:rPr>
            </w:r>
            <w:r>
              <w:rPr>
                <w:rFonts w:ascii="IBM Plex Sans" w:hAnsi="IBM Plex Sans" w:cs="IBM Plex Sans"/>
                <w:b w:val="0"/>
                <w:i w:val="0"/>
                <w:color w:val="161412"/>
                <w:sz w:val="17"/>
              </w:rPr>
              <w:t>handle.pick</w:t>
            </w:r>
          </w:p>
        </w:tc>
        <w:tc>
          <w:tcPr>
            <w:tcW w:type="dxa" w:w="2772"/>
          </w:tcPr>
          <w:p>
            <w:pPr>
              <w:spacing w:after="40"/>
            </w:pPr>
            <w:r>
              <w:rPr>
                <w:sz w:val="17"/>
              </w:rPr>
            </w:r>
            <w:r>
              <w:rPr>
                <w:rFonts w:ascii="IBM Plex Sans" w:hAnsi="IBM Plex Sans" w:cs="IBM Plex Sans"/>
                <w:b w:val="0"/>
                <w:i w:val="0"/>
                <w:color w:val="161412"/>
                <w:sz w:val="17"/>
              </w:rPr>
              <w:t>agarro</w:t>
            </w:r>
          </w:p>
        </w:tc>
      </w:tr>
      <w:tr>
        <w:tc>
          <w:tcPr>
            <w:tcW w:type="dxa" w:w="2772"/>
          </w:tcPr>
          <w:p>
            <w:pPr>
              <w:spacing w:after="40"/>
            </w:pPr>
            <w:r>
              <w:rPr>
                <w:sz w:val="17"/>
              </w:rPr>
            </w:r>
            <w:r>
              <w:rPr>
                <w:rFonts w:ascii="IBM Plex Sans" w:hAnsi="IBM Plex Sans" w:cs="IBM Plex Sans"/>
                <w:b w:val="0"/>
                <w:i w:val="0"/>
                <w:color w:val="161412"/>
                <w:sz w:val="17"/>
              </w:rPr>
              <w:t>Carry</w:t>
            </w:r>
          </w:p>
        </w:tc>
        <w:tc>
          <w:tcPr>
            <w:tcW w:type="dxa" w:w="2772"/>
          </w:tcPr>
          <w:p>
            <w:pPr>
              <w:spacing w:after="40"/>
            </w:pPr>
            <w:r>
              <w:rPr>
                <w:sz w:val="17"/>
              </w:rPr>
            </w:r>
            <w:r>
              <w:rPr>
                <w:rFonts w:ascii="IBM Plex Sans" w:hAnsi="IBM Plex Sans" w:cs="IBM Plex Sans"/>
                <w:b w:val="0"/>
                <w:i w:val="0"/>
                <w:color w:val="161412"/>
                <w:sz w:val="17"/>
              </w:rPr>
              <w:t>handle.carry</w:t>
            </w:r>
          </w:p>
        </w:tc>
        <w:tc>
          <w:tcPr>
            <w:tcW w:type="dxa" w:w="2772"/>
          </w:tcPr>
          <w:p>
            <w:pPr>
              <w:spacing w:after="40"/>
            </w:pPr>
            <w:r>
              <w:rPr>
                <w:sz w:val="17"/>
              </w:rPr>
            </w:r>
            <w:r>
              <w:rPr>
                <w:rFonts w:ascii="IBM Plex Sans" w:hAnsi="IBM Plex Sans" w:cs="IBM Plex Sans"/>
                <w:b w:val="0"/>
                <w:i w:val="0"/>
                <w:color w:val="161412"/>
                <w:sz w:val="17"/>
              </w:rPr>
              <w:t>controlo</w:t>
            </w:r>
          </w:p>
        </w:tc>
      </w:tr>
      <w:tr>
        <w:tc>
          <w:tcPr>
            <w:tcW w:type="dxa" w:w="2772"/>
          </w:tcPr>
          <w:p>
            <w:pPr>
              <w:spacing w:after="40"/>
            </w:pPr>
            <w:r>
              <w:rPr>
                <w:sz w:val="17"/>
              </w:rPr>
            </w:r>
            <w:r>
              <w:rPr>
                <w:rFonts w:ascii="IBM Plex Sans" w:hAnsi="IBM Plex Sans" w:cs="IBM Plex Sans"/>
                <w:b w:val="0"/>
                <w:i w:val="0"/>
                <w:color w:val="161412"/>
                <w:sz w:val="17"/>
              </w:rPr>
              <w:t>Drop</w:t>
            </w:r>
          </w:p>
        </w:tc>
        <w:tc>
          <w:tcPr>
            <w:tcW w:type="dxa" w:w="2772"/>
          </w:tcPr>
          <w:p>
            <w:pPr>
              <w:spacing w:after="40"/>
            </w:pPr>
            <w:r>
              <w:rPr>
                <w:sz w:val="17"/>
              </w:rPr>
            </w:r>
            <w:r>
              <w:rPr>
                <w:rFonts w:ascii="IBM Plex Sans" w:hAnsi="IBM Plex Sans" w:cs="IBM Plex Sans"/>
                <w:b w:val="0"/>
                <w:i w:val="0"/>
                <w:color w:val="161412"/>
                <w:sz w:val="17"/>
              </w:rPr>
              <w:t>handle.drop</w:t>
            </w:r>
          </w:p>
        </w:tc>
        <w:tc>
          <w:tcPr>
            <w:tcW w:type="dxa" w:w="2772"/>
          </w:tcPr>
          <w:p>
            <w:pPr>
              <w:spacing w:after="40"/>
            </w:pPr>
            <w:r>
              <w:rPr>
                <w:sz w:val="17"/>
              </w:rPr>
            </w:r>
            <w:r>
              <w:rPr>
                <w:rFonts w:ascii="IBM Plex Sans" w:hAnsi="IBM Plex Sans" w:cs="IBM Plex Sans"/>
                <w:b w:val="0"/>
                <w:i w:val="0"/>
                <w:color w:val="161412"/>
                <w:sz w:val="17"/>
              </w:rPr>
              <w:t>suelto / evalúo</w:t>
            </w:r>
          </w:p>
        </w:tc>
      </w:tr>
    </w:tbl>
    <w:p>
      <w:pPr>
        <w:spacing w:after="80"/>
      </w:pPr>
    </w:p>
    <w:p>
      <w:pPr>
        <w:spacing w:after="200" w:before="40"/>
      </w:pPr>
      <w:r>
        <w:rPr>
          <w:rFonts w:ascii="IBM Plex Sans" w:hAnsi="IBM Plex Sans" w:cs="IBM Plex Sans"/>
          <w:b/>
          <w:color w:val="1F3A5F"/>
          <w:sz w:val="17"/>
        </w:rPr>
        <w:t xml:space="preserve">TABLA 25.2   </w:t>
      </w:r>
      <w:r>
        <w:rPr>
          <w:rFonts w:ascii="IBM Plex Sans" w:hAnsi="IBM Plex Sans" w:cs="IBM Plex Sans"/>
          <w:color w:val="3A352F"/>
          <w:sz w:val="18"/>
        </w:rPr>
        <w:t xml:space="preserve">Canales de handle y su función</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Canal</w:t>
            </w:r>
          </w:p>
        </w:tc>
        <w:tc>
          <w:tcPr>
            <w:tcW w:type="dxa" w:w="4158"/>
            <w:shd w:val="clear" w:color="auto" w:fill="EAE4D8"/>
          </w:tcPr>
          <w:p>
            <w:pPr>
              <w:spacing w:after="40"/>
            </w:pPr>
            <w:r>
              <w:rPr>
                <w:sz w:val="17"/>
              </w:rPr>
            </w:r>
            <w:r>
              <w:rPr>
                <w:rFonts w:ascii="IBM Plex Sans" w:hAnsi="IBM Plex Sans" w:cs="IBM Plex Sans"/>
                <w:b/>
                <w:i w:val="0"/>
                <w:color w:val="1F3A5F"/>
                <w:sz w:val="17"/>
              </w:rPr>
              <w:t>Función</w:t>
            </w:r>
          </w:p>
        </w:tc>
      </w:tr>
      <w:tr>
        <w:tc>
          <w:tcPr>
            <w:tcW w:type="dxa" w:w="4158"/>
          </w:tcPr>
          <w:p>
            <w:pPr>
              <w:spacing w:after="40"/>
            </w:pPr>
            <w:r>
              <w:rPr>
                <w:sz w:val="17"/>
              </w:rPr>
            </w:r>
            <w:r>
              <w:rPr>
                <w:rFonts w:ascii="IBM Plex Sans" w:hAnsi="IBM Plex Sans" w:cs="IBM Plex Sans"/>
                <w:b w:val="0"/>
                <w:i w:val="0"/>
                <w:color w:val="161412"/>
                <w:sz w:val="17"/>
              </w:rPr>
              <w:t>Tiempo</w:t>
            </w:r>
          </w:p>
        </w:tc>
        <w:tc>
          <w:tcPr>
            <w:tcW w:type="dxa" w:w="4158"/>
          </w:tcPr>
          <w:p>
            <w:pPr>
              <w:spacing w:after="40"/>
            </w:pPr>
            <w:r>
              <w:rPr>
                <w:sz w:val="17"/>
              </w:rPr>
            </w:r>
            <w:r>
              <w:rPr>
                <w:rFonts w:ascii="IBM Plex Sans" w:hAnsi="IBM Plex Sans" w:cs="IBM Plex Sans"/>
                <w:b w:val="0"/>
                <w:i w:val="0"/>
                <w:color w:val="161412"/>
                <w:sz w:val="17"/>
              </w:rPr>
              <w:t>latencia mínima</w:t>
            </w:r>
          </w:p>
        </w:tc>
      </w:tr>
      <w:tr>
        <w:tc>
          <w:tcPr>
            <w:tcW w:type="dxa" w:w="4158"/>
          </w:tcPr>
          <w:p>
            <w:pPr>
              <w:spacing w:after="40"/>
            </w:pPr>
            <w:r>
              <w:rPr>
                <w:sz w:val="17"/>
              </w:rPr>
            </w:r>
            <w:r>
              <w:rPr>
                <w:rFonts w:ascii="IBM Plex Sans" w:hAnsi="IBM Plex Sans" w:cs="IBM Plex Sans"/>
                <w:b w:val="0"/>
                <w:i w:val="0"/>
                <w:color w:val="161412"/>
                <w:sz w:val="17"/>
              </w:rPr>
              <w:t>Motion</w:t>
            </w:r>
          </w:p>
        </w:tc>
        <w:tc>
          <w:tcPr>
            <w:tcW w:type="dxa" w:w="4158"/>
          </w:tcPr>
          <w:p>
            <w:pPr>
              <w:spacing w:after="40"/>
            </w:pPr>
            <w:r>
              <w:rPr>
                <w:sz w:val="17"/>
              </w:rPr>
            </w:r>
            <w:r>
              <w:rPr>
                <w:rFonts w:ascii="IBM Plex Sans" w:hAnsi="IBM Plex Sans" w:cs="IBM Plex Sans"/>
                <w:b w:val="0"/>
                <w:i w:val="0"/>
                <w:color w:val="161412"/>
                <w:sz w:val="17"/>
              </w:rPr>
              <w:t>continuidad</w:t>
            </w:r>
          </w:p>
        </w:tc>
      </w:tr>
      <w:tr>
        <w:tc>
          <w:tcPr>
            <w:tcW w:type="dxa" w:w="4158"/>
          </w:tcPr>
          <w:p>
            <w:pPr>
              <w:spacing w:after="40"/>
            </w:pPr>
            <w:r>
              <w:rPr>
                <w:sz w:val="17"/>
              </w:rPr>
            </w:r>
            <w:r>
              <w:rPr>
                <w:rFonts w:ascii="IBM Plex Sans" w:hAnsi="IBM Plex Sans" w:cs="IBM Plex Sans"/>
                <w:b w:val="0"/>
                <w:i w:val="0"/>
                <w:color w:val="161412"/>
                <w:sz w:val="17"/>
              </w:rPr>
              <w:t>Profundidad</w:t>
            </w:r>
          </w:p>
        </w:tc>
        <w:tc>
          <w:tcPr>
            <w:tcW w:type="dxa" w:w="4158"/>
          </w:tcPr>
          <w:p>
            <w:pPr>
              <w:spacing w:after="40"/>
            </w:pPr>
            <w:r>
              <w:rPr>
                <w:sz w:val="17"/>
              </w:rPr>
            </w:r>
            <w:r>
              <w:rPr>
                <w:rFonts w:ascii="IBM Plex Sans" w:hAnsi="IBM Plex Sans" w:cs="IBM Plex Sans"/>
                <w:b w:val="0"/>
                <w:i w:val="0"/>
                <w:color w:val="161412"/>
                <w:sz w:val="17"/>
              </w:rPr>
              <w:t>régimen de manipulación</w:t>
            </w:r>
          </w:p>
        </w:tc>
      </w:tr>
      <w:tr>
        <w:tc>
          <w:tcPr>
            <w:tcW w:type="dxa" w:w="4158"/>
          </w:tcPr>
          <w:p>
            <w:pPr>
              <w:spacing w:after="40"/>
            </w:pPr>
            <w:r>
              <w:rPr>
                <w:sz w:val="17"/>
              </w:rPr>
            </w:r>
            <w:r>
              <w:rPr>
                <w:rFonts w:ascii="IBM Plex Sans" w:hAnsi="IBM Plex Sans" w:cs="IBM Plex Sans"/>
                <w:b w:val="0"/>
                <w:i w:val="0"/>
                <w:color w:val="161412"/>
                <w:sz w:val="17"/>
              </w:rPr>
              <w:t>Forma</w:t>
            </w:r>
          </w:p>
        </w:tc>
        <w:tc>
          <w:tcPr>
            <w:tcW w:type="dxa" w:w="4158"/>
          </w:tcPr>
          <w:p>
            <w:pPr>
              <w:spacing w:after="40"/>
            </w:pPr>
            <w:r>
              <w:rPr>
                <w:sz w:val="17"/>
              </w:rPr>
            </w:r>
            <w:r>
              <w:rPr>
                <w:rFonts w:ascii="IBM Plex Sans" w:hAnsi="IBM Plex Sans" w:cs="IBM Plex Sans"/>
                <w:b w:val="0"/>
                <w:i w:val="0"/>
                <w:color w:val="161412"/>
                <w:sz w:val="17"/>
              </w:rPr>
              <w:t>objeto activo / asa</w:t>
            </w:r>
          </w:p>
        </w:tc>
      </w:tr>
      <w:tr>
        <w:tc>
          <w:tcPr>
            <w:tcW w:type="dxa" w:w="4158"/>
          </w:tcPr>
          <w:p>
            <w:pPr>
              <w:spacing w:after="40"/>
            </w:pPr>
            <w:r>
              <w:rPr>
                <w:sz w:val="17"/>
              </w:rPr>
            </w:r>
            <w:r>
              <w:rPr>
                <w:rFonts w:ascii="IBM Plex Sans" w:hAnsi="IBM Plex Sans" w:cs="IBM Plex Sans"/>
                <w:b w:val="0"/>
                <w:i w:val="0"/>
                <w:color w:val="161412"/>
                <w:sz w:val="17"/>
              </w:rPr>
              <w:t>Color</w:t>
            </w:r>
          </w:p>
        </w:tc>
        <w:tc>
          <w:tcPr>
            <w:tcW w:type="dxa" w:w="4158"/>
          </w:tcPr>
          <w:p>
            <w:pPr>
              <w:spacing w:after="40"/>
            </w:pPr>
            <w:r>
              <w:rPr>
                <w:sz w:val="17"/>
              </w:rPr>
            </w:r>
            <w:r>
              <w:rPr>
                <w:rFonts w:ascii="IBM Plex Sans" w:hAnsi="IBM Plex Sans" w:cs="IBM Plex Sans"/>
                <w:b w:val="0"/>
                <w:i w:val="0"/>
                <w:color w:val="161412"/>
                <w:sz w:val="17"/>
              </w:rPr>
              <w:t>destino válido/inválido</w:t>
            </w:r>
          </w:p>
        </w:tc>
      </w:tr>
      <w:tr>
        <w:tc>
          <w:tcPr>
            <w:tcW w:type="dxa" w:w="4158"/>
          </w:tcPr>
          <w:p>
            <w:pPr>
              <w:spacing w:after="40"/>
            </w:pPr>
            <w:r>
              <w:rPr>
                <w:sz w:val="17"/>
              </w:rPr>
            </w:r>
            <w:r>
              <w:rPr>
                <w:rFonts w:ascii="IBM Plex Sans" w:hAnsi="IBM Plex Sans" w:cs="IBM Plex Sans"/>
                <w:b w:val="0"/>
                <w:i w:val="0"/>
                <w:color w:val="161412"/>
                <w:sz w:val="17"/>
              </w:rPr>
              <w:t>Sonido</w:t>
            </w:r>
          </w:p>
        </w:tc>
        <w:tc>
          <w:tcPr>
            <w:tcW w:type="dxa" w:w="4158"/>
          </w:tcPr>
          <w:p>
            <w:pPr>
              <w:spacing w:after="40"/>
            </w:pPr>
            <w:r>
              <w:rPr>
                <w:sz w:val="17"/>
              </w:rPr>
            </w:r>
            <w:r>
              <w:rPr>
                <w:rFonts w:ascii="IBM Plex Sans" w:hAnsi="IBM Plex Sans" w:cs="IBM Plex Sans"/>
                <w:b w:val="0"/>
                <w:i w:val="0"/>
                <w:color w:val="161412"/>
                <w:sz w:val="17"/>
              </w:rPr>
              <w:t>opcional en pick/drop</w:t>
            </w:r>
          </w:p>
        </w:tc>
      </w:tr>
      <w:tr>
        <w:tc>
          <w:tcPr>
            <w:tcW w:type="dxa" w:w="4158"/>
          </w:tcPr>
          <w:p>
            <w:pPr>
              <w:spacing w:after="40"/>
            </w:pPr>
            <w:r>
              <w:rPr>
                <w:sz w:val="17"/>
              </w:rPr>
            </w:r>
            <w:r>
              <w:rPr>
                <w:rFonts w:ascii="IBM Plex Sans" w:hAnsi="IBM Plex Sans" w:cs="IBM Plex Sans"/>
                <w:b w:val="0"/>
                <w:i w:val="0"/>
                <w:color w:val="161412"/>
                <w:sz w:val="17"/>
              </w:rPr>
              <w:t>Háptica</w:t>
            </w:r>
          </w:p>
        </w:tc>
        <w:tc>
          <w:tcPr>
            <w:tcW w:type="dxa" w:w="4158"/>
          </w:tcPr>
          <w:p>
            <w:pPr>
              <w:spacing w:after="40"/>
            </w:pPr>
            <w:r>
              <w:rPr>
                <w:sz w:val="17"/>
              </w:rPr>
            </w:r>
            <w:r>
              <w:rPr>
                <w:rFonts w:ascii="IBM Plex Sans" w:hAnsi="IBM Plex Sans" w:cs="IBM Plex Sans"/>
                <w:b w:val="0"/>
                <w:i w:val="0"/>
                <w:color w:val="161412"/>
                <w:sz w:val="17"/>
              </w:rPr>
              <w:t>opcional en pick/drop</w:t>
            </w:r>
          </w:p>
        </w:tc>
      </w:tr>
    </w:tbl>
    <w:p>
      <w:pPr>
        <w:spacing w:after="80"/>
      </w:pPr>
    </w:p>
    <w:p>
      <w:pPr>
        <w:spacing w:after="200" w:before="40"/>
      </w:pPr>
      <w:r>
        <w:rPr>
          <w:rFonts w:ascii="IBM Plex Sans" w:hAnsi="IBM Plex Sans" w:cs="IBM Plex Sans"/>
          <w:b/>
          <w:color w:val="1F3A5F"/>
          <w:sz w:val="17"/>
        </w:rPr>
        <w:t xml:space="preserve">TABLA 25.3   </w:t>
      </w:r>
      <w:r>
        <w:rPr>
          <w:rFonts w:ascii="IBM Plex Sans" w:hAnsi="IBM Plex Sans" w:cs="IBM Plex Sans"/>
          <w:color w:val="3A352F"/>
          <w:sz w:val="18"/>
        </w:rPr>
        <w:t xml:space="preserve">Antipatrones de handle</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Antipatrón</w:t>
            </w:r>
          </w:p>
        </w:tc>
        <w:tc>
          <w:tcPr>
            <w:tcW w:type="dxa" w:w="4158"/>
            <w:shd w:val="clear" w:color="auto" w:fill="EAE4D8"/>
          </w:tcPr>
          <w:p>
            <w:pPr>
              <w:spacing w:after="40"/>
            </w:pPr>
            <w:r>
              <w:rPr>
                <w:sz w:val="17"/>
              </w:rPr>
            </w:r>
            <w:r>
              <w:rPr>
                <w:rFonts w:ascii="IBM Plex Sans" w:hAnsi="IBM Plex Sans" w:cs="IBM Plex Sans"/>
                <w:b/>
                <w:i w:val="0"/>
                <w:color w:val="1F3A5F"/>
                <w:sz w:val="17"/>
              </w:rPr>
              <w:t>Problema</w:t>
            </w:r>
          </w:p>
        </w:tc>
      </w:tr>
      <w:tr>
        <w:tc>
          <w:tcPr>
            <w:tcW w:type="dxa" w:w="4158"/>
          </w:tcPr>
          <w:p>
            <w:pPr>
              <w:spacing w:after="40"/>
            </w:pPr>
            <w:r>
              <w:rPr>
                <w:sz w:val="17"/>
              </w:rPr>
            </w:r>
            <w:r>
              <w:rPr>
                <w:rFonts w:ascii="IBM Plex Sans" w:hAnsi="IBM Plex Sans" w:cs="IBM Plex Sans"/>
                <w:b w:val="0"/>
                <w:i w:val="0"/>
                <w:color w:val="161412"/>
                <w:sz w:val="17"/>
              </w:rPr>
              <w:t>Lag en drag</w:t>
            </w:r>
          </w:p>
        </w:tc>
        <w:tc>
          <w:tcPr>
            <w:tcW w:type="dxa" w:w="4158"/>
          </w:tcPr>
          <w:p>
            <w:pPr>
              <w:spacing w:after="40"/>
            </w:pPr>
            <w:r>
              <w:rPr>
                <w:sz w:val="17"/>
              </w:rPr>
            </w:r>
            <w:r>
              <w:rPr>
                <w:rFonts w:ascii="IBM Plex Sans" w:hAnsi="IBM Plex Sans" w:cs="IBM Plex Sans"/>
                <w:b w:val="0"/>
                <w:i w:val="0"/>
                <w:color w:val="161412"/>
                <w:sz w:val="17"/>
              </w:rPr>
              <w:t>pierde control</w:t>
            </w:r>
          </w:p>
        </w:tc>
      </w:tr>
      <w:tr>
        <w:tc>
          <w:tcPr>
            <w:tcW w:type="dxa" w:w="4158"/>
          </w:tcPr>
          <w:p>
            <w:pPr>
              <w:spacing w:after="40"/>
            </w:pPr>
            <w:r>
              <w:rPr>
                <w:sz w:val="17"/>
              </w:rPr>
            </w:r>
            <w:r>
              <w:rPr>
                <w:rFonts w:ascii="IBM Plex Sans" w:hAnsi="IBM Plex Sans" w:cs="IBM Plex Sans"/>
                <w:b w:val="0"/>
                <w:i w:val="0"/>
                <w:color w:val="161412"/>
                <w:sz w:val="17"/>
              </w:rPr>
              <w:t>Sin elevación</w:t>
            </w:r>
          </w:p>
        </w:tc>
        <w:tc>
          <w:tcPr>
            <w:tcW w:type="dxa" w:w="4158"/>
          </w:tcPr>
          <w:p>
            <w:pPr>
              <w:spacing w:after="40"/>
            </w:pPr>
            <w:r>
              <w:rPr>
                <w:sz w:val="17"/>
              </w:rPr>
            </w:r>
            <w:r>
              <w:rPr>
                <w:rFonts w:ascii="IBM Plex Sans" w:hAnsi="IBM Plex Sans" w:cs="IBM Plex Sans"/>
                <w:b w:val="0"/>
                <w:i w:val="0"/>
                <w:color w:val="161412"/>
                <w:sz w:val="17"/>
              </w:rPr>
              <w:t>no se entiende pick</w:t>
            </w:r>
          </w:p>
        </w:tc>
      </w:tr>
      <w:tr>
        <w:tc>
          <w:tcPr>
            <w:tcW w:type="dxa" w:w="4158"/>
          </w:tcPr>
          <w:p>
            <w:pPr>
              <w:spacing w:after="40"/>
            </w:pPr>
            <w:r>
              <w:rPr>
                <w:sz w:val="17"/>
              </w:rPr>
            </w:r>
            <w:r>
              <w:rPr>
                <w:rFonts w:ascii="IBM Plex Sans" w:hAnsi="IBM Plex Sans" w:cs="IBM Plex Sans"/>
                <w:b w:val="0"/>
                <w:i w:val="0"/>
                <w:color w:val="161412"/>
                <w:sz w:val="17"/>
              </w:rPr>
              <w:t>Objeto rígido</w:t>
            </w:r>
          </w:p>
        </w:tc>
        <w:tc>
          <w:tcPr>
            <w:tcW w:type="dxa" w:w="4158"/>
          </w:tcPr>
          <w:p>
            <w:pPr>
              <w:spacing w:after="40"/>
            </w:pPr>
            <w:r>
              <w:rPr>
                <w:sz w:val="17"/>
              </w:rPr>
            </w:r>
            <w:r>
              <w:rPr>
                <w:rFonts w:ascii="IBM Plex Sans" w:hAnsi="IBM Plex Sans" w:cs="IBM Plex Sans"/>
                <w:b w:val="0"/>
                <w:i w:val="0"/>
                <w:color w:val="161412"/>
                <w:sz w:val="17"/>
              </w:rPr>
              <w:t>no sigue gesto</w:t>
            </w:r>
          </w:p>
        </w:tc>
      </w:tr>
      <w:tr>
        <w:tc>
          <w:tcPr>
            <w:tcW w:type="dxa" w:w="4158"/>
          </w:tcPr>
          <w:p>
            <w:pPr>
              <w:spacing w:after="40"/>
            </w:pPr>
            <w:r>
              <w:rPr>
                <w:sz w:val="17"/>
              </w:rPr>
            </w:r>
            <w:r>
              <w:rPr>
                <w:rFonts w:ascii="IBM Plex Sans" w:hAnsi="IBM Plex Sans" w:cs="IBM Plex Sans"/>
                <w:b w:val="0"/>
                <w:i w:val="0"/>
                <w:color w:val="161412"/>
                <w:sz w:val="17"/>
              </w:rPr>
              <w:t>Drop ambiguo</w:t>
            </w:r>
          </w:p>
        </w:tc>
        <w:tc>
          <w:tcPr>
            <w:tcW w:type="dxa" w:w="4158"/>
          </w:tcPr>
          <w:p>
            <w:pPr>
              <w:spacing w:after="40"/>
            </w:pPr>
            <w:r>
              <w:rPr>
                <w:sz w:val="17"/>
              </w:rPr>
            </w:r>
            <w:r>
              <w:rPr>
                <w:rFonts w:ascii="IBM Plex Sans" w:hAnsi="IBM Plex Sans" w:cs="IBM Plex Sans"/>
                <w:b w:val="0"/>
                <w:i w:val="0"/>
                <w:color w:val="161412"/>
                <w:sz w:val="17"/>
              </w:rPr>
              <w:t>no se sabe resultado</w:t>
            </w:r>
          </w:p>
        </w:tc>
      </w:tr>
      <w:tr>
        <w:tc>
          <w:tcPr>
            <w:tcW w:type="dxa" w:w="4158"/>
          </w:tcPr>
          <w:p>
            <w:pPr>
              <w:spacing w:after="40"/>
            </w:pPr>
            <w:r>
              <w:rPr>
                <w:sz w:val="17"/>
              </w:rPr>
            </w:r>
            <w:r>
              <w:rPr>
                <w:rFonts w:ascii="IBM Plex Sans" w:hAnsi="IBM Plex Sans" w:cs="IBM Plex Sans"/>
                <w:b w:val="0"/>
                <w:i w:val="0"/>
                <w:color w:val="161412"/>
                <w:sz w:val="17"/>
              </w:rPr>
              <w:t>Sin alternativa</w:t>
            </w:r>
          </w:p>
        </w:tc>
        <w:tc>
          <w:tcPr>
            <w:tcW w:type="dxa" w:w="4158"/>
          </w:tcPr>
          <w:p>
            <w:pPr>
              <w:spacing w:after="40"/>
            </w:pPr>
            <w:r>
              <w:rPr>
                <w:sz w:val="17"/>
              </w:rPr>
            </w:r>
            <w:r>
              <w:rPr>
                <w:rFonts w:ascii="IBM Plex Sans" w:hAnsi="IBM Plex Sans" w:cs="IBM Plex Sans"/>
                <w:b w:val="0"/>
                <w:i w:val="0"/>
                <w:color w:val="161412"/>
                <w:sz w:val="17"/>
              </w:rPr>
              <w:t>inaccesible</w:t>
            </w:r>
          </w:p>
        </w:tc>
      </w:tr>
      <w:tr>
        <w:tc>
          <w:tcPr>
            <w:tcW w:type="dxa" w:w="4158"/>
          </w:tcPr>
          <w:p>
            <w:pPr>
              <w:spacing w:after="40"/>
            </w:pPr>
            <w:r>
              <w:rPr>
                <w:sz w:val="17"/>
              </w:rPr>
            </w:r>
            <w:r>
              <w:rPr>
                <w:rFonts w:ascii="IBM Plex Sans" w:hAnsi="IBM Plex Sans" w:cs="IBM Plex Sans"/>
                <w:b w:val="0"/>
                <w:i w:val="0"/>
                <w:color w:val="161412"/>
                <w:sz w:val="17"/>
              </w:rPr>
              <w:t>Respuesta continua</w:t>
            </w:r>
          </w:p>
        </w:tc>
        <w:tc>
          <w:tcPr>
            <w:tcW w:type="dxa" w:w="4158"/>
          </w:tcPr>
          <w:p>
            <w:pPr>
              <w:spacing w:after="40"/>
            </w:pPr>
            <w:r>
              <w:rPr>
                <w:sz w:val="17"/>
              </w:rPr>
            </w:r>
            <w:r>
              <w:rPr>
                <w:rFonts w:ascii="IBM Plex Sans" w:hAnsi="IBM Plex Sans" w:cs="IBM Plex Sans"/>
                <w:b w:val="0"/>
                <w:i w:val="0"/>
                <w:color w:val="161412"/>
                <w:sz w:val="17"/>
              </w:rPr>
              <w:t>fatiga</w:t>
            </w:r>
          </w:p>
        </w:tc>
      </w:tr>
      <w:tr>
        <w:tc>
          <w:tcPr>
            <w:tcW w:type="dxa" w:w="4158"/>
          </w:tcPr>
          <w:p>
            <w:pPr>
              <w:spacing w:after="40"/>
            </w:pPr>
            <w:r>
              <w:rPr>
                <w:sz w:val="17"/>
              </w:rPr>
            </w:r>
            <w:r>
              <w:rPr>
                <w:rFonts w:ascii="IBM Plex Sans" w:hAnsi="IBM Plex Sans" w:cs="IBM Plex Sans"/>
                <w:b w:val="0"/>
                <w:i w:val="0"/>
                <w:color w:val="161412"/>
                <w:sz w:val="17"/>
              </w:rPr>
              <w:t>Intent durante carry</w:t>
            </w:r>
          </w:p>
        </w:tc>
        <w:tc>
          <w:tcPr>
            <w:tcW w:type="dxa" w:w="4158"/>
          </w:tcPr>
          <w:p>
            <w:pPr>
              <w:spacing w:after="40"/>
            </w:pPr>
            <w:r>
              <w:rPr>
                <w:sz w:val="17"/>
              </w:rPr>
            </w:r>
            <w:r>
              <w:rPr>
                <w:rFonts w:ascii="IBM Plex Sans" w:hAnsi="IBM Plex Sans" w:cs="IBM Plex Sans"/>
                <w:b w:val="0"/>
                <w:i w:val="0"/>
                <w:color w:val="161412"/>
                <w:sz w:val="17"/>
              </w:rPr>
              <w:t>ruido evaluativo</w:t>
            </w:r>
          </w:p>
        </w:tc>
      </w:tr>
    </w:tbl>
    <w:p>
      <w:pPr>
        <w:spacing w:after="80"/>
      </w:pPr>
    </w:p>
    <w:p>
      <w:pPr>
        <w:spacing w:after="200" w:before="40"/>
      </w:pPr>
      <w:r>
        <w:rPr>
          <w:rFonts w:ascii="IBM Plex Sans" w:hAnsi="IBM Plex Sans" w:cs="IBM Plex Sans"/>
          <w:b/>
          <w:color w:val="1F3A5F"/>
          <w:sz w:val="17"/>
        </w:rPr>
        <w:t xml:space="preserve">TABLA 25.4   </w:t>
      </w:r>
      <w:r>
        <w:rPr>
          <w:rFonts w:ascii="IBM Plex Sans" w:hAnsi="IBM Plex Sans" w:cs="IBM Plex Sans"/>
          <w:color w:val="3A352F"/>
          <w:sz w:val="18"/>
        </w:rPr>
        <w:t xml:space="preserve">Preguntas de validación de handle</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Dimensión</w:t>
            </w:r>
          </w:p>
        </w:tc>
        <w:tc>
          <w:tcPr>
            <w:tcW w:type="dxa" w:w="4158"/>
            <w:shd w:val="clear" w:color="auto" w:fill="EAE4D8"/>
          </w:tcPr>
          <w:p>
            <w:pPr>
              <w:spacing w:after="40"/>
            </w:pPr>
            <w:r>
              <w:rPr>
                <w:sz w:val="17"/>
              </w:rPr>
            </w:r>
            <w:r>
              <w:rPr>
                <w:rFonts w:ascii="IBM Plex Sans" w:hAnsi="IBM Plex Sans" w:cs="IBM Plex Sans"/>
                <w:b/>
                <w:i w:val="0"/>
                <w:color w:val="1F3A5F"/>
                <w:sz w:val="17"/>
              </w:rPr>
              <w:t>Pregunta</w:t>
            </w:r>
          </w:p>
        </w:tc>
      </w:tr>
      <w:tr>
        <w:tc>
          <w:tcPr>
            <w:tcW w:type="dxa" w:w="4158"/>
          </w:tcPr>
          <w:p>
            <w:pPr>
              <w:spacing w:after="40"/>
            </w:pPr>
            <w:r>
              <w:rPr>
                <w:sz w:val="17"/>
              </w:rPr>
            </w:r>
            <w:r>
              <w:rPr>
                <w:rFonts w:ascii="IBM Plex Sans" w:hAnsi="IBM Plex Sans" w:cs="IBM Plex Sans"/>
                <w:b w:val="0"/>
                <w:i w:val="0"/>
                <w:color w:val="161412"/>
                <w:sz w:val="17"/>
              </w:rPr>
              <w:t>Control</w:t>
            </w:r>
          </w:p>
        </w:tc>
        <w:tc>
          <w:tcPr>
            <w:tcW w:type="dxa" w:w="4158"/>
          </w:tcPr>
          <w:p>
            <w:pPr>
              <w:spacing w:after="40"/>
            </w:pPr>
            <w:r>
              <w:rPr>
                <w:sz w:val="17"/>
              </w:rPr>
            </w:r>
            <w:r>
              <w:rPr>
                <w:rFonts w:ascii="IBM Plex Sans" w:hAnsi="IBM Plex Sans" w:cs="IBM Plex Sans"/>
                <w:b w:val="0"/>
                <w:i w:val="0"/>
                <w:color w:val="161412"/>
                <w:sz w:val="17"/>
              </w:rPr>
              <w:t>¿esto está bajo mi acción?</w:t>
            </w:r>
          </w:p>
        </w:tc>
      </w:tr>
      <w:tr>
        <w:tc>
          <w:tcPr>
            <w:tcW w:type="dxa" w:w="4158"/>
          </w:tcPr>
          <w:p>
            <w:pPr>
              <w:spacing w:after="40"/>
            </w:pPr>
            <w:r>
              <w:rPr>
                <w:sz w:val="17"/>
              </w:rPr>
            </w:r>
            <w:r>
              <w:rPr>
                <w:rFonts w:ascii="IBM Plex Sans" w:hAnsi="IBM Plex Sans" w:cs="IBM Plex Sans"/>
                <w:b w:val="0"/>
                <w:i w:val="0"/>
                <w:color w:val="161412"/>
                <w:sz w:val="17"/>
              </w:rPr>
              <w:t>Continuidad</w:t>
            </w:r>
          </w:p>
        </w:tc>
        <w:tc>
          <w:tcPr>
            <w:tcW w:type="dxa" w:w="4158"/>
          </w:tcPr>
          <w:p>
            <w:pPr>
              <w:spacing w:after="40"/>
            </w:pPr>
            <w:r>
              <w:rPr>
                <w:sz w:val="17"/>
              </w:rPr>
            </w:r>
            <w:r>
              <w:rPr>
                <w:rFonts w:ascii="IBM Plex Sans" w:hAnsi="IBM Plex Sans" w:cs="IBM Plex Sans"/>
                <w:b w:val="0"/>
                <w:i w:val="0"/>
                <w:color w:val="161412"/>
                <w:sz w:val="17"/>
              </w:rPr>
              <w:t>¿sigue siendo el mismo objeto?</w:t>
            </w:r>
          </w:p>
        </w:tc>
      </w:tr>
      <w:tr>
        <w:tc>
          <w:tcPr>
            <w:tcW w:type="dxa" w:w="4158"/>
          </w:tcPr>
          <w:p>
            <w:pPr>
              <w:spacing w:after="40"/>
            </w:pPr>
            <w:r>
              <w:rPr>
                <w:sz w:val="17"/>
              </w:rPr>
            </w:r>
            <w:r>
              <w:rPr>
                <w:rFonts w:ascii="IBM Plex Sans" w:hAnsi="IBM Plex Sans" w:cs="IBM Plex Sans"/>
                <w:b w:val="0"/>
                <w:i w:val="0"/>
                <w:color w:val="161412"/>
                <w:sz w:val="17"/>
              </w:rPr>
              <w:t>Movimiento</w:t>
            </w:r>
          </w:p>
        </w:tc>
        <w:tc>
          <w:tcPr>
            <w:tcW w:type="dxa" w:w="4158"/>
          </w:tcPr>
          <w:p>
            <w:pPr>
              <w:spacing w:after="40"/>
            </w:pPr>
            <w:r>
              <w:rPr>
                <w:sz w:val="17"/>
              </w:rPr>
            </w:r>
            <w:r>
              <w:rPr>
                <w:rFonts w:ascii="IBM Plex Sans" w:hAnsi="IBM Plex Sans" w:cs="IBM Plex Sans"/>
                <w:b w:val="0"/>
                <w:i w:val="0"/>
                <w:color w:val="161412"/>
                <w:sz w:val="17"/>
              </w:rPr>
              <w:t>¿lo estoy moviendo?</w:t>
            </w:r>
          </w:p>
        </w:tc>
      </w:tr>
      <w:tr>
        <w:tc>
          <w:tcPr>
            <w:tcW w:type="dxa" w:w="4158"/>
          </w:tcPr>
          <w:p>
            <w:pPr>
              <w:spacing w:after="40"/>
            </w:pPr>
            <w:r>
              <w:rPr>
                <w:sz w:val="17"/>
              </w:rPr>
            </w:r>
            <w:r>
              <w:rPr>
                <w:rFonts w:ascii="IBM Plex Sans" w:hAnsi="IBM Plex Sans" w:cs="IBM Plex Sans"/>
                <w:b w:val="0"/>
                <w:i w:val="0"/>
                <w:color w:val="161412"/>
                <w:sz w:val="17"/>
              </w:rPr>
              <w:t>Resultado</w:t>
            </w:r>
          </w:p>
        </w:tc>
        <w:tc>
          <w:tcPr>
            <w:tcW w:type="dxa" w:w="4158"/>
          </w:tcPr>
          <w:p>
            <w:pPr>
              <w:spacing w:after="40"/>
            </w:pPr>
            <w:r>
              <w:rPr>
                <w:sz w:val="17"/>
              </w:rPr>
            </w:r>
            <w:r>
              <w:rPr>
                <w:rFonts w:ascii="IBM Plex Sans" w:hAnsi="IBM Plex Sans" w:cs="IBM Plex Sans"/>
                <w:b w:val="0"/>
                <w:i w:val="0"/>
                <w:color w:val="161412"/>
                <w:sz w:val="17"/>
              </w:rPr>
              <w:t>¿qué ocurre al soltar?</w:t>
            </w:r>
          </w:p>
        </w:tc>
      </w:tr>
    </w:tbl>
    <w:p>
      <w:pPr>
        <w:spacing w:after="80"/>
      </w:pPr>
    </w:p>
    <w:p>
      <w:r>
        <w:br w:type="page"/>
      </w:r>
    </w:p>
    <w:p>
      <w:pPr>
        <w:spacing w:after="40"/>
      </w:pPr>
      <w:r>
        <w:rPr>
          <w:rFonts w:ascii="IBM Plex Sans" w:hAnsi="IBM Plex Sans" w:cs="IBM Plex Sans"/>
          <w:b/>
          <w:color w:val="1F3A5F"/>
          <w:sz w:val="18"/>
        </w:rPr>
        <w:t>CAPÍTULO 26</w:t>
      </w:r>
    </w:p>
    <w:p>
      <w:pPr>
        <w:spacing w:after="80" w:line="240" w:lineRule="auto"/>
      </w:pPr>
      <w:r>
        <w:rPr>
          <w:rFonts w:ascii="IBM Plex Sans" w:hAnsi="IBM Plex Sans" w:cs="IBM Plex Sans"/>
          <w:color w:val="161412"/>
          <w:sz w:val="220"/>
        </w:rPr>
        <w:t>26</w:t>
      </w:r>
    </w:p>
    <w:p>
      <w:pPr>
        <w:spacing w:after="60" w:line="240" w:lineRule="auto"/>
      </w:pPr>
      <w:r>
        <w:rPr>
          <w:rFonts w:ascii="Newsreader" w:hAnsi="Newsreader" w:cs="Newsreader"/>
          <w:color w:val="161412"/>
          <w:sz w:val="60"/>
        </w:rPr>
        <w:t>Emerge</w:t>
      </w:r>
    </w:p>
    <w:p>
      <w:pPr>
        <w:spacing w:after="280"/>
      </w:pPr>
      <w:r>
        <w:rPr>
          <w:rFonts w:ascii="IBM Plex Sans" w:hAnsi="IBM Plex Sans" w:cs="IBM Plex Sans"/>
          <w:color w:val="6A635A"/>
          <w:sz w:val="26"/>
        </w:rPr>
        <w:t>Cuando algo entra o sale del campo perceptivo</w:t>
      </w:r>
    </w:p>
    <w:p>
      <w:pPr>
        <w:pBdr>
          <w:bottom w:val="single" w:sz="4" w:space="4" w:color="1F3A5F"/>
        </w:pBdr>
      </w:pP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¿Cómo entra y sale algo del campo perceptivo sin cambiar el lugar donde se trabaja?</w:t>
      </w:r>
    </w:p>
    <w:p>
      <w:pPr>
        <w:spacing w:after="120" w:line="320" w:lineRule="auto"/>
        <w:jc w:val="both"/>
      </w:pPr>
      <w:r>
        <w:rPr>
          <w:rFonts w:ascii="Newsreader" w:hAnsi="Newsreader" w:cs="Newsreader"/>
          <w:b w:val="0"/>
          <w:i w:val="0"/>
          <w:color w:val="161412"/>
        </w:rPr>
        <w:t>Pulsas un icono y un menú se despliega. Pasas el cursor y asoma una explicación. Cierras un panel y la pantalla vuelve a respirar. Nada se ha confirmado y nada ha cambiado de estado: solo ha cambiado lo que está disponible a la vista. Es el movimiento más callado de una interfaz, y uno de los que más se diseñan mal.</w:t>
      </w:r>
    </w:p>
    <w:p>
      <w:pPr>
        <w:spacing w:after="120" w:line="320" w:lineRule="auto"/>
        <w:jc w:val="both"/>
      </w:pPr>
      <w:r>
        <w:rPr>
          <w:rFonts w:ascii="Newsreader" w:hAnsi="Newsreader" w:cs="Newsreader"/>
          <w:b w:val="0"/>
          <w:i w:val="0"/>
          <w:color w:val="161412"/>
        </w:rPr>
        <w:t>Hasta ahora hemos visto familias en las que el sistema responde, fija consecuencias, reclama atención o permite manipular objetos. Pero hay otra clase de evento más silenciosa y estructural: algo aparece, se revela, se despliega, se oculta, se retira; algo entra en el campo perceptivo o deja de estar presente, pasando a ocupar —o a abandonar— una figura reconocible en el campo. Ese evento no siempre comunica éxito, error, riesgo o pérdida: muchas veces solo reorganiza la presencia. La pregunta de emerge es: ¿algo ha entrado o salido del campo perceptivo?</w:t>
      </w:r>
    </w:p>
    <w:p>
      <w:pPr>
        <w:spacing w:before="200" w:after="60"/>
        <w:jc w:val="center"/>
      </w:pPr>
      <w:r>
        <w:drawing>
          <wp:inline xmlns:a="http://schemas.openxmlformats.org/drawingml/2006/main" xmlns:pic="http://schemas.openxmlformats.org/drawingml/2006/picture">
            <wp:extent cx="5029200" cy="3080385"/>
            <wp:docPr id="9012" name="fig26_1"/>
            <wp:cNvGraphicFramePr>
              <a:graphicFrameLocks noChangeAspect="1"/>
            </wp:cNvGraphicFramePr>
            <a:graphic>
              <a:graphicData uri="http://schemas.openxmlformats.org/drawingml/2006/picture">
                <pic:pic>
                  <pic:nvPicPr>
                    <pic:cNvPr id="9012" name="fig26_1"/>
                    <pic:cNvPicPr/>
                  </pic:nvPicPr>
                  <pic:blipFill>
                    <a:blip r:embed="rId911"/>
                    <a:stretch>
                      <a:fillRect/>
                    </a:stretch>
                  </pic:blipFill>
                  <pic:spPr>
                    <a:xfrm>
                      <a:off x="0" y="0"/>
                      <a:ext cx="5029200" cy="3080385"/>
                    </a:xfrm>
                    <a:prstGeom prst="rect"/>
                  </pic:spPr>
                </pic:pic>
              </a:graphicData>
            </a:graphic>
          </wp:inline>
        </w:drawing>
      </w:r>
    </w:p>
    <w:p>
      <w:pPr>
        <w:spacing w:before="320" w:after="40"/>
      </w:pPr>
      <w:r>
        <w:rPr>
          <w:rFonts w:ascii="IBM Plex Sans" w:hAnsi="IBM Plex Sans" w:cs="IBM Plex Sans"/>
          <w:b/>
          <w:color w:val="1F3A5F"/>
          <w:sz w:val="18"/>
        </w:rPr>
        <w:t>§ 1</w:t>
      </w:r>
    </w:p>
    <w:p>
      <w:pPr>
        <w:spacing w:after="160" w:line="240" w:lineRule="auto"/>
      </w:pPr>
      <w:r>
        <w:rPr>
          <w:rFonts w:ascii="Newsreader" w:hAnsi="Newsreader" w:cs="Newsreader"/>
          <w:color w:val="161412"/>
          <w:sz w:val="38"/>
        </w:rPr>
        <w:t>Qué es emerge</w:t>
      </w:r>
    </w:p>
    <w:p>
      <w:pPr>
        <w:spacing w:after="120" w:line="320" w:lineRule="auto"/>
        <w:jc w:val="both"/>
      </w:pPr>
      <w:r>
        <w:rPr>
          <w:rFonts w:ascii="Newsreader" w:hAnsi="Newsreader" w:cs="Newsreader"/>
          <w:b w:val="0"/>
          <w:i w:val="0"/>
          <w:color w:val="161412"/>
        </w:rPr>
        <w:t xml:space="preserve">emerge es la familia semántica de la aparición y retirada perceptiva. No nombra el contenido que aparece, ni su evaluación, ni necesariamente una decisión del usuario: nombra el hecho de que algo pasa a estar presente o deja de estarlo. Sus verbos recorren ese movimiento: </w:t>
      </w:r>
      <w:r>
        <w:rPr>
          <w:rFonts w:ascii="Newsreader" w:hAnsi="Newsreader" w:cs="Newsreader"/>
          <w:b w:val="0"/>
          <w:i/>
          <w:color w:val="161412"/>
        </w:rPr>
        <w:t>present</w:t>
      </w:r>
      <w:r>
        <w:rPr>
          <w:rFonts w:ascii="Newsreader" w:hAnsi="Newsreader" w:cs="Newsreader"/>
          <w:b w:val="0"/>
          <w:i w:val="0"/>
          <w:color w:val="161412"/>
        </w:rPr>
        <w:t xml:space="preserve">, </w:t>
      </w:r>
      <w:r>
        <w:rPr>
          <w:rFonts w:ascii="Newsreader" w:hAnsi="Newsreader" w:cs="Newsreader"/>
          <w:b w:val="0"/>
          <w:i/>
          <w:color w:val="161412"/>
        </w:rPr>
        <w:t>dismiss</w:t>
      </w:r>
      <w:r>
        <w:rPr>
          <w:rFonts w:ascii="Newsreader" w:hAnsi="Newsreader" w:cs="Newsreader"/>
          <w:b w:val="0"/>
          <w:i w:val="0"/>
          <w:color w:val="161412"/>
        </w:rPr>
        <w:t xml:space="preserve">, </w:t>
      </w:r>
      <w:r>
        <w:rPr>
          <w:rFonts w:ascii="Newsreader" w:hAnsi="Newsreader" w:cs="Newsreader"/>
          <w:b w:val="0"/>
          <w:i/>
          <w:color w:val="161412"/>
        </w:rPr>
        <w:t>open</w:t>
      </w:r>
      <w:r>
        <w:rPr>
          <w:rFonts w:ascii="Newsreader" w:hAnsi="Newsreader" w:cs="Newsreader"/>
          <w:b w:val="0"/>
          <w:i w:val="0"/>
          <w:color w:val="161412"/>
        </w:rPr>
        <w:t xml:space="preserve">, </w:t>
      </w:r>
      <w:r>
        <w:rPr>
          <w:rFonts w:ascii="Newsreader" w:hAnsi="Newsreader" w:cs="Newsreader"/>
          <w:b w:val="0"/>
          <w:i/>
          <w:color w:val="161412"/>
        </w:rPr>
        <w:t>close</w:t>
      </w:r>
      <w:r>
        <w:rPr>
          <w:rFonts w:ascii="Newsreader" w:hAnsi="Newsreader" w:cs="Newsreader"/>
          <w:b w:val="0"/>
          <w:i w:val="0"/>
          <w:color w:val="161412"/>
        </w:rPr>
        <w:t xml:space="preserve">, </w:t>
      </w:r>
      <w:r>
        <w:rPr>
          <w:rFonts w:ascii="Newsreader" w:hAnsi="Newsreader" w:cs="Newsreader"/>
          <w:b w:val="0"/>
          <w:i/>
          <w:color w:val="161412"/>
        </w:rPr>
        <w:t>expand</w:t>
      </w:r>
      <w:r>
        <w:rPr>
          <w:rFonts w:ascii="Newsreader" w:hAnsi="Newsreader" w:cs="Newsreader"/>
          <w:b w:val="0"/>
          <w:i w:val="0"/>
          <w:color w:val="161412"/>
        </w:rPr>
        <w:t xml:space="preserve">, </w:t>
      </w:r>
      <w:r>
        <w:rPr>
          <w:rFonts w:ascii="Newsreader" w:hAnsi="Newsreader" w:cs="Newsreader"/>
          <w:b w:val="0"/>
          <w:i/>
          <w:color w:val="161412"/>
        </w:rPr>
        <w:t>collapse</w:t>
      </w:r>
      <w:r>
        <w:rPr>
          <w:rFonts w:ascii="Newsreader" w:hAnsi="Newsreader" w:cs="Newsreader"/>
          <w:b w:val="0"/>
          <w:i w:val="0"/>
          <w:color w:val="161412"/>
        </w:rPr>
        <w:t xml:space="preserve">, </w:t>
      </w:r>
      <w:r>
        <w:rPr>
          <w:rFonts w:ascii="Newsreader" w:hAnsi="Newsreader" w:cs="Newsreader"/>
          <w:b w:val="0"/>
          <w:i/>
          <w:color w:val="161412"/>
        </w:rPr>
        <w:t>reveal</w:t>
      </w:r>
      <w:r>
        <w:rPr>
          <w:rFonts w:ascii="Newsreader" w:hAnsi="Newsreader" w:cs="Newsreader"/>
          <w:b w:val="0"/>
          <w:i w:val="0"/>
          <w:color w:val="161412"/>
        </w:rPr>
        <w:t xml:space="preserve">, </w:t>
      </w:r>
      <w:r>
        <w:rPr>
          <w:rFonts w:ascii="Newsreader" w:hAnsi="Newsreader" w:cs="Newsreader"/>
          <w:b w:val="0"/>
          <w:i/>
          <w:color w:val="161412"/>
        </w:rPr>
        <w:t>hide</w:t>
      </w:r>
      <w:r>
        <w:rPr>
          <w:rFonts w:ascii="Newsreader" w:hAnsi="Newsreader" w:cs="Newsreader"/>
          <w:b w:val="0"/>
          <w:i w:val="0"/>
          <w:color w:val="161412"/>
        </w:rPr>
        <w:t>. emerge no dice todavía «esto es bueno», «esto es malo», «esto es urgente» ni «esto se perdió».</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 xml:space="preserve">Algo entra en el campo perceptivo; algo sale del campo perceptivo.</w:t>
      </w:r>
    </w:p>
    <w:p>
      <w:pPr>
        <w:spacing w:before="320" w:after="40"/>
      </w:pPr>
      <w:r>
        <w:rPr>
          <w:rFonts w:ascii="IBM Plex Sans" w:hAnsi="IBM Plex Sans" w:cs="IBM Plex Sans"/>
          <w:b/>
          <w:color w:val="1F3A5F"/>
          <w:sz w:val="18"/>
        </w:rPr>
        <w:t>§ 2</w:t>
      </w:r>
    </w:p>
    <w:p>
      <w:pPr>
        <w:spacing w:after="160" w:line="240" w:lineRule="auto"/>
      </w:pPr>
      <w:r>
        <w:rPr>
          <w:rFonts w:ascii="Newsreader" w:hAnsi="Newsreader" w:cs="Newsreader"/>
          <w:color w:val="161412"/>
          <w:sz w:val="38"/>
        </w:rPr>
        <w:t>Qué no es emerge</w:t>
      </w:r>
    </w:p>
    <w:p>
      <w:pPr>
        <w:spacing w:after="120" w:line="320" w:lineRule="auto"/>
        <w:jc w:val="both"/>
      </w:pPr>
      <w:r>
        <w:rPr>
          <w:rFonts w:ascii="Newsreader" w:hAnsi="Newsreader" w:cs="Newsreader"/>
          <w:b w:val="0"/>
          <w:i w:val="0"/>
          <w:color w:val="161412"/>
        </w:rPr>
        <w:t>Cada frontera deja fuera una confusión frecuente:</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emerge no es signal.</w:t>
      </w:r>
      <w:r>
        <w:rPr>
          <w:rFonts w:ascii="Newsreader" w:hAnsi="Newsreader" w:cs="Newsreader"/>
          <w:b w:val="0"/>
          <w:i w:val="0"/>
          <w:color w:val="161412"/>
        </w:rPr>
        <w:t xml:space="preserve"> emerge.open ≠ signal.warn: algo puede aparecer sin reclamar atención urgente. Si lo que aparece contiene una advertencia, hay composición —emerge.open seguido de signal.warn + risk—: emerge organiza presencia; signal reclama atención.</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emerge no es shift.</w:t>
      </w:r>
      <w:r>
        <w:rPr>
          <w:rFonts w:ascii="Newsreader" w:hAnsi="Newsreader" w:cs="Newsreader"/>
          <w:b w:val="0"/>
          <w:i w:val="0"/>
          <w:color w:val="161412"/>
        </w:rPr>
        <w:t xml:space="preserve"> emerge.open ≠ shift.enter-mode: un elemento puede aparecer sin cambiar el contexto.</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emerge no es commit.</w:t>
      </w:r>
      <w:r>
        <w:rPr>
          <w:rFonts w:ascii="Newsreader" w:hAnsi="Newsreader" w:cs="Newsreader"/>
          <w:b w:val="0"/>
          <w:i w:val="0"/>
          <w:color w:val="161412"/>
        </w:rPr>
        <w:t xml:space="preserve"> emerge.dismiss ≠ commit.delete + loss: cerrar un panel no es perder un recurso.</w:t>
      </w:r>
    </w:p>
    <w:p>
      <w:pPr>
        <w:spacing w:before="320" w:after="40"/>
      </w:pPr>
      <w:r>
        <w:rPr>
          <w:rFonts w:ascii="IBM Plex Sans" w:hAnsi="IBM Plex Sans" w:cs="IBM Plex Sans"/>
          <w:b/>
          <w:color w:val="1F3A5F"/>
          <w:sz w:val="18"/>
        </w:rPr>
        <w:t>§ 3</w:t>
      </w:r>
    </w:p>
    <w:p>
      <w:pPr>
        <w:spacing w:after="160" w:line="240" w:lineRule="auto"/>
      </w:pPr>
      <w:r>
        <w:rPr>
          <w:rFonts w:ascii="Newsreader" w:hAnsi="Newsreader" w:cs="Newsreader"/>
          <w:color w:val="161412"/>
          <w:sz w:val="38"/>
        </w:rPr>
        <w:t>Fundamento psicoperceptivo: figura/fondo, presencia y organización del campo</w:t>
      </w:r>
    </w:p>
    <w:p>
      <w:pPr>
        <w:spacing w:after="120" w:line="320" w:lineRule="auto"/>
        <w:jc w:val="both"/>
      </w:pPr>
      <w:r>
        <w:rPr>
          <w:rFonts w:ascii="Newsreader" w:hAnsi="Newsreader" w:cs="Newsreader"/>
          <w:b w:val="0"/>
          <w:i w:val="0"/>
          <w:color w:val="161412"/>
        </w:rPr>
        <w:t>emerge se apoya en la organización perceptiva del campo. La percepción no recibe la pantalla como una lista plana de elementos: organiza lo que aparece como figura, fondo, región, objeto, superficie, contorno, relación y prioridad. En esa organización, la aparición de una nueva figura modifica el campo perceptivo.</w:t>
      </w:r>
    </w:p>
    <w:p>
      <w:pPr>
        <w:spacing w:after="120" w:line="320" w:lineRule="auto"/>
        <w:jc w:val="both"/>
      </w:pPr>
      <w:r>
        <w:rPr>
          <w:rFonts w:ascii="Newsreader" w:hAnsi="Newsreader" w:cs="Newsreader"/>
          <w:b w:val="0"/>
          <w:i w:val="0"/>
          <w:color w:val="161412"/>
        </w:rPr>
        <w:t>Un tooltip que aparece junto a un término no solo añade un rectángulo: convierte una información auxiliar en figura local. Un dropdown que se abre no solo añade opciones: revela una región dependiente de un control. Un accordion que se expande no solo aumenta la altura de una sección: convierte contenido oculto en parte del campo procesable. emerge suele ser transicional: reorganiza la presencia para que algo pueda verse, leerse, elegirse o evaluarse.</w:t>
      </w:r>
    </w:p>
    <w:p>
      <w:pPr>
        <w:spacing w:before="320" w:after="40"/>
      </w:pPr>
      <w:r>
        <w:rPr>
          <w:rFonts w:ascii="IBM Plex Sans" w:hAnsi="IBM Plex Sans" w:cs="IBM Plex Sans"/>
          <w:b/>
          <w:color w:val="1F3A5F"/>
          <w:sz w:val="18"/>
        </w:rPr>
        <w:t>§ 4</w:t>
      </w:r>
    </w:p>
    <w:p>
      <w:pPr>
        <w:spacing w:after="160" w:line="240" w:lineRule="auto"/>
      </w:pPr>
      <w:r>
        <w:rPr>
          <w:rFonts w:ascii="Newsreader" w:hAnsi="Newsreader" w:cs="Newsreader"/>
          <w:color w:val="161412"/>
          <w:sz w:val="38"/>
        </w:rPr>
        <w:t>La pregunta perceptiva</w:t>
      </w:r>
    </w:p>
    <w:p>
      <w:pPr>
        <w:spacing w:after="120" w:line="320" w:lineRule="auto"/>
        <w:jc w:val="both"/>
      </w:pPr>
      <w:r>
        <w:rPr>
          <w:rFonts w:ascii="Newsreader" w:hAnsi="Newsreader" w:cs="Newsreader"/>
          <w:b w:val="0"/>
          <w:i w:val="0"/>
          <w:color w:val="161412"/>
        </w:rPr>
        <w:t>emerge responde a: ¿qué acaba de entrar o salir del campo? Y arrastra las preguntas que la acompañan: ¿de dónde viene?, ¿a qué pertenece?, ¿puedo interactuar con ello?, ¿es temporal o persistente?, ¿se ha ocultado o se ha perdido?</w:t>
      </w:r>
    </w:p>
    <w:p>
      <w:pPr>
        <w:spacing w:before="320" w:after="40"/>
      </w:pPr>
      <w:r>
        <w:rPr>
          <w:rFonts w:ascii="IBM Plex Sans" w:hAnsi="IBM Plex Sans" w:cs="IBM Plex Sans"/>
          <w:b/>
          <w:color w:val="1F3A5F"/>
          <w:sz w:val="18"/>
        </w:rPr>
        <w:t>§ 5</w:t>
      </w:r>
    </w:p>
    <w:p>
      <w:pPr>
        <w:spacing w:after="160" w:line="240" w:lineRule="auto"/>
      </w:pPr>
      <w:r>
        <w:rPr>
          <w:rFonts w:ascii="Newsreader" w:hAnsi="Newsreader" w:cs="Newsreader"/>
          <w:color w:val="161412"/>
          <w:sz w:val="38"/>
        </w:rPr>
        <w:t>Verbos de emerge</w:t>
      </w:r>
    </w:p>
    <w:p>
      <w:pPr>
        <w:spacing w:after="120" w:line="320" w:lineRule="auto"/>
        <w:jc w:val="both"/>
      </w:pPr>
      <w:r>
        <w:rPr>
          <w:rFonts w:ascii="Newsreader" w:hAnsi="Newsreader" w:cs="Newsreader"/>
          <w:b w:val="0"/>
          <w:i w:val="0"/>
          <w:color w:val="161412"/>
        </w:rPr>
        <w:t>Los verbos de emerge nombran el movimiento de entrada o salida del campo perceptivo:</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emerge.open / emerge.close</w:t>
      </w:r>
      <w:r>
        <w:rPr>
          <w:rFonts w:ascii="Newsreader" w:hAnsi="Newsreader" w:cs="Newsreader"/>
          <w:b w:val="0"/>
          <w:i w:val="0"/>
          <w:color w:val="161412"/>
        </w:rPr>
        <w:t xml:space="preserve"> — algo se abre o se cierra con marco propio: menú, popover, panel.</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emerge.expand / emerge.collapse</w:t>
      </w:r>
      <w:r>
        <w:rPr>
          <w:rFonts w:ascii="Newsreader" w:hAnsi="Newsreader" w:cs="Newsreader"/>
          <w:b w:val="0"/>
          <w:i w:val="0"/>
          <w:color w:val="161412"/>
        </w:rPr>
        <w:t xml:space="preserve"> — algo contenido se despliega o se contrae en su propio sitio: accordion, sección expandible.</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emerge.present / emerge.dismiss</w:t>
      </w:r>
      <w:r>
        <w:rPr>
          <w:rFonts w:ascii="Newsreader" w:hAnsi="Newsreader" w:cs="Newsreader"/>
          <w:b w:val="0"/>
          <w:i w:val="0"/>
          <w:color w:val="161412"/>
        </w:rPr>
        <w:t xml:space="preserve"> — el sistema ofrece algo, o el usuario lo despide: barra de deshacer, sugerencia, tarjeta auxiliar.</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emerge.reveal / emerge.hide</w:t>
      </w:r>
      <w:r>
        <w:rPr>
          <w:rFonts w:ascii="Newsreader" w:hAnsi="Newsreader" w:cs="Newsreader"/>
          <w:b w:val="0"/>
          <w:i w:val="0"/>
          <w:color w:val="161412"/>
        </w:rPr>
        <w:t xml:space="preserve"> — algo oculto se hace visible, o se aparta de la vista sin dejar de existir.</w:t>
      </w:r>
    </w:p>
    <w:p>
      <w:pPr>
        <w:spacing w:after="120" w:line="320" w:lineRule="auto"/>
        <w:jc w:val="both"/>
      </w:pPr>
      <w:r>
        <w:rPr>
          <w:rFonts w:ascii="Newsreader" w:hAnsi="Newsreader" w:cs="Newsreader"/>
          <w:b w:val="0"/>
          <w:i w:val="0"/>
          <w:color w:val="161412"/>
        </w:rPr>
        <w:t>El verbo nombra qué ocurrió. El tipo, en la sección siguiente, nombra cómo se organiza perceptivamente esa aparición o retirada.</w:t>
      </w:r>
    </w:p>
    <w:p>
      <w:pPr>
        <w:spacing w:before="320" w:after="40"/>
      </w:pPr>
      <w:r>
        <w:rPr>
          <w:rFonts w:ascii="IBM Plex Sans" w:hAnsi="IBM Plex Sans" w:cs="IBM Plex Sans"/>
          <w:b/>
          <w:color w:val="1F3A5F"/>
          <w:sz w:val="18"/>
        </w:rPr>
        <w:t>§ 6</w:t>
      </w:r>
    </w:p>
    <w:p>
      <w:pPr>
        <w:spacing w:after="160" w:line="240" w:lineRule="auto"/>
      </w:pPr>
      <w:r>
        <w:rPr>
          <w:rFonts w:ascii="Newsreader" w:hAnsi="Newsreader" w:cs="Newsreader"/>
          <w:color w:val="161412"/>
          <w:sz w:val="38"/>
        </w:rPr>
        <w:t>Tipos de emerge</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Aparición anclada</w:t>
      </w:r>
      <w:r>
        <w:rPr>
          <w:rFonts w:ascii="Newsreader" w:hAnsi="Newsreader" w:cs="Newsreader"/>
          <w:b w:val="0"/>
          <w:i w:val="0"/>
          <w:color w:val="161412"/>
        </w:rPr>
        <w:t xml:space="preserve"> — emerge.open: dropdown, tooltip, popover. Lectura: «esto viene de aquí».</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Expansión interna</w:t>
      </w:r>
      <w:r>
        <w:rPr>
          <w:rFonts w:ascii="Newsreader" w:hAnsi="Newsreader" w:cs="Newsreader"/>
          <w:b w:val="0"/>
          <w:i w:val="0"/>
          <w:color w:val="161412"/>
        </w:rPr>
        <w:t xml:space="preserve"> — emerge.expand: accordion, details, sección desplegable. Lectura: «esto estaba contenido aquí».</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Retirada reversible</w:t>
      </w:r>
      <w:r>
        <w:rPr>
          <w:rFonts w:ascii="Newsreader" w:hAnsi="Newsreader" w:cs="Newsreader"/>
          <w:b w:val="0"/>
          <w:i w:val="0"/>
          <w:color w:val="161412"/>
        </w:rPr>
        <w:t xml:space="preserve"> — emerge.dismiss, emerge.close, emerge.hide. Lectura: «se fue de la vista, pero no se perdió».</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Aparición auxiliar</w:t>
      </w:r>
      <w:r>
        <w:rPr>
          <w:rFonts w:ascii="Newsreader" w:hAnsi="Newsreader" w:cs="Newsreader"/>
          <w:b w:val="0"/>
          <w:i w:val="0"/>
          <w:color w:val="161412"/>
        </w:rPr>
        <w:t xml:space="preserve"> — emerge.present: la barra de deshacer tras commit.delete + loss es el caso canónico.</w:t>
      </w:r>
    </w:p>
    <w:p>
      <w:pPr>
        <w:spacing w:before="320" w:after="40"/>
      </w:pPr>
      <w:r>
        <w:rPr>
          <w:rFonts w:ascii="IBM Plex Sans" w:hAnsi="IBM Plex Sans" w:cs="IBM Plex Sans"/>
          <w:b/>
          <w:color w:val="1F3A5F"/>
          <w:sz w:val="18"/>
        </w:rPr>
        <w:t>§ 7</w:t>
      </w:r>
    </w:p>
    <w:p>
      <w:pPr>
        <w:spacing w:after="160" w:line="240" w:lineRule="auto"/>
      </w:pPr>
      <w:r>
        <w:rPr>
          <w:rFonts w:ascii="Newsreader" w:hAnsi="Newsreader" w:cs="Newsreader"/>
          <w:color w:val="161412"/>
          <w:sz w:val="38"/>
        </w:rPr>
        <w:t>Canales e intent</w:t>
      </w:r>
    </w:p>
    <w:p>
      <w:pPr>
        <w:spacing w:after="120" w:line="320" w:lineRule="auto"/>
        <w:jc w:val="both"/>
      </w:pPr>
      <w:r>
        <w:rPr>
          <w:rFonts w:ascii="Newsreader" w:hAnsi="Newsreader" w:cs="Newsreader"/>
          <w:b w:val="0"/>
          <w:i w:val="0"/>
          <w:color w:val="161412"/>
        </w:rPr>
        <w:t>En canales, la regla de emerge es de tono: debe ser legible, no necesariamente saliente. Presencia, motion anclado al origen y profundidad hacen el trabajo; el color es secundario y el sonido, normalmente, sobra.</w:t>
      </w:r>
    </w:p>
    <w:p>
      <w:pPr>
        <w:spacing w:after="120" w:line="320" w:lineRule="auto"/>
        <w:jc w:val="both"/>
      </w:pPr>
      <w:r>
        <w:rPr>
          <w:rFonts w:ascii="Newsreader" w:hAnsi="Newsreader" w:cs="Newsreader"/>
          <w:b w:val="0"/>
          <w:i w:val="0"/>
          <w:color w:val="161412"/>
        </w:rPr>
        <w:t xml:space="preserve">Con el intent, la regla es estructural: emerge normalmente no lo acepta, porque su función es introducir presencia; lo evaluable será lo que aparece dentro o lo que ocurre después. Incorrecto: emerge.open + threat. Más preciso: emerge.open seguido de signal.warn + threat —la amenaza está en la advertencia, no en el hecho de abrir—. Con una excepción estrecha, desarrollada en el Capítulo 9: la aparición cuya única razón de ocurrir es advertir. Si al quitarla la advertencia no sobrevive en ningún otro sitio, la aparición puede portar el tono — declarándolo.</w:t>
      </w:r>
    </w:p>
    <w:p>
      <w:pPr>
        <w:spacing w:before="320" w:after="40"/>
      </w:pPr>
      <w:r>
        <w:rPr>
          <w:rFonts w:ascii="IBM Plex Sans" w:hAnsi="IBM Plex Sans" w:cs="IBM Plex Sans"/>
          <w:b/>
          <w:color w:val="1F3A5F"/>
          <w:sz w:val="18"/>
        </w:rPr>
        <w:t>§ 8</w:t>
      </w:r>
    </w:p>
    <w:p>
      <w:pPr>
        <w:spacing w:after="160" w:line="240" w:lineRule="auto"/>
      </w:pPr>
      <w:r>
        <w:rPr>
          <w:rFonts w:ascii="Newsreader" w:hAnsi="Newsreader" w:cs="Newsreader"/>
          <w:color w:val="161412"/>
          <w:sz w:val="38"/>
        </w:rPr>
        <w:t>Las fronteras: signal, shift y commit</w:t>
      </w:r>
    </w:p>
    <w:p>
      <w:pPr>
        <w:spacing w:after="120" w:line="320" w:lineRule="auto"/>
        <w:jc w:val="both"/>
      </w:pPr>
      <w:r>
        <w:rPr>
          <w:rFonts w:ascii="Newsreader" w:hAnsi="Newsreader" w:cs="Newsreader"/>
          <w:b w:val="0"/>
          <w:i w:val="0"/>
          <w:color w:val="161412"/>
        </w:rPr>
        <w:t>Tres pares de contraste delimitan la familia. Frente a signal: el tooltip es emerge.present; la alerta inline es signal.warn + risk; y su composición —emerge.present con signal.warn + risk dentro— se lee «algo aparece, y ese algo contiene una advertencia». Frente a shift: el dropdown es emerge.open y el modal es shift.enter-mode; el primero introduce presencia local, el segundo cambia el régimen operativo. Y frente a commit: emerge.dismiss significa «se retiró de la vista»; commit.delete + loss significa «dejó de estar disponible». No es lo mismo ocultar que perder, y la semántica debe distinguir retirada, ocultación, colapso y pérdida.</w:t>
      </w:r>
    </w:p>
    <w:p>
      <w:pPr>
        <w:spacing w:before="320" w:after="40"/>
      </w:pPr>
      <w:r>
        <w:rPr>
          <w:rFonts w:ascii="IBM Plex Sans" w:hAnsi="IBM Plex Sans" w:cs="IBM Plex Sans"/>
          <w:b/>
          <w:color w:val="1F3A5F"/>
          <w:sz w:val="18"/>
        </w:rPr>
        <w:t>§ 9</w:t>
      </w:r>
    </w:p>
    <w:p>
      <w:pPr>
        <w:spacing w:after="160" w:line="240" w:lineRule="auto"/>
      </w:pPr>
      <w:r>
        <w:rPr>
          <w:rFonts w:ascii="Newsreader" w:hAnsi="Newsreader" w:cs="Newsreader"/>
          <w:color w:val="161412"/>
          <w:sz w:val="38"/>
        </w:rPr>
        <w:t>Ejemplos prácticos</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Dropdown</w:t>
      </w:r>
      <w:r>
        <w:rPr>
          <w:rFonts w:ascii="Newsreader" w:hAnsi="Newsreader" w:cs="Newsreader"/>
          <w:b w:val="0"/>
          <w:i w:val="0"/>
          <w:color w:val="161412"/>
        </w:rPr>
        <w:t xml:space="preserve"> → contact.press · emerge.open · commit.select + affirm · emerge.close</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Tooltip</w:t>
      </w:r>
      <w:r>
        <w:rPr>
          <w:rFonts w:ascii="Newsreader" w:hAnsi="Newsreader" w:cs="Newsreader"/>
          <w:b w:val="0"/>
          <w:i w:val="0"/>
          <w:color w:val="161412"/>
        </w:rPr>
        <w:t xml:space="preserve"> → contact.focus · emerge.present · emerge.dismiss</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Accordion</w:t>
      </w:r>
      <w:r>
        <w:rPr>
          <w:rFonts w:ascii="Newsreader" w:hAnsi="Newsreader" w:cs="Newsreader"/>
          <w:b w:val="0"/>
          <w:i w:val="0"/>
          <w:color w:val="161412"/>
        </w:rPr>
        <w:t xml:space="preserve"> → contact.press · emerge.expand · emerge.collapse</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Eliminación con undo</w:t>
      </w:r>
      <w:r>
        <w:rPr>
          <w:rFonts w:ascii="Newsreader" w:hAnsi="Newsreader" w:cs="Newsreader"/>
          <w:b w:val="0"/>
          <w:i w:val="0"/>
          <w:color w:val="161412"/>
        </w:rPr>
        <w:t xml:space="preserve"> → signal.warn + threat · commit.delete + loss · emerge.present (undo)</w:t>
      </w:r>
    </w:p>
    <w:p>
      <w:pPr>
        <w:spacing w:before="320" w:after="40"/>
      </w:pPr>
      <w:r>
        <w:rPr>
          <w:rFonts w:ascii="IBM Plex Sans" w:hAnsi="IBM Plex Sans" w:cs="IBM Plex Sans"/>
          <w:b/>
          <w:color w:val="1F3A5F"/>
          <w:sz w:val="18"/>
        </w:rPr>
        <w:t>§ 10</w:t>
      </w:r>
    </w:p>
    <w:p>
      <w:pPr>
        <w:spacing w:after="160" w:line="240" w:lineRule="auto"/>
      </w:pPr>
      <w:r>
        <w:rPr>
          <w:rFonts w:ascii="Newsreader" w:hAnsi="Newsreader" w:cs="Newsreader"/>
          <w:color w:val="161412"/>
          <w:sz w:val="38"/>
        </w:rPr>
        <w:t>Accesibilidad</w:t>
      </w:r>
    </w:p>
    <w:p>
      <w:pPr>
        <w:spacing w:after="120" w:line="320" w:lineRule="auto"/>
        <w:jc w:val="both"/>
      </w:pPr>
      <w:r>
        <w:rPr>
          <w:rFonts w:ascii="Newsreader" w:hAnsi="Newsreader" w:cs="Newsreader"/>
          <w:b w:val="0"/>
          <w:i w:val="0"/>
          <w:color w:val="161412"/>
        </w:rPr>
        <w:t>emerge tiene riesgos importantes, y todos comparten la misma raíz: que algo aparezca visualmente pero no exista para una parte de los usuarios.</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Si algo emerge visualmente, también debe emerger operativamente.</w:t>
      </w:r>
    </w:p>
    <w:p>
      <w:pPr>
        <w:spacing w:before="320" w:after="40"/>
      </w:pPr>
      <w:r>
        <w:rPr>
          <w:rFonts w:ascii="IBM Plex Sans" w:hAnsi="IBM Plex Sans" w:cs="IBM Plex Sans"/>
          <w:b/>
          <w:color w:val="1F3A5F"/>
          <w:sz w:val="18"/>
        </w:rPr>
        <w:t>§ 11</w:t>
      </w:r>
    </w:p>
    <w:p>
      <w:pPr>
        <w:spacing w:after="160" w:line="240" w:lineRule="auto"/>
      </w:pPr>
      <w:r>
        <w:rPr>
          <w:rFonts w:ascii="Newsreader" w:hAnsi="Newsreader" w:cs="Newsreader"/>
          <w:color w:val="161412"/>
          <w:sz w:val="38"/>
        </w:rPr>
        <w:t>Antipatrones</w:t>
      </w:r>
    </w:p>
    <w:p>
      <w:pPr>
        <w:spacing w:after="120" w:line="320" w:lineRule="auto"/>
        <w:jc w:val="both"/>
      </w:pPr>
      <w:r>
        <w:rPr>
          <w:rFonts w:ascii="Newsreader" w:hAnsi="Newsreader" w:cs="Newsreader"/>
          <w:b/>
          <w:i w:val="0"/>
          <w:color w:val="161412"/>
        </w:rPr>
        <w:t xml:space="preserve">Aparición con amenaza.</w:t>
      </w:r>
      <w:r>
        <w:rPr>
          <w:rFonts w:ascii="Newsreader" w:hAnsi="Newsreader" w:cs="Newsreader"/>
          <w:b w:val="0"/>
          <w:i w:val="0"/>
          <w:color w:val="161412"/>
        </w:rPr>
        <w:t xml:space="preserve"> emerge.open + threat: cargar el intent en la apertura. Abrirse no es peligroso; lo evaluable está dentro. La forma correcta: emerge.open → signal.warn + threat — salvo que la aparición sea, ella misma, la única advertencia (la excepción declarada del Capítulo 9).</w:t>
      </w:r>
    </w:p>
    <w:p>
      <w:pPr>
        <w:spacing w:after="120" w:line="320" w:lineRule="auto"/>
        <w:jc w:val="both"/>
      </w:pPr>
      <w:r>
        <w:rPr>
          <w:rFonts w:ascii="Newsreader" w:hAnsi="Newsreader" w:cs="Newsreader"/>
          <w:b/>
          <w:i w:val="0"/>
          <w:color w:val="161412"/>
        </w:rPr>
        <w:t>Emergencia a medias.</w:t>
      </w:r>
      <w:r>
        <w:rPr>
          <w:rFonts w:ascii="Newsreader" w:hAnsi="Newsreader" w:cs="Newsreader"/>
          <w:b w:val="0"/>
          <w:i w:val="0"/>
          <w:color w:val="161412"/>
        </w:rPr>
        <w:t xml:space="preserve"> Algo aparece visualmente pero no operativamente: no recibe foco, no se anuncia, no entra en el orden de navegación. Para una parte de los usuarios, no ha aparecido. Si algo emerge visualmente, emerge operativamente.</w:t>
      </w:r>
    </w:p>
    <w:p>
      <w:pPr>
        <w:spacing w:after="120" w:line="320" w:lineRule="auto"/>
        <w:jc w:val="both"/>
      </w:pPr>
      <w:r>
        <w:rPr>
          <w:rFonts w:ascii="Newsreader" w:hAnsi="Newsreader" w:cs="Newsreader"/>
          <w:b/>
          <w:i w:val="0"/>
          <w:color w:val="161412"/>
        </w:rPr>
        <w:t>Retirada que se lleva el contexto.</w:t>
      </w:r>
      <w:r>
        <w:rPr>
          <w:rFonts w:ascii="Newsreader" w:hAnsi="Newsreader" w:cs="Newsreader"/>
          <w:b w:val="0"/>
          <w:i w:val="0"/>
          <w:color w:val="161412"/>
        </w:rPr>
        <w:t xml:space="preserve"> Lo que se cierra desaparece con información o estado que el usuario aún necesitaba, sin dejar huella. La retirada es reversible o deja constancia de lo retirado.</w:t>
      </w:r>
    </w:p>
    <w:p>
      <w:pPr>
        <w:spacing w:before="320" w:after="40"/>
      </w:pPr>
      <w:r>
        <w:rPr>
          <w:rFonts w:ascii="IBM Plex Sans" w:hAnsi="IBM Plex Sans" w:cs="IBM Plex Sans"/>
          <w:b/>
          <w:color w:val="1F3A5F"/>
          <w:sz w:val="18"/>
        </w:rPr>
        <w:t>§ 12</w:t>
      </w:r>
    </w:p>
    <w:p>
      <w:pPr>
        <w:spacing w:after="160" w:line="240" w:lineRule="auto"/>
      </w:pPr>
      <w:r>
        <w:rPr>
          <w:rFonts w:ascii="Newsreader" w:hAnsi="Newsreader" w:cs="Newsreader"/>
          <w:color w:val="161412"/>
          <w:sz w:val="38"/>
        </w:rPr>
        <w:t>Síntesis</w:t>
      </w:r>
    </w:p>
    <w:p>
      <w:pPr>
        <w:spacing w:after="120" w:line="320" w:lineRule="auto"/>
        <w:jc w:val="both"/>
      </w:pPr>
      <w:r>
        <w:rPr>
          <w:rFonts w:ascii="Newsreader" w:hAnsi="Newsreader" w:cs="Newsreader"/>
          <w:b w:val="0"/>
          <w:i w:val="0"/>
          <w:color w:val="161412"/>
        </w:rPr>
        <w:t>emerge es la familia de la presencia: comunica qué ha pasado a estar disponible y qué se ha retirado de la vista. Su tesis es de límites: emerge no dice qué significa lo que aparece; dice que algo ha pasado a estar presente.</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La aparición debe ser proporcional al régimen que introduce.</w:t>
      </w:r>
    </w:p>
    <w:p>
      <w:pPr>
        <w:spacing w:after="200" w:before="40"/>
      </w:pPr>
      <w:r>
        <w:rPr>
          <w:rFonts w:ascii="IBM Plex Sans" w:hAnsi="IBM Plex Sans" w:cs="IBM Plex Sans"/>
          <w:b/>
          <w:color w:val="1F3A5F"/>
          <w:sz w:val="17"/>
        </w:rPr>
        <w:t xml:space="preserve">TABLA 26.1   </w:t>
      </w:r>
      <w:r>
        <w:rPr>
          <w:rFonts w:ascii="IBM Plex Sans" w:hAnsi="IBM Plex Sans" w:cs="IBM Plex Sans"/>
          <w:color w:val="3A352F"/>
          <w:sz w:val="18"/>
        </w:rPr>
        <w:t xml:space="preserve">Verbos de emerge y su lectura</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Verbo</w:t>
            </w:r>
          </w:p>
        </w:tc>
        <w:tc>
          <w:tcPr>
            <w:tcW w:type="dxa" w:w="4158"/>
            <w:shd w:val="clear" w:color="auto" w:fill="EAE4D8"/>
          </w:tcPr>
          <w:p>
            <w:pPr>
              <w:spacing w:after="40"/>
            </w:pPr>
            <w:r>
              <w:rPr>
                <w:sz w:val="17"/>
              </w:rPr>
            </w:r>
            <w:r>
              <w:rPr>
                <w:rFonts w:ascii="IBM Plex Sans" w:hAnsi="IBM Plex Sans" w:cs="IBM Plex Sans"/>
                <w:b/>
                <w:i w:val="0"/>
                <w:color w:val="1F3A5F"/>
                <w:sz w:val="17"/>
              </w:rPr>
              <w:t>Lectura</w:t>
            </w:r>
          </w:p>
        </w:tc>
      </w:tr>
      <w:tr>
        <w:tc>
          <w:tcPr>
            <w:tcW w:type="dxa" w:w="4158"/>
          </w:tcPr>
          <w:p>
            <w:pPr>
              <w:spacing w:after="40"/>
            </w:pPr>
            <w:r>
              <w:rPr>
                <w:sz w:val="17"/>
              </w:rPr>
            </w:r>
            <w:r>
              <w:rPr>
                <w:rFonts w:ascii="IBM Plex Sans" w:hAnsi="IBM Plex Sans" w:cs="IBM Plex Sans"/>
                <w:b w:val="0"/>
                <w:i w:val="0"/>
                <w:color w:val="161412"/>
                <w:sz w:val="17"/>
              </w:rPr>
              <w:t>present</w:t>
            </w:r>
          </w:p>
        </w:tc>
        <w:tc>
          <w:tcPr>
            <w:tcW w:type="dxa" w:w="4158"/>
          </w:tcPr>
          <w:p>
            <w:pPr>
              <w:spacing w:after="40"/>
            </w:pPr>
            <w:r>
              <w:rPr>
                <w:sz w:val="17"/>
              </w:rPr>
            </w:r>
            <w:r>
              <w:rPr>
                <w:rFonts w:ascii="IBM Plex Sans" w:hAnsi="IBM Plex Sans" w:cs="IBM Plex Sans"/>
                <w:b w:val="0"/>
                <w:i w:val="0"/>
                <w:color w:val="161412"/>
                <w:sz w:val="17"/>
              </w:rPr>
              <w:t>algo se muestra</w:t>
            </w:r>
          </w:p>
        </w:tc>
      </w:tr>
      <w:tr>
        <w:tc>
          <w:tcPr>
            <w:tcW w:type="dxa" w:w="4158"/>
          </w:tcPr>
          <w:p>
            <w:pPr>
              <w:spacing w:after="40"/>
            </w:pPr>
            <w:r>
              <w:rPr>
                <w:sz w:val="17"/>
              </w:rPr>
            </w:r>
            <w:r>
              <w:rPr>
                <w:rFonts w:ascii="IBM Plex Sans" w:hAnsi="IBM Plex Sans" w:cs="IBM Plex Sans"/>
                <w:b w:val="0"/>
                <w:i w:val="0"/>
                <w:color w:val="161412"/>
                <w:sz w:val="17"/>
              </w:rPr>
              <w:t>dismiss</w:t>
            </w:r>
          </w:p>
        </w:tc>
        <w:tc>
          <w:tcPr>
            <w:tcW w:type="dxa" w:w="4158"/>
          </w:tcPr>
          <w:p>
            <w:pPr>
              <w:spacing w:after="40"/>
            </w:pPr>
            <w:r>
              <w:rPr>
                <w:sz w:val="17"/>
              </w:rPr>
            </w:r>
            <w:r>
              <w:rPr>
                <w:rFonts w:ascii="IBM Plex Sans" w:hAnsi="IBM Plex Sans" w:cs="IBM Plex Sans"/>
                <w:b w:val="0"/>
                <w:i w:val="0"/>
                <w:color w:val="161412"/>
                <w:sz w:val="17"/>
              </w:rPr>
              <w:t>algo se retira de la atención</w:t>
            </w:r>
          </w:p>
        </w:tc>
      </w:tr>
      <w:tr>
        <w:tc>
          <w:tcPr>
            <w:tcW w:type="dxa" w:w="4158"/>
          </w:tcPr>
          <w:p>
            <w:pPr>
              <w:spacing w:after="40"/>
            </w:pPr>
            <w:r>
              <w:rPr>
                <w:sz w:val="17"/>
              </w:rPr>
            </w:r>
            <w:r>
              <w:rPr>
                <w:rFonts w:ascii="IBM Plex Sans" w:hAnsi="IBM Plex Sans" w:cs="IBM Plex Sans"/>
                <w:b w:val="0"/>
                <w:i w:val="0"/>
                <w:color w:val="161412"/>
                <w:sz w:val="17"/>
              </w:rPr>
              <w:t>open</w:t>
            </w:r>
          </w:p>
        </w:tc>
        <w:tc>
          <w:tcPr>
            <w:tcW w:type="dxa" w:w="4158"/>
          </w:tcPr>
          <w:p>
            <w:pPr>
              <w:spacing w:after="40"/>
            </w:pPr>
            <w:r>
              <w:rPr>
                <w:sz w:val="17"/>
              </w:rPr>
            </w:r>
            <w:r>
              <w:rPr>
                <w:rFonts w:ascii="IBM Plex Sans" w:hAnsi="IBM Plex Sans" w:cs="IBM Plex Sans"/>
                <w:b w:val="0"/>
                <w:i w:val="0"/>
                <w:color w:val="161412"/>
                <w:sz w:val="17"/>
              </w:rPr>
              <w:t>una superficie o región se abre</w:t>
            </w:r>
          </w:p>
        </w:tc>
      </w:tr>
      <w:tr>
        <w:tc>
          <w:tcPr>
            <w:tcW w:type="dxa" w:w="4158"/>
          </w:tcPr>
          <w:p>
            <w:pPr>
              <w:spacing w:after="40"/>
            </w:pPr>
            <w:r>
              <w:rPr>
                <w:sz w:val="17"/>
              </w:rPr>
            </w:r>
            <w:r>
              <w:rPr>
                <w:rFonts w:ascii="IBM Plex Sans" w:hAnsi="IBM Plex Sans" w:cs="IBM Plex Sans"/>
                <w:b w:val="0"/>
                <w:i w:val="0"/>
                <w:color w:val="161412"/>
                <w:sz w:val="17"/>
              </w:rPr>
              <w:t>close</w:t>
            </w:r>
          </w:p>
        </w:tc>
        <w:tc>
          <w:tcPr>
            <w:tcW w:type="dxa" w:w="4158"/>
          </w:tcPr>
          <w:p>
            <w:pPr>
              <w:spacing w:after="40"/>
            </w:pPr>
            <w:r>
              <w:rPr>
                <w:sz w:val="17"/>
              </w:rPr>
            </w:r>
            <w:r>
              <w:rPr>
                <w:rFonts w:ascii="IBM Plex Sans" w:hAnsi="IBM Plex Sans" w:cs="IBM Plex Sans"/>
                <w:b w:val="0"/>
                <w:i w:val="0"/>
                <w:color w:val="161412"/>
                <w:sz w:val="17"/>
              </w:rPr>
              <w:t>una superficie o región se cierra</w:t>
            </w:r>
          </w:p>
        </w:tc>
      </w:tr>
      <w:tr>
        <w:tc>
          <w:tcPr>
            <w:tcW w:type="dxa" w:w="4158"/>
          </w:tcPr>
          <w:p>
            <w:pPr>
              <w:spacing w:after="40"/>
            </w:pPr>
            <w:r>
              <w:rPr>
                <w:sz w:val="17"/>
              </w:rPr>
            </w:r>
            <w:r>
              <w:rPr>
                <w:rFonts w:ascii="IBM Plex Sans" w:hAnsi="IBM Plex Sans" w:cs="IBM Plex Sans"/>
                <w:b w:val="0"/>
                <w:i w:val="0"/>
                <w:color w:val="161412"/>
                <w:sz w:val="17"/>
              </w:rPr>
              <w:t>expand</w:t>
            </w:r>
          </w:p>
        </w:tc>
        <w:tc>
          <w:tcPr>
            <w:tcW w:type="dxa" w:w="4158"/>
          </w:tcPr>
          <w:p>
            <w:pPr>
              <w:spacing w:after="40"/>
            </w:pPr>
            <w:r>
              <w:rPr>
                <w:sz w:val="17"/>
              </w:rPr>
            </w:r>
            <w:r>
              <w:rPr>
                <w:rFonts w:ascii="IBM Plex Sans" w:hAnsi="IBM Plex Sans" w:cs="IBM Plex Sans"/>
                <w:b w:val="0"/>
                <w:i w:val="0"/>
                <w:color w:val="161412"/>
                <w:sz w:val="17"/>
              </w:rPr>
              <w:t>una región crece y revela contenido</w:t>
            </w:r>
          </w:p>
        </w:tc>
      </w:tr>
      <w:tr>
        <w:tc>
          <w:tcPr>
            <w:tcW w:type="dxa" w:w="4158"/>
          </w:tcPr>
          <w:p>
            <w:pPr>
              <w:spacing w:after="40"/>
            </w:pPr>
            <w:r>
              <w:rPr>
                <w:sz w:val="17"/>
              </w:rPr>
            </w:r>
            <w:r>
              <w:rPr>
                <w:rFonts w:ascii="IBM Plex Sans" w:hAnsi="IBM Plex Sans" w:cs="IBM Plex Sans"/>
                <w:b w:val="0"/>
                <w:i w:val="0"/>
                <w:color w:val="161412"/>
                <w:sz w:val="17"/>
              </w:rPr>
              <w:t>collapse</w:t>
            </w:r>
          </w:p>
        </w:tc>
        <w:tc>
          <w:tcPr>
            <w:tcW w:type="dxa" w:w="4158"/>
          </w:tcPr>
          <w:p>
            <w:pPr>
              <w:spacing w:after="40"/>
            </w:pPr>
            <w:r>
              <w:rPr>
                <w:sz w:val="17"/>
              </w:rPr>
            </w:r>
            <w:r>
              <w:rPr>
                <w:rFonts w:ascii="IBM Plex Sans" w:hAnsi="IBM Plex Sans" w:cs="IBM Plex Sans"/>
                <w:b w:val="0"/>
                <w:i w:val="0"/>
                <w:color w:val="161412"/>
                <w:sz w:val="17"/>
              </w:rPr>
              <w:t>una región se contrae</w:t>
            </w:r>
          </w:p>
        </w:tc>
      </w:tr>
      <w:tr>
        <w:tc>
          <w:tcPr>
            <w:tcW w:type="dxa" w:w="4158"/>
          </w:tcPr>
          <w:p>
            <w:pPr>
              <w:spacing w:after="40"/>
            </w:pPr>
            <w:r>
              <w:rPr>
                <w:sz w:val="17"/>
              </w:rPr>
            </w:r>
            <w:r>
              <w:rPr>
                <w:rFonts w:ascii="IBM Plex Sans" w:hAnsi="IBM Plex Sans" w:cs="IBM Plex Sans"/>
                <w:b w:val="0"/>
                <w:i w:val="0"/>
                <w:color w:val="161412"/>
                <w:sz w:val="17"/>
              </w:rPr>
              <w:t>reveal</w:t>
            </w:r>
          </w:p>
        </w:tc>
        <w:tc>
          <w:tcPr>
            <w:tcW w:type="dxa" w:w="4158"/>
          </w:tcPr>
          <w:p>
            <w:pPr>
              <w:spacing w:after="40"/>
            </w:pPr>
            <w:r>
              <w:rPr>
                <w:sz w:val="17"/>
              </w:rPr>
            </w:r>
            <w:r>
              <w:rPr>
                <w:rFonts w:ascii="IBM Plex Sans" w:hAnsi="IBM Plex Sans" w:cs="IBM Plex Sans"/>
                <w:b w:val="0"/>
                <w:i w:val="0"/>
                <w:color w:val="161412"/>
                <w:sz w:val="17"/>
              </w:rPr>
              <w:t>algo oculto se hace visible</w:t>
            </w:r>
          </w:p>
        </w:tc>
      </w:tr>
      <w:tr>
        <w:tc>
          <w:tcPr>
            <w:tcW w:type="dxa" w:w="4158"/>
          </w:tcPr>
          <w:p>
            <w:pPr>
              <w:spacing w:after="40"/>
            </w:pPr>
            <w:r>
              <w:rPr>
                <w:sz w:val="17"/>
              </w:rPr>
            </w:r>
            <w:r>
              <w:rPr>
                <w:rFonts w:ascii="IBM Plex Sans" w:hAnsi="IBM Plex Sans" w:cs="IBM Plex Sans"/>
                <w:b w:val="0"/>
                <w:i w:val="0"/>
                <w:color w:val="161412"/>
                <w:sz w:val="17"/>
              </w:rPr>
              <w:t>hide</w:t>
            </w:r>
          </w:p>
        </w:tc>
        <w:tc>
          <w:tcPr>
            <w:tcW w:type="dxa" w:w="4158"/>
          </w:tcPr>
          <w:p>
            <w:pPr>
              <w:spacing w:after="40"/>
            </w:pPr>
            <w:r>
              <w:rPr>
                <w:sz w:val="17"/>
              </w:rPr>
            </w:r>
            <w:r>
              <w:rPr>
                <w:rFonts w:ascii="IBM Plex Sans" w:hAnsi="IBM Plex Sans" w:cs="IBM Plex Sans"/>
                <w:b w:val="0"/>
                <w:i w:val="0"/>
                <w:color w:val="161412"/>
                <w:sz w:val="17"/>
              </w:rPr>
              <w:t>algo sigue existiendo pero deja de verse</w:t>
            </w:r>
          </w:p>
        </w:tc>
      </w:tr>
    </w:tbl>
    <w:p>
      <w:pPr>
        <w:spacing w:after="80"/>
      </w:pPr>
    </w:p>
    <w:p>
      <w:pPr>
        <w:spacing w:after="200" w:before="40"/>
      </w:pPr>
      <w:r>
        <w:rPr>
          <w:rFonts w:ascii="IBM Plex Sans" w:hAnsi="IBM Plex Sans" w:cs="IBM Plex Sans"/>
          <w:b/>
          <w:color w:val="1F3A5F"/>
          <w:sz w:val="17"/>
        </w:rPr>
        <w:t xml:space="preserve">TABLA 26.2   </w:t>
      </w:r>
      <w:r>
        <w:rPr>
          <w:rFonts w:ascii="IBM Plex Sans" w:hAnsi="IBM Plex Sans" w:cs="IBM Plex Sans"/>
          <w:color w:val="3A352F"/>
          <w:sz w:val="18"/>
        </w:rPr>
        <w:t xml:space="preserve">Canales de emerge y su función</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Canal</w:t>
            </w:r>
          </w:p>
        </w:tc>
        <w:tc>
          <w:tcPr>
            <w:tcW w:type="dxa" w:w="4158"/>
            <w:shd w:val="clear" w:color="auto" w:fill="EAE4D8"/>
          </w:tcPr>
          <w:p>
            <w:pPr>
              <w:spacing w:after="40"/>
            </w:pPr>
            <w:r>
              <w:rPr>
                <w:sz w:val="17"/>
              </w:rPr>
            </w:r>
            <w:r>
              <w:rPr>
                <w:rFonts w:ascii="IBM Plex Sans" w:hAnsi="IBM Plex Sans" w:cs="IBM Plex Sans"/>
                <w:b/>
                <w:i w:val="0"/>
                <w:color w:val="1F3A5F"/>
                <w:sz w:val="17"/>
              </w:rPr>
              <w:t>Función</w:t>
            </w:r>
          </w:p>
        </w:tc>
      </w:tr>
      <w:tr>
        <w:tc>
          <w:tcPr>
            <w:tcW w:type="dxa" w:w="4158"/>
          </w:tcPr>
          <w:p>
            <w:pPr>
              <w:spacing w:after="40"/>
            </w:pPr>
            <w:r>
              <w:rPr>
                <w:sz w:val="17"/>
              </w:rPr>
            </w:r>
            <w:r>
              <w:rPr>
                <w:rFonts w:ascii="IBM Plex Sans" w:hAnsi="IBM Plex Sans" w:cs="IBM Plex Sans"/>
                <w:b w:val="0"/>
                <w:i w:val="0"/>
                <w:color w:val="161412"/>
                <w:sz w:val="17"/>
              </w:rPr>
              <w:t>Presencia</w:t>
            </w:r>
          </w:p>
        </w:tc>
        <w:tc>
          <w:tcPr>
            <w:tcW w:type="dxa" w:w="4158"/>
          </w:tcPr>
          <w:p>
            <w:pPr>
              <w:spacing w:after="40"/>
            </w:pPr>
            <w:r>
              <w:rPr>
                <w:sz w:val="17"/>
              </w:rPr>
            </w:r>
            <w:r>
              <w:rPr>
                <w:rFonts w:ascii="IBM Plex Sans" w:hAnsi="IBM Plex Sans" w:cs="IBM Plex Sans"/>
                <w:b w:val="0"/>
                <w:i w:val="0"/>
                <w:color w:val="161412"/>
                <w:sz w:val="17"/>
              </w:rPr>
              <w:t>hacer visible o retirar</w:t>
            </w:r>
          </w:p>
        </w:tc>
      </w:tr>
      <w:tr>
        <w:tc>
          <w:tcPr>
            <w:tcW w:type="dxa" w:w="4158"/>
          </w:tcPr>
          <w:p>
            <w:pPr>
              <w:spacing w:after="40"/>
            </w:pPr>
            <w:r>
              <w:rPr>
                <w:sz w:val="17"/>
              </w:rPr>
            </w:r>
            <w:r>
              <w:rPr>
                <w:rFonts w:ascii="IBM Plex Sans" w:hAnsi="IBM Plex Sans" w:cs="IBM Plex Sans"/>
                <w:b w:val="0"/>
                <w:i w:val="0"/>
                <w:color w:val="161412"/>
                <w:sz w:val="17"/>
              </w:rPr>
              <w:t>Motion</w:t>
            </w:r>
          </w:p>
        </w:tc>
        <w:tc>
          <w:tcPr>
            <w:tcW w:type="dxa" w:w="4158"/>
          </w:tcPr>
          <w:p>
            <w:pPr>
              <w:spacing w:after="40"/>
            </w:pPr>
            <w:r>
              <w:rPr>
                <w:sz w:val="17"/>
              </w:rPr>
            </w:r>
            <w:r>
              <w:rPr>
                <w:rFonts w:ascii="IBM Plex Sans" w:hAnsi="IBM Plex Sans" w:cs="IBM Plex Sans"/>
                <w:b w:val="0"/>
                <w:i w:val="0"/>
                <w:color w:val="161412"/>
                <w:sz w:val="17"/>
              </w:rPr>
              <w:t>mostrar origen, entrada, salida</w:t>
            </w:r>
          </w:p>
        </w:tc>
      </w:tr>
      <w:tr>
        <w:tc>
          <w:tcPr>
            <w:tcW w:type="dxa" w:w="4158"/>
          </w:tcPr>
          <w:p>
            <w:pPr>
              <w:spacing w:after="40"/>
            </w:pPr>
            <w:r>
              <w:rPr>
                <w:sz w:val="17"/>
              </w:rPr>
            </w:r>
            <w:r>
              <w:rPr>
                <w:rFonts w:ascii="IBM Plex Sans" w:hAnsi="IBM Plex Sans" w:cs="IBM Plex Sans"/>
                <w:b w:val="0"/>
                <w:i w:val="0"/>
                <w:color w:val="161412"/>
                <w:sz w:val="17"/>
              </w:rPr>
              <w:t>Profundidad</w:t>
            </w:r>
          </w:p>
        </w:tc>
        <w:tc>
          <w:tcPr>
            <w:tcW w:type="dxa" w:w="4158"/>
          </w:tcPr>
          <w:p>
            <w:pPr>
              <w:spacing w:after="40"/>
            </w:pPr>
            <w:r>
              <w:rPr>
                <w:sz w:val="17"/>
              </w:rPr>
            </w:r>
            <w:r>
              <w:rPr>
                <w:rFonts w:ascii="IBM Plex Sans" w:hAnsi="IBM Plex Sans" w:cs="IBM Plex Sans"/>
                <w:b w:val="0"/>
                <w:i w:val="0"/>
                <w:color w:val="161412"/>
                <w:sz w:val="17"/>
              </w:rPr>
              <w:t>indicar plano flotante o dependencia</w:t>
            </w:r>
          </w:p>
        </w:tc>
      </w:tr>
      <w:tr>
        <w:tc>
          <w:tcPr>
            <w:tcW w:type="dxa" w:w="4158"/>
          </w:tcPr>
          <w:p>
            <w:pPr>
              <w:spacing w:after="40"/>
            </w:pPr>
            <w:r>
              <w:rPr>
                <w:sz w:val="17"/>
              </w:rPr>
            </w:r>
            <w:r>
              <w:rPr>
                <w:rFonts w:ascii="IBM Plex Sans" w:hAnsi="IBM Plex Sans" w:cs="IBM Plex Sans"/>
                <w:b w:val="0"/>
                <w:i w:val="0"/>
                <w:color w:val="161412"/>
                <w:sz w:val="17"/>
              </w:rPr>
              <w:t>Forma</w:t>
            </w:r>
          </w:p>
        </w:tc>
        <w:tc>
          <w:tcPr>
            <w:tcW w:type="dxa" w:w="4158"/>
          </w:tcPr>
          <w:p>
            <w:pPr>
              <w:spacing w:after="40"/>
            </w:pPr>
            <w:r>
              <w:rPr>
                <w:sz w:val="17"/>
              </w:rPr>
            </w:r>
            <w:r>
              <w:rPr>
                <w:rFonts w:ascii="IBM Plex Sans" w:hAnsi="IBM Plex Sans" w:cs="IBM Plex Sans"/>
                <w:b w:val="0"/>
                <w:i w:val="0"/>
                <w:color w:val="161412"/>
                <w:sz w:val="17"/>
              </w:rPr>
              <w:t>definir superficie o región</w:t>
            </w:r>
          </w:p>
        </w:tc>
      </w:tr>
      <w:tr>
        <w:tc>
          <w:tcPr>
            <w:tcW w:type="dxa" w:w="4158"/>
          </w:tcPr>
          <w:p>
            <w:pPr>
              <w:spacing w:after="40"/>
            </w:pPr>
            <w:r>
              <w:rPr>
                <w:sz w:val="17"/>
              </w:rPr>
            </w:r>
            <w:r>
              <w:rPr>
                <w:rFonts w:ascii="IBM Plex Sans" w:hAnsi="IBM Plex Sans" w:cs="IBM Plex Sans"/>
                <w:b w:val="0"/>
                <w:i w:val="0"/>
                <w:color w:val="161412"/>
                <w:sz w:val="17"/>
              </w:rPr>
              <w:t>Tiempo</w:t>
            </w:r>
          </w:p>
        </w:tc>
        <w:tc>
          <w:tcPr>
            <w:tcW w:type="dxa" w:w="4158"/>
          </w:tcPr>
          <w:p>
            <w:pPr>
              <w:spacing w:after="40"/>
            </w:pPr>
            <w:r>
              <w:rPr>
                <w:sz w:val="17"/>
              </w:rPr>
            </w:r>
            <w:r>
              <w:rPr>
                <w:rFonts w:ascii="IBM Plex Sans" w:hAnsi="IBM Plex Sans" w:cs="IBM Plex Sans"/>
                <w:b w:val="0"/>
                <w:i w:val="0"/>
                <w:color w:val="161412"/>
                <w:sz w:val="17"/>
              </w:rPr>
              <w:t>duración de aparición y retirada</w:t>
            </w:r>
          </w:p>
        </w:tc>
      </w:tr>
      <w:tr>
        <w:tc>
          <w:tcPr>
            <w:tcW w:type="dxa" w:w="4158"/>
          </w:tcPr>
          <w:p>
            <w:pPr>
              <w:spacing w:after="40"/>
            </w:pPr>
            <w:r>
              <w:rPr>
                <w:sz w:val="17"/>
              </w:rPr>
            </w:r>
            <w:r>
              <w:rPr>
                <w:rFonts w:ascii="IBM Plex Sans" w:hAnsi="IBM Plex Sans" w:cs="IBM Plex Sans"/>
                <w:b w:val="0"/>
                <w:i w:val="0"/>
                <w:color w:val="161412"/>
                <w:sz w:val="17"/>
              </w:rPr>
              <w:t>Color</w:t>
            </w:r>
          </w:p>
        </w:tc>
        <w:tc>
          <w:tcPr>
            <w:tcW w:type="dxa" w:w="4158"/>
          </w:tcPr>
          <w:p>
            <w:pPr>
              <w:spacing w:after="40"/>
            </w:pPr>
            <w:r>
              <w:rPr>
                <w:sz w:val="17"/>
              </w:rPr>
            </w:r>
            <w:r>
              <w:rPr>
                <w:rFonts w:ascii="IBM Plex Sans" w:hAnsi="IBM Plex Sans" w:cs="IBM Plex Sans"/>
                <w:b w:val="0"/>
                <w:i w:val="0"/>
                <w:color w:val="161412"/>
                <w:sz w:val="17"/>
              </w:rPr>
              <w:t>secundario</w:t>
            </w:r>
          </w:p>
        </w:tc>
      </w:tr>
      <w:tr>
        <w:tc>
          <w:tcPr>
            <w:tcW w:type="dxa" w:w="4158"/>
          </w:tcPr>
          <w:p>
            <w:pPr>
              <w:spacing w:after="40"/>
            </w:pPr>
            <w:r>
              <w:rPr>
                <w:sz w:val="17"/>
              </w:rPr>
            </w:r>
            <w:r>
              <w:rPr>
                <w:rFonts w:ascii="IBM Plex Sans" w:hAnsi="IBM Plex Sans" w:cs="IBM Plex Sans"/>
                <w:b w:val="0"/>
                <w:i w:val="0"/>
                <w:color w:val="161412"/>
                <w:sz w:val="17"/>
              </w:rPr>
              <w:t>Sonido</w:t>
            </w:r>
          </w:p>
        </w:tc>
        <w:tc>
          <w:tcPr>
            <w:tcW w:type="dxa" w:w="4158"/>
          </w:tcPr>
          <w:p>
            <w:pPr>
              <w:spacing w:after="40"/>
            </w:pPr>
            <w:r>
              <w:rPr>
                <w:sz w:val="17"/>
              </w:rPr>
            </w:r>
            <w:r>
              <w:rPr>
                <w:rFonts w:ascii="IBM Plex Sans" w:hAnsi="IBM Plex Sans" w:cs="IBM Plex Sans"/>
                <w:b w:val="0"/>
                <w:i w:val="0"/>
                <w:color w:val="161412"/>
                <w:sz w:val="17"/>
              </w:rPr>
              <w:t>normalmente no</w:t>
            </w:r>
          </w:p>
        </w:tc>
      </w:tr>
      <w:tr>
        <w:tc>
          <w:tcPr>
            <w:tcW w:type="dxa" w:w="4158"/>
          </w:tcPr>
          <w:p>
            <w:pPr>
              <w:spacing w:after="40"/>
            </w:pPr>
            <w:r>
              <w:rPr>
                <w:sz w:val="17"/>
              </w:rPr>
            </w:r>
            <w:r>
              <w:rPr>
                <w:rFonts w:ascii="IBM Plex Sans" w:hAnsi="IBM Plex Sans" w:cs="IBM Plex Sans"/>
                <w:b w:val="0"/>
                <w:i w:val="0"/>
                <w:color w:val="161412"/>
                <w:sz w:val="17"/>
              </w:rPr>
              <w:t>Háptica</w:t>
            </w:r>
          </w:p>
        </w:tc>
        <w:tc>
          <w:tcPr>
            <w:tcW w:type="dxa" w:w="4158"/>
          </w:tcPr>
          <w:p>
            <w:pPr>
              <w:spacing w:after="40"/>
            </w:pPr>
            <w:r>
              <w:rPr>
                <w:sz w:val="17"/>
              </w:rPr>
            </w:r>
            <w:r>
              <w:rPr>
                <w:rFonts w:ascii="IBM Plex Sans" w:hAnsi="IBM Plex Sans" w:cs="IBM Plex Sans"/>
                <w:b w:val="0"/>
                <w:i w:val="0"/>
                <w:color w:val="161412"/>
                <w:sz w:val="17"/>
              </w:rPr>
              <w:t>normalmente no</w:t>
            </w:r>
          </w:p>
        </w:tc>
      </w:tr>
    </w:tbl>
    <w:p>
      <w:pPr>
        <w:spacing w:after="80"/>
      </w:pPr>
    </w:p>
    <w:p>
      <w:pPr>
        <w:spacing w:after="200" w:before="40"/>
      </w:pPr>
      <w:r>
        <w:rPr>
          <w:rFonts w:ascii="IBM Plex Sans" w:hAnsi="IBM Plex Sans" w:cs="IBM Plex Sans"/>
          <w:b/>
          <w:color w:val="1F3A5F"/>
          <w:sz w:val="17"/>
        </w:rPr>
        <w:t xml:space="preserve">TABLA 26.3   </w:t>
      </w:r>
      <w:r>
        <w:rPr>
          <w:rFonts w:ascii="IBM Plex Sans" w:hAnsi="IBM Plex Sans" w:cs="IBM Plex Sans"/>
          <w:color w:val="3A352F"/>
          <w:sz w:val="18"/>
        </w:rPr>
        <w:t xml:space="preserve">Riesgos de accesibilidad de emerge y su soporte</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Riesgo</w:t>
            </w:r>
          </w:p>
        </w:tc>
        <w:tc>
          <w:tcPr>
            <w:tcW w:type="dxa" w:w="4158"/>
            <w:shd w:val="clear" w:color="auto" w:fill="EAE4D8"/>
          </w:tcPr>
          <w:p>
            <w:pPr>
              <w:spacing w:after="40"/>
            </w:pPr>
            <w:r>
              <w:rPr>
                <w:sz w:val="17"/>
              </w:rPr>
            </w:r>
            <w:r>
              <w:rPr>
                <w:rFonts w:ascii="IBM Plex Sans" w:hAnsi="IBM Plex Sans" w:cs="IBM Plex Sans"/>
                <w:b/>
                <w:i w:val="0"/>
                <w:color w:val="1F3A5F"/>
                <w:sz w:val="17"/>
              </w:rPr>
              <w:t>Soporte necesario</w:t>
            </w:r>
          </w:p>
        </w:tc>
      </w:tr>
      <w:tr>
        <w:tc>
          <w:tcPr>
            <w:tcW w:type="dxa" w:w="4158"/>
          </w:tcPr>
          <w:p>
            <w:pPr>
              <w:spacing w:after="40"/>
            </w:pPr>
            <w:r>
              <w:rPr>
                <w:sz w:val="17"/>
              </w:rPr>
            </w:r>
            <w:r>
              <w:rPr>
                <w:rFonts w:ascii="IBM Plex Sans" w:hAnsi="IBM Plex Sans" w:cs="IBM Plex Sans"/>
                <w:b w:val="0"/>
                <w:i w:val="0"/>
                <w:color w:val="161412"/>
                <w:sz w:val="17"/>
              </w:rPr>
              <w:t>contenido aparece pero no se anuncia</w:t>
            </w:r>
          </w:p>
        </w:tc>
        <w:tc>
          <w:tcPr>
            <w:tcW w:type="dxa" w:w="4158"/>
          </w:tcPr>
          <w:p>
            <w:pPr>
              <w:spacing w:after="40"/>
            </w:pPr>
            <w:r>
              <w:rPr>
                <w:sz w:val="17"/>
              </w:rPr>
            </w:r>
            <w:r>
              <w:rPr>
                <w:rFonts w:ascii="IBM Plex Sans" w:hAnsi="IBM Plex Sans" w:cs="IBM Plex Sans"/>
                <w:b w:val="0"/>
                <w:i w:val="0"/>
                <w:color w:val="161412"/>
                <w:sz w:val="17"/>
              </w:rPr>
              <w:t>estado abierto/cerrado</w:t>
            </w:r>
          </w:p>
        </w:tc>
      </w:tr>
      <w:tr>
        <w:tc>
          <w:tcPr>
            <w:tcW w:type="dxa" w:w="4158"/>
          </w:tcPr>
          <w:p>
            <w:pPr>
              <w:spacing w:after="40"/>
            </w:pPr>
            <w:r>
              <w:rPr>
                <w:sz w:val="17"/>
              </w:rPr>
            </w:r>
            <w:r>
              <w:rPr>
                <w:rFonts w:ascii="IBM Plex Sans" w:hAnsi="IBM Plex Sans" w:cs="IBM Plex Sans"/>
                <w:b w:val="0"/>
                <w:i w:val="0"/>
                <w:color w:val="161412"/>
                <w:sz w:val="17"/>
              </w:rPr>
              <w:t>tooltip inaccesible</w:t>
            </w:r>
          </w:p>
        </w:tc>
        <w:tc>
          <w:tcPr>
            <w:tcW w:type="dxa" w:w="4158"/>
          </w:tcPr>
          <w:p>
            <w:pPr>
              <w:spacing w:after="40"/>
            </w:pPr>
            <w:r>
              <w:rPr>
                <w:sz w:val="17"/>
              </w:rPr>
            </w:r>
            <w:r>
              <w:rPr>
                <w:rFonts w:ascii="IBM Plex Sans" w:hAnsi="IBM Plex Sans" w:cs="IBM Plex Sans"/>
                <w:b w:val="0"/>
                <w:i w:val="0"/>
                <w:color w:val="161412"/>
                <w:sz w:val="17"/>
              </w:rPr>
              <w:t>alternativa textual / descripción</w:t>
            </w:r>
          </w:p>
        </w:tc>
      </w:tr>
      <w:tr>
        <w:tc>
          <w:tcPr>
            <w:tcW w:type="dxa" w:w="4158"/>
          </w:tcPr>
          <w:p>
            <w:pPr>
              <w:spacing w:after="40"/>
            </w:pPr>
            <w:r>
              <w:rPr>
                <w:sz w:val="17"/>
              </w:rPr>
            </w:r>
            <w:r>
              <w:rPr>
                <w:rFonts w:ascii="IBM Plex Sans" w:hAnsi="IBM Plex Sans" w:cs="IBM Plex Sans"/>
                <w:b w:val="0"/>
                <w:i w:val="0"/>
                <w:color w:val="161412"/>
                <w:sz w:val="17"/>
              </w:rPr>
              <w:t>dropdown sin teclado</w:t>
            </w:r>
          </w:p>
        </w:tc>
        <w:tc>
          <w:tcPr>
            <w:tcW w:type="dxa" w:w="4158"/>
          </w:tcPr>
          <w:p>
            <w:pPr>
              <w:spacing w:after="40"/>
            </w:pPr>
            <w:r>
              <w:rPr>
                <w:sz w:val="17"/>
              </w:rPr>
            </w:r>
            <w:r>
              <w:rPr>
                <w:rFonts w:ascii="IBM Plex Sans" w:hAnsi="IBM Plex Sans" w:cs="IBM Plex Sans"/>
                <w:b w:val="0"/>
                <w:i w:val="0"/>
                <w:color w:val="161412"/>
                <w:sz w:val="17"/>
              </w:rPr>
              <w:t>navegación y escape</w:t>
            </w:r>
          </w:p>
        </w:tc>
      </w:tr>
      <w:tr>
        <w:tc>
          <w:tcPr>
            <w:tcW w:type="dxa" w:w="4158"/>
          </w:tcPr>
          <w:p>
            <w:pPr>
              <w:spacing w:after="40"/>
            </w:pPr>
            <w:r>
              <w:rPr>
                <w:sz w:val="17"/>
              </w:rPr>
            </w:r>
            <w:r>
              <w:rPr>
                <w:rFonts w:ascii="IBM Plex Sans" w:hAnsi="IBM Plex Sans" w:cs="IBM Plex Sans"/>
                <w:b w:val="0"/>
                <w:i w:val="0"/>
                <w:color w:val="161412"/>
                <w:sz w:val="17"/>
              </w:rPr>
              <w:t>accordion visual solamente</w:t>
            </w:r>
          </w:p>
        </w:tc>
        <w:tc>
          <w:tcPr>
            <w:tcW w:type="dxa" w:w="4158"/>
          </w:tcPr>
          <w:p>
            <w:pPr>
              <w:spacing w:after="40"/>
            </w:pPr>
            <w:r>
              <w:rPr>
                <w:sz w:val="17"/>
              </w:rPr>
            </w:r>
            <w:r>
              <w:rPr>
                <w:rFonts w:ascii="IBM Plex Sans" w:hAnsi="IBM Plex Sans" w:cs="IBM Plex Sans"/>
                <w:b w:val="0"/>
                <w:i w:val="0"/>
                <w:color w:val="161412"/>
                <w:sz w:val="17"/>
              </w:rPr>
              <w:t>aria-expanded</w:t>
            </w:r>
            <w:r>
              <w:rPr>
                <w:rFonts w:ascii="IBM Plex Sans" w:hAnsi="IBM Plex Sans" w:cs="IBM Plex Sans"/>
                <w:b w:val="0"/>
                <w:i w:val="0"/>
                <w:color w:val="161412"/>
                <w:sz w:val="17"/>
              </w:rPr>
              <w:t>, relación trigger-panel</w:t>
            </w:r>
          </w:p>
        </w:tc>
      </w:tr>
      <w:tr>
        <w:tc>
          <w:tcPr>
            <w:tcW w:type="dxa" w:w="4158"/>
          </w:tcPr>
          <w:p>
            <w:pPr>
              <w:spacing w:after="40"/>
            </w:pPr>
            <w:r>
              <w:rPr>
                <w:sz w:val="17"/>
              </w:rPr>
            </w:r>
            <w:r>
              <w:rPr>
                <w:rFonts w:ascii="IBM Plex Sans" w:hAnsi="IBM Plex Sans" w:cs="IBM Plex Sans"/>
                <w:b w:val="0"/>
                <w:i w:val="0"/>
                <w:color w:val="161412"/>
                <w:sz w:val="17"/>
              </w:rPr>
              <w:t>popover flotante</w:t>
            </w:r>
          </w:p>
        </w:tc>
        <w:tc>
          <w:tcPr>
            <w:tcW w:type="dxa" w:w="4158"/>
          </w:tcPr>
          <w:p>
            <w:pPr>
              <w:spacing w:after="40"/>
            </w:pPr>
            <w:r>
              <w:rPr>
                <w:sz w:val="17"/>
              </w:rPr>
            </w:r>
            <w:r>
              <w:rPr>
                <w:rFonts w:ascii="IBM Plex Sans" w:hAnsi="IBM Plex Sans" w:cs="IBM Plex Sans"/>
                <w:b w:val="0"/>
                <w:i w:val="0"/>
                <w:color w:val="161412"/>
                <w:sz w:val="17"/>
              </w:rPr>
              <w:t>foco y cierre claro</w:t>
            </w:r>
          </w:p>
        </w:tc>
      </w:tr>
      <w:tr>
        <w:tc>
          <w:tcPr>
            <w:tcW w:type="dxa" w:w="4158"/>
          </w:tcPr>
          <w:p>
            <w:pPr>
              <w:spacing w:after="40"/>
            </w:pPr>
            <w:r>
              <w:rPr>
                <w:sz w:val="17"/>
              </w:rPr>
            </w:r>
            <w:r>
              <w:rPr>
                <w:rFonts w:ascii="IBM Plex Sans" w:hAnsi="IBM Plex Sans" w:cs="IBM Plex Sans"/>
                <w:b w:val="0"/>
                <w:i w:val="0"/>
                <w:color w:val="161412"/>
                <w:sz w:val="17"/>
              </w:rPr>
              <w:t>contenido oculto aún accesible</w:t>
            </w:r>
          </w:p>
        </w:tc>
        <w:tc>
          <w:tcPr>
            <w:tcW w:type="dxa" w:w="4158"/>
          </w:tcPr>
          <w:p>
            <w:pPr>
              <w:spacing w:after="40"/>
            </w:pPr>
            <w:r>
              <w:rPr>
                <w:sz w:val="17"/>
              </w:rPr>
            </w:r>
            <w:r>
              <w:rPr>
                <w:rFonts w:ascii="IBM Plex Sans" w:hAnsi="IBM Plex Sans" w:cs="IBM Plex Sans"/>
                <w:b w:val="0"/>
                <w:i w:val="0"/>
                <w:color w:val="161412"/>
                <w:sz w:val="17"/>
              </w:rPr>
              <w:t>coherencia DOM/árbol accesible</w:t>
            </w:r>
          </w:p>
        </w:tc>
      </w:tr>
    </w:tbl>
    <w:p>
      <w:pPr>
        <w:spacing w:after="80"/>
      </w:pPr>
    </w:p>
    <w:p>
      <w:pPr>
        <w:spacing w:after="200" w:before="40"/>
      </w:pPr>
      <w:r>
        <w:rPr>
          <w:rFonts w:ascii="IBM Plex Sans" w:hAnsi="IBM Plex Sans" w:cs="IBM Plex Sans"/>
          <w:b/>
          <w:color w:val="1F3A5F"/>
          <w:sz w:val="17"/>
        </w:rPr>
        <w:t xml:space="preserve">TABLA 26.4   </w:t>
      </w:r>
      <w:r>
        <w:rPr>
          <w:rFonts w:ascii="IBM Plex Sans" w:hAnsi="IBM Plex Sans" w:cs="IBM Plex Sans"/>
          <w:color w:val="3A352F"/>
          <w:sz w:val="18"/>
        </w:rPr>
        <w:t xml:space="preserve">Antipatrones de emerge</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Antipatrón</w:t>
            </w:r>
          </w:p>
        </w:tc>
        <w:tc>
          <w:tcPr>
            <w:tcW w:type="dxa" w:w="2772"/>
            <w:shd w:val="clear" w:color="auto" w:fill="EAE4D8"/>
          </w:tcPr>
          <w:p>
            <w:pPr>
              <w:spacing w:after="40"/>
            </w:pPr>
            <w:r>
              <w:rPr>
                <w:sz w:val="17"/>
              </w:rPr>
            </w:r>
            <w:r>
              <w:rPr>
                <w:rFonts w:ascii="IBM Plex Sans" w:hAnsi="IBM Plex Sans" w:cs="IBM Plex Sans"/>
                <w:b/>
                <w:i w:val="0"/>
                <w:color w:val="1F3A5F"/>
                <w:sz w:val="17"/>
              </w:rPr>
              <w:t>Qué falla</w:t>
            </w:r>
          </w:p>
        </w:tc>
        <w:tc>
          <w:tcPr>
            <w:tcW w:type="dxa" w:w="2772"/>
            <w:shd w:val="clear" w:color="auto" w:fill="EAE4D8"/>
          </w:tcPr>
          <w:p>
            <w:pPr>
              <w:spacing w:after="40"/>
            </w:pPr>
            <w:r>
              <w:rPr>
                <w:sz w:val="17"/>
              </w:rPr>
            </w:r>
            <w:r>
              <w:rPr>
                <w:rFonts w:ascii="IBM Plex Sans" w:hAnsi="IBM Plex Sans" w:cs="IBM Plex Sans"/>
                <w:b/>
                <w:i w:val="0"/>
                <w:color w:val="1F3A5F"/>
                <w:sz w:val="17"/>
              </w:rPr>
              <w:t>Corrección</w:t>
            </w:r>
          </w:p>
        </w:tc>
      </w:tr>
      <w:tr>
        <w:tc>
          <w:tcPr>
            <w:tcW w:type="dxa" w:w="2772"/>
          </w:tcPr>
          <w:p>
            <w:pPr>
              <w:spacing w:after="40"/>
            </w:pPr>
            <w:r>
              <w:rPr>
                <w:sz w:val="17"/>
              </w:rPr>
            </w:r>
            <w:r>
              <w:rPr>
                <w:rFonts w:ascii="IBM Plex Sans" w:hAnsi="IBM Plex Sans" w:cs="IBM Plex Sans"/>
                <w:b w:val="0"/>
                <w:i w:val="0"/>
                <w:color w:val="161412"/>
                <w:sz w:val="17"/>
              </w:rPr>
              <w:t>Todo lo que aparece parece alerta</w:t>
            </w:r>
          </w:p>
        </w:tc>
        <w:tc>
          <w:tcPr>
            <w:tcW w:type="dxa" w:w="2772"/>
          </w:tcPr>
          <w:p>
            <w:pPr>
              <w:spacing w:after="40"/>
            </w:pPr>
            <w:r>
              <w:rPr>
                <w:sz w:val="17"/>
              </w:rPr>
            </w:r>
            <w:r>
              <w:rPr>
                <w:rFonts w:ascii="IBM Plex Sans" w:hAnsi="IBM Plex Sans" w:cs="IBM Plex Sans"/>
                <w:b w:val="0"/>
                <w:i w:val="0"/>
                <w:color w:val="161412"/>
                <w:sz w:val="17"/>
              </w:rPr>
              <w:t>exceso de saliencia</w:t>
            </w:r>
          </w:p>
        </w:tc>
        <w:tc>
          <w:tcPr>
            <w:tcW w:type="dxa" w:w="2772"/>
          </w:tcPr>
          <w:p>
            <w:pPr>
              <w:spacing w:after="40"/>
            </w:pPr>
            <w:r>
              <w:rPr>
                <w:sz w:val="17"/>
              </w:rPr>
            </w:r>
            <w:r>
              <w:rPr>
                <w:rFonts w:ascii="IBM Plex Sans" w:hAnsi="IBM Plex Sans" w:cs="IBM Plex Sans"/>
                <w:b w:val="0"/>
                <w:i w:val="0"/>
                <w:color w:val="161412"/>
                <w:sz w:val="17"/>
              </w:rPr>
              <w:t xml:space="preserve">separar </w:t>
            </w:r>
            <w:r>
              <w:rPr>
                <w:rFonts w:ascii="IBM Plex Sans" w:hAnsi="IBM Plex Sans" w:cs="IBM Plex Sans"/>
                <w:b w:val="0"/>
                <w:i w:val="0"/>
                <w:color w:val="161412"/>
                <w:sz w:val="17"/>
              </w:rPr>
              <w:t>emerge</w:t>
            </w:r>
            <w:r>
              <w:rPr>
                <w:rFonts w:ascii="IBM Plex Sans" w:hAnsi="IBM Plex Sans" w:cs="IBM Plex Sans"/>
                <w:b w:val="0"/>
                <w:i w:val="0"/>
                <w:color w:val="161412"/>
                <w:sz w:val="17"/>
              </w:rPr>
              <w:t xml:space="preserve"> de </w:t>
            </w:r>
            <w:r>
              <w:rPr>
                <w:rFonts w:ascii="IBM Plex Sans" w:hAnsi="IBM Plex Sans" w:cs="IBM Plex Sans"/>
                <w:b w:val="0"/>
                <w:i w:val="0"/>
                <w:color w:val="161412"/>
                <w:sz w:val="17"/>
              </w:rPr>
              <w:t>signal</w:t>
            </w:r>
          </w:p>
        </w:tc>
      </w:tr>
      <w:tr>
        <w:tc>
          <w:tcPr>
            <w:tcW w:type="dxa" w:w="2772"/>
          </w:tcPr>
          <w:p>
            <w:pPr>
              <w:spacing w:after="40"/>
            </w:pPr>
            <w:r>
              <w:rPr>
                <w:sz w:val="17"/>
              </w:rPr>
            </w:r>
            <w:r>
              <w:rPr>
                <w:rFonts w:ascii="IBM Plex Sans" w:hAnsi="IBM Plex Sans" w:cs="IBM Plex Sans"/>
                <w:b w:val="0"/>
                <w:i w:val="0"/>
                <w:color w:val="161412"/>
                <w:sz w:val="17"/>
              </w:rPr>
              <w:t>Dropdown como modal</w:t>
            </w:r>
          </w:p>
        </w:tc>
        <w:tc>
          <w:tcPr>
            <w:tcW w:type="dxa" w:w="2772"/>
          </w:tcPr>
          <w:p>
            <w:pPr>
              <w:spacing w:after="40"/>
            </w:pPr>
            <w:r>
              <w:rPr>
                <w:sz w:val="17"/>
              </w:rPr>
            </w:r>
            <w:r>
              <w:rPr>
                <w:rFonts w:ascii="IBM Plex Sans" w:hAnsi="IBM Plex Sans" w:cs="IBM Plex Sans"/>
                <w:b w:val="0"/>
                <w:i w:val="0"/>
                <w:color w:val="161412"/>
                <w:sz w:val="17"/>
              </w:rPr>
              <w:t>profundidad excesiva</w:t>
            </w:r>
          </w:p>
        </w:tc>
        <w:tc>
          <w:tcPr>
            <w:tcW w:type="dxa" w:w="2772"/>
          </w:tcPr>
          <w:p>
            <w:pPr>
              <w:spacing w:after="40"/>
            </w:pPr>
            <w:r>
              <w:rPr>
                <w:sz w:val="17"/>
              </w:rPr>
            </w:r>
            <w:r>
              <w:rPr>
                <w:rFonts w:ascii="IBM Plex Sans" w:hAnsi="IBM Plex Sans" w:cs="IBM Plex Sans"/>
                <w:b w:val="0"/>
                <w:i w:val="0"/>
                <w:color w:val="161412"/>
                <w:sz w:val="17"/>
              </w:rPr>
              <w:t>mantener anclaje local</w:t>
            </w:r>
          </w:p>
        </w:tc>
      </w:tr>
      <w:tr>
        <w:tc>
          <w:tcPr>
            <w:tcW w:type="dxa" w:w="2772"/>
          </w:tcPr>
          <w:p>
            <w:pPr>
              <w:spacing w:after="40"/>
            </w:pPr>
            <w:r>
              <w:rPr>
                <w:sz w:val="17"/>
              </w:rPr>
            </w:r>
            <w:r>
              <w:rPr>
                <w:rFonts w:ascii="IBM Plex Sans" w:hAnsi="IBM Plex Sans" w:cs="IBM Plex Sans"/>
                <w:b w:val="0"/>
                <w:i w:val="0"/>
                <w:color w:val="161412"/>
                <w:sz w:val="17"/>
              </w:rPr>
              <w:t>Tooltip inaccesible</w:t>
            </w:r>
          </w:p>
        </w:tc>
        <w:tc>
          <w:tcPr>
            <w:tcW w:type="dxa" w:w="2772"/>
          </w:tcPr>
          <w:p>
            <w:pPr>
              <w:spacing w:after="40"/>
            </w:pPr>
            <w:r>
              <w:rPr>
                <w:sz w:val="17"/>
              </w:rPr>
            </w:r>
            <w:r>
              <w:rPr>
                <w:rFonts w:ascii="IBM Plex Sans" w:hAnsi="IBM Plex Sans" w:cs="IBM Plex Sans"/>
                <w:b w:val="0"/>
                <w:i w:val="0"/>
                <w:color w:val="161412"/>
                <w:sz w:val="17"/>
              </w:rPr>
              <w:t>información perdida</w:t>
            </w:r>
          </w:p>
        </w:tc>
        <w:tc>
          <w:tcPr>
            <w:tcW w:type="dxa" w:w="2772"/>
          </w:tcPr>
          <w:p>
            <w:pPr>
              <w:spacing w:after="40"/>
            </w:pPr>
            <w:r>
              <w:rPr>
                <w:sz w:val="17"/>
              </w:rPr>
            </w:r>
            <w:r>
              <w:rPr>
                <w:rFonts w:ascii="IBM Plex Sans" w:hAnsi="IBM Plex Sans" w:cs="IBM Plex Sans"/>
                <w:b w:val="0"/>
                <w:i w:val="0"/>
                <w:color w:val="161412"/>
                <w:sz w:val="17"/>
              </w:rPr>
              <w:t>descripción accesible</w:t>
            </w:r>
          </w:p>
        </w:tc>
      </w:tr>
      <w:tr>
        <w:tc>
          <w:tcPr>
            <w:tcW w:type="dxa" w:w="2772"/>
          </w:tcPr>
          <w:p>
            <w:pPr>
              <w:spacing w:after="40"/>
            </w:pPr>
            <w:r>
              <w:rPr>
                <w:sz w:val="17"/>
              </w:rPr>
            </w:r>
            <w:r>
              <w:rPr>
                <w:rFonts w:ascii="IBM Plex Sans" w:hAnsi="IBM Plex Sans" w:cs="IBM Plex Sans"/>
                <w:b w:val="0"/>
                <w:i w:val="0"/>
                <w:color w:val="161412"/>
                <w:sz w:val="17"/>
              </w:rPr>
              <w:t>Cerrar como eliminar</w:t>
            </w:r>
          </w:p>
        </w:tc>
        <w:tc>
          <w:tcPr>
            <w:tcW w:type="dxa" w:w="2772"/>
          </w:tcPr>
          <w:p>
            <w:pPr>
              <w:spacing w:after="40"/>
            </w:pPr>
            <w:r>
              <w:rPr>
                <w:sz w:val="17"/>
              </w:rPr>
            </w:r>
            <w:r>
              <w:rPr>
                <w:rFonts w:ascii="IBM Plex Sans" w:hAnsi="IBM Plex Sans" w:cs="IBM Plex Sans"/>
                <w:b w:val="0"/>
                <w:i w:val="0"/>
                <w:color w:val="161412"/>
                <w:sz w:val="17"/>
              </w:rPr>
              <w:t>confusión de consecuencia</w:t>
            </w:r>
          </w:p>
        </w:tc>
        <w:tc>
          <w:tcPr>
            <w:tcW w:type="dxa" w:w="2772"/>
          </w:tcPr>
          <w:p>
            <w:pPr>
              <w:spacing w:after="40"/>
            </w:pPr>
            <w:r>
              <w:rPr>
                <w:sz w:val="17"/>
              </w:rPr>
            </w:r>
            <w:r>
              <w:rPr>
                <w:rFonts w:ascii="IBM Plex Sans" w:hAnsi="IBM Plex Sans" w:cs="IBM Plex Sans"/>
                <w:b w:val="0"/>
                <w:i w:val="0"/>
                <w:color w:val="161412"/>
                <w:sz w:val="17"/>
              </w:rPr>
              <w:t xml:space="preserve">separar </w:t>
            </w:r>
            <w:r>
              <w:rPr>
                <w:rFonts w:ascii="IBM Plex Sans" w:hAnsi="IBM Plex Sans" w:cs="IBM Plex Sans"/>
                <w:b w:val="0"/>
                <w:i w:val="0"/>
                <w:color w:val="161412"/>
                <w:sz w:val="17"/>
              </w:rPr>
              <w:t>dismiss</w:t>
            </w:r>
            <w:r>
              <w:rPr>
                <w:rFonts w:ascii="IBM Plex Sans" w:hAnsi="IBM Plex Sans" w:cs="IBM Plex Sans"/>
                <w:b w:val="0"/>
                <w:i w:val="0"/>
                <w:color w:val="161412"/>
                <w:sz w:val="17"/>
              </w:rPr>
              <w:t xml:space="preserve"> y </w:t>
            </w:r>
            <w:r>
              <w:rPr>
                <w:rFonts w:ascii="IBM Plex Sans" w:hAnsi="IBM Plex Sans" w:cs="IBM Plex Sans"/>
                <w:b w:val="0"/>
                <w:i w:val="0"/>
                <w:color w:val="161412"/>
                <w:sz w:val="17"/>
              </w:rPr>
              <w:t>delete + loss</w:t>
            </w:r>
          </w:p>
        </w:tc>
      </w:tr>
      <w:tr>
        <w:tc>
          <w:tcPr>
            <w:tcW w:type="dxa" w:w="2772"/>
          </w:tcPr>
          <w:p>
            <w:pPr>
              <w:spacing w:after="40"/>
            </w:pPr>
            <w:r>
              <w:rPr>
                <w:sz w:val="17"/>
              </w:rPr>
            </w:r>
            <w:r>
              <w:rPr>
                <w:rFonts w:ascii="IBM Plex Sans" w:hAnsi="IBM Plex Sans" w:cs="IBM Plex Sans"/>
                <w:b w:val="0"/>
                <w:i w:val="0"/>
                <w:color w:val="161412"/>
                <w:sz w:val="17"/>
              </w:rPr>
              <w:t>Fade sin origen</w:t>
            </w:r>
          </w:p>
        </w:tc>
        <w:tc>
          <w:tcPr>
            <w:tcW w:type="dxa" w:w="2772"/>
          </w:tcPr>
          <w:p>
            <w:pPr>
              <w:spacing w:after="40"/>
            </w:pPr>
            <w:r>
              <w:rPr>
                <w:sz w:val="17"/>
              </w:rPr>
            </w:r>
            <w:r>
              <w:rPr>
                <w:rFonts w:ascii="IBM Plex Sans" w:hAnsi="IBM Plex Sans" w:cs="IBM Plex Sans"/>
                <w:b w:val="0"/>
                <w:i w:val="0"/>
                <w:color w:val="161412"/>
                <w:sz w:val="17"/>
              </w:rPr>
              <w:t>dependencia ambigua</w:t>
            </w:r>
          </w:p>
        </w:tc>
        <w:tc>
          <w:tcPr>
            <w:tcW w:type="dxa" w:w="2772"/>
          </w:tcPr>
          <w:p>
            <w:pPr>
              <w:spacing w:after="40"/>
            </w:pPr>
            <w:r>
              <w:rPr>
                <w:sz w:val="17"/>
              </w:rPr>
            </w:r>
            <w:r>
              <w:rPr>
                <w:rFonts w:ascii="IBM Plex Sans" w:hAnsi="IBM Plex Sans" w:cs="IBM Plex Sans"/>
                <w:b w:val="0"/>
                <w:i w:val="0"/>
                <w:color w:val="161412"/>
                <w:sz w:val="17"/>
              </w:rPr>
              <w:t>motion anclado</w:t>
            </w:r>
          </w:p>
        </w:tc>
      </w:tr>
      <w:tr>
        <w:tc>
          <w:tcPr>
            <w:tcW w:type="dxa" w:w="2772"/>
          </w:tcPr>
          <w:p>
            <w:pPr>
              <w:spacing w:after="40"/>
            </w:pPr>
            <w:r>
              <w:rPr>
                <w:sz w:val="17"/>
              </w:rPr>
            </w:r>
            <w:r>
              <w:rPr>
                <w:rFonts w:ascii="IBM Plex Sans" w:hAnsi="IBM Plex Sans" w:cs="IBM Plex Sans"/>
                <w:b w:val="0"/>
                <w:i w:val="0"/>
                <w:color w:val="161412"/>
                <w:sz w:val="17"/>
              </w:rPr>
              <w:t>Contenido oculto pero accesible</w:t>
            </w:r>
          </w:p>
        </w:tc>
        <w:tc>
          <w:tcPr>
            <w:tcW w:type="dxa" w:w="2772"/>
          </w:tcPr>
          <w:p>
            <w:pPr>
              <w:spacing w:after="40"/>
            </w:pPr>
            <w:r>
              <w:rPr>
                <w:sz w:val="17"/>
              </w:rPr>
            </w:r>
            <w:r>
              <w:rPr>
                <w:rFonts w:ascii="IBM Plex Sans" w:hAnsi="IBM Plex Sans" w:cs="IBM Plex Sans"/>
                <w:b w:val="0"/>
                <w:i w:val="0"/>
                <w:color w:val="161412"/>
                <w:sz w:val="17"/>
              </w:rPr>
              <w:t>incoherencia operativa</w:t>
            </w:r>
          </w:p>
        </w:tc>
        <w:tc>
          <w:tcPr>
            <w:tcW w:type="dxa" w:w="2772"/>
          </w:tcPr>
          <w:p>
            <w:pPr>
              <w:spacing w:after="40"/>
            </w:pPr>
            <w:r>
              <w:rPr>
                <w:sz w:val="17"/>
              </w:rPr>
            </w:r>
            <w:r>
              <w:rPr>
                <w:rFonts w:ascii="IBM Plex Sans" w:hAnsi="IBM Plex Sans" w:cs="IBM Plex Sans"/>
                <w:b w:val="0"/>
                <w:i w:val="0"/>
                <w:color w:val="161412"/>
                <w:sz w:val="17"/>
              </w:rPr>
              <w:t>sincronizar DOM/ARIA/visibilidad</w:t>
            </w:r>
          </w:p>
        </w:tc>
      </w:tr>
    </w:tbl>
    <w:p>
      <w:pPr>
        <w:spacing w:after="80"/>
      </w:pPr>
    </w:p>
    <w:p>
      <w:pPr>
        <w:spacing w:after="200" w:before="40"/>
      </w:pPr>
      <w:r>
        <w:rPr>
          <w:rFonts w:ascii="IBM Plex Sans" w:hAnsi="IBM Plex Sans" w:cs="IBM Plex Sans"/>
          <w:b/>
          <w:color w:val="1F3A5F"/>
          <w:sz w:val="17"/>
        </w:rPr>
        <w:t xml:space="preserve">TABLA 26.5   </w:t>
      </w:r>
      <w:r>
        <w:rPr>
          <w:rFonts w:ascii="IBM Plex Sans" w:hAnsi="IBM Plex Sans" w:cs="IBM Plex Sans"/>
          <w:color w:val="3A352F"/>
          <w:sz w:val="18"/>
        </w:rPr>
        <w:t xml:space="preserve">Preguntas de validación de emerge</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Dimensión</w:t>
            </w:r>
          </w:p>
        </w:tc>
        <w:tc>
          <w:tcPr>
            <w:tcW w:type="dxa" w:w="4158"/>
            <w:shd w:val="clear" w:color="auto" w:fill="EAE4D8"/>
          </w:tcPr>
          <w:p>
            <w:pPr>
              <w:spacing w:after="40"/>
            </w:pPr>
            <w:r>
              <w:rPr>
                <w:sz w:val="17"/>
              </w:rPr>
            </w:r>
            <w:r>
              <w:rPr>
                <w:rFonts w:ascii="IBM Plex Sans" w:hAnsi="IBM Plex Sans" w:cs="IBM Plex Sans"/>
                <w:b/>
                <w:i w:val="0"/>
                <w:color w:val="1F3A5F"/>
                <w:sz w:val="17"/>
              </w:rPr>
              <w:t>Pregunta</w:t>
            </w:r>
          </w:p>
        </w:tc>
      </w:tr>
      <w:tr>
        <w:tc>
          <w:tcPr>
            <w:tcW w:type="dxa" w:w="4158"/>
          </w:tcPr>
          <w:p>
            <w:pPr>
              <w:spacing w:after="40"/>
            </w:pPr>
            <w:r>
              <w:rPr>
                <w:sz w:val="17"/>
              </w:rPr>
            </w:r>
            <w:r>
              <w:rPr>
                <w:rFonts w:ascii="IBM Plex Sans" w:hAnsi="IBM Plex Sans" w:cs="IBM Plex Sans"/>
                <w:b w:val="0"/>
                <w:i w:val="0"/>
                <w:color w:val="161412"/>
                <w:sz w:val="17"/>
              </w:rPr>
              <w:t>Aparición</w:t>
            </w:r>
          </w:p>
        </w:tc>
        <w:tc>
          <w:tcPr>
            <w:tcW w:type="dxa" w:w="4158"/>
          </w:tcPr>
          <w:p>
            <w:pPr>
              <w:spacing w:after="40"/>
            </w:pPr>
            <w:r>
              <w:rPr>
                <w:sz w:val="17"/>
              </w:rPr>
            </w:r>
            <w:r>
              <w:rPr>
                <w:rFonts w:ascii="IBM Plex Sans" w:hAnsi="IBM Plex Sans" w:cs="IBM Plex Sans"/>
                <w:b w:val="0"/>
                <w:i w:val="0"/>
                <w:color w:val="161412"/>
                <w:sz w:val="17"/>
              </w:rPr>
              <w:t>¿qué acaba de entrar en el campo?</w:t>
            </w:r>
          </w:p>
        </w:tc>
      </w:tr>
      <w:tr>
        <w:tc>
          <w:tcPr>
            <w:tcW w:type="dxa" w:w="4158"/>
          </w:tcPr>
          <w:p>
            <w:pPr>
              <w:spacing w:after="40"/>
            </w:pPr>
            <w:r>
              <w:rPr>
                <w:sz w:val="17"/>
              </w:rPr>
            </w:r>
            <w:r>
              <w:rPr>
                <w:rFonts w:ascii="IBM Plex Sans" w:hAnsi="IBM Plex Sans" w:cs="IBM Plex Sans"/>
                <w:b w:val="0"/>
                <w:i w:val="0"/>
                <w:color w:val="161412"/>
                <w:sz w:val="17"/>
              </w:rPr>
              <w:t>Retirada</w:t>
            </w:r>
          </w:p>
        </w:tc>
        <w:tc>
          <w:tcPr>
            <w:tcW w:type="dxa" w:w="4158"/>
          </w:tcPr>
          <w:p>
            <w:pPr>
              <w:spacing w:after="40"/>
            </w:pPr>
            <w:r>
              <w:rPr>
                <w:sz w:val="17"/>
              </w:rPr>
            </w:r>
            <w:r>
              <w:rPr>
                <w:rFonts w:ascii="IBM Plex Sans" w:hAnsi="IBM Plex Sans" w:cs="IBM Plex Sans"/>
                <w:b w:val="0"/>
                <w:i w:val="0"/>
                <w:color w:val="161412"/>
                <w:sz w:val="17"/>
              </w:rPr>
              <w:t>¿qué acaba de salir?</w:t>
            </w:r>
          </w:p>
        </w:tc>
      </w:tr>
      <w:tr>
        <w:tc>
          <w:tcPr>
            <w:tcW w:type="dxa" w:w="4158"/>
          </w:tcPr>
          <w:p>
            <w:pPr>
              <w:spacing w:after="40"/>
            </w:pPr>
            <w:r>
              <w:rPr>
                <w:sz w:val="17"/>
              </w:rPr>
            </w:r>
            <w:r>
              <w:rPr>
                <w:rFonts w:ascii="IBM Plex Sans" w:hAnsi="IBM Plex Sans" w:cs="IBM Plex Sans"/>
                <w:b w:val="0"/>
                <w:i w:val="0"/>
                <w:color w:val="161412"/>
                <w:sz w:val="17"/>
              </w:rPr>
              <w:t>Origen</w:t>
            </w:r>
          </w:p>
        </w:tc>
        <w:tc>
          <w:tcPr>
            <w:tcW w:type="dxa" w:w="4158"/>
          </w:tcPr>
          <w:p>
            <w:pPr>
              <w:spacing w:after="40"/>
            </w:pPr>
            <w:r>
              <w:rPr>
                <w:sz w:val="17"/>
              </w:rPr>
            </w:r>
            <w:r>
              <w:rPr>
                <w:rFonts w:ascii="IBM Plex Sans" w:hAnsi="IBM Plex Sans" w:cs="IBM Plex Sans"/>
                <w:b w:val="0"/>
                <w:i w:val="0"/>
                <w:color w:val="161412"/>
                <w:sz w:val="17"/>
              </w:rPr>
              <w:t>¿de dónde viene?</w:t>
            </w:r>
          </w:p>
        </w:tc>
      </w:tr>
      <w:tr>
        <w:tc>
          <w:tcPr>
            <w:tcW w:type="dxa" w:w="4158"/>
          </w:tcPr>
          <w:p>
            <w:pPr>
              <w:spacing w:after="40"/>
            </w:pPr>
            <w:r>
              <w:rPr>
                <w:sz w:val="17"/>
              </w:rPr>
            </w:r>
            <w:r>
              <w:rPr>
                <w:rFonts w:ascii="IBM Plex Sans" w:hAnsi="IBM Plex Sans" w:cs="IBM Plex Sans"/>
                <w:b w:val="0"/>
                <w:i w:val="0"/>
                <w:color w:val="161412"/>
                <w:sz w:val="17"/>
              </w:rPr>
              <w:t>Dependencia</w:t>
            </w:r>
          </w:p>
        </w:tc>
        <w:tc>
          <w:tcPr>
            <w:tcW w:type="dxa" w:w="4158"/>
          </w:tcPr>
          <w:p>
            <w:pPr>
              <w:spacing w:after="40"/>
            </w:pPr>
            <w:r>
              <w:rPr>
                <w:sz w:val="17"/>
              </w:rPr>
            </w:r>
            <w:r>
              <w:rPr>
                <w:rFonts w:ascii="IBM Plex Sans" w:hAnsi="IBM Plex Sans" w:cs="IBM Plex Sans"/>
                <w:b w:val="0"/>
                <w:i w:val="0"/>
                <w:color w:val="161412"/>
                <w:sz w:val="17"/>
              </w:rPr>
              <w:t>¿a qué pertenece?</w:t>
            </w:r>
          </w:p>
        </w:tc>
      </w:tr>
      <w:tr>
        <w:tc>
          <w:tcPr>
            <w:tcW w:type="dxa" w:w="4158"/>
          </w:tcPr>
          <w:p>
            <w:pPr>
              <w:spacing w:after="40"/>
            </w:pPr>
            <w:r>
              <w:rPr>
                <w:sz w:val="17"/>
              </w:rPr>
            </w:r>
            <w:r>
              <w:rPr>
                <w:rFonts w:ascii="IBM Plex Sans" w:hAnsi="IBM Plex Sans" w:cs="IBM Plex Sans"/>
                <w:b w:val="0"/>
                <w:i w:val="0"/>
                <w:color w:val="161412"/>
                <w:sz w:val="17"/>
              </w:rPr>
              <w:t>Reversibilidad</w:t>
            </w:r>
          </w:p>
        </w:tc>
        <w:tc>
          <w:tcPr>
            <w:tcW w:type="dxa" w:w="4158"/>
          </w:tcPr>
          <w:p>
            <w:pPr>
              <w:spacing w:after="40"/>
            </w:pPr>
            <w:r>
              <w:rPr>
                <w:sz w:val="17"/>
              </w:rPr>
            </w:r>
            <w:r>
              <w:rPr>
                <w:rFonts w:ascii="IBM Plex Sans" w:hAnsi="IBM Plex Sans" w:cs="IBM Plex Sans"/>
                <w:b w:val="0"/>
                <w:i w:val="0"/>
                <w:color w:val="161412"/>
                <w:sz w:val="17"/>
              </w:rPr>
              <w:t>¿se ocultó o se perdió?</w:t>
            </w:r>
          </w:p>
        </w:tc>
      </w:tr>
      <w:tr>
        <w:tc>
          <w:tcPr>
            <w:tcW w:type="dxa" w:w="4158"/>
          </w:tcPr>
          <w:p>
            <w:pPr>
              <w:spacing w:after="40"/>
            </w:pPr>
            <w:r>
              <w:rPr>
                <w:sz w:val="17"/>
              </w:rPr>
            </w:r>
            <w:r>
              <w:rPr>
                <w:rFonts w:ascii="IBM Plex Sans" w:hAnsi="IBM Plex Sans" w:cs="IBM Plex Sans"/>
                <w:b w:val="0"/>
                <w:i w:val="0"/>
                <w:color w:val="161412"/>
                <w:sz w:val="17"/>
              </w:rPr>
              <w:t>Campo</w:t>
            </w:r>
          </w:p>
        </w:tc>
        <w:tc>
          <w:tcPr>
            <w:tcW w:type="dxa" w:w="4158"/>
          </w:tcPr>
          <w:p>
            <w:pPr>
              <w:spacing w:after="40"/>
            </w:pPr>
            <w:r>
              <w:rPr>
                <w:sz w:val="17"/>
              </w:rPr>
            </w:r>
            <w:r>
              <w:rPr>
                <w:rFonts w:ascii="IBM Plex Sans" w:hAnsi="IBM Plex Sans" w:cs="IBM Plex Sans"/>
                <w:b w:val="0"/>
                <w:i w:val="0"/>
                <w:color w:val="161412"/>
                <w:sz w:val="17"/>
              </w:rPr>
              <w:t>¿cómo se reorganiza lo visible?</w:t>
            </w:r>
          </w:p>
        </w:tc>
      </w:tr>
    </w:tbl>
    <w:p>
      <w:pPr>
        <w:spacing w:after="80"/>
      </w:pPr>
    </w:p>
    <w:p>
      <w:r>
        <w:br w:type="page"/>
      </w:r>
    </w:p>
    <w:p>
      <w:pPr>
        <w:spacing w:after="40"/>
      </w:pPr>
      <w:r>
        <w:rPr>
          <w:rFonts w:ascii="IBM Plex Sans" w:hAnsi="IBM Plex Sans" w:cs="IBM Plex Sans"/>
          <w:b/>
          <w:color w:val="1F3A5F"/>
          <w:sz w:val="18"/>
        </w:rPr>
        <w:t>CAPÍTULO 27</w:t>
      </w:r>
    </w:p>
    <w:p>
      <w:pPr>
        <w:spacing w:after="80" w:line="240" w:lineRule="auto"/>
      </w:pPr>
      <w:r>
        <w:rPr>
          <w:rFonts w:ascii="IBM Plex Sans" w:hAnsi="IBM Plex Sans" w:cs="IBM Plex Sans"/>
          <w:color w:val="161412"/>
          <w:sz w:val="220"/>
        </w:rPr>
        <w:t>27</w:t>
      </w:r>
    </w:p>
    <w:p>
      <w:pPr>
        <w:spacing w:after="60" w:line="240" w:lineRule="auto"/>
      </w:pPr>
      <w:r>
        <w:rPr>
          <w:rFonts w:ascii="Newsreader" w:hAnsi="Newsreader" w:cs="Newsreader"/>
          <w:color w:val="161412"/>
          <w:sz w:val="60"/>
        </w:rPr>
        <w:t>Shift</w:t>
      </w:r>
    </w:p>
    <w:p>
      <w:pPr>
        <w:spacing w:after="280"/>
      </w:pPr>
      <w:r>
        <w:rPr>
          <w:rFonts w:ascii="IBM Plex Sans" w:hAnsi="IBM Plex Sans" w:cs="IBM Plex Sans"/>
          <w:color w:val="6A635A"/>
          <w:sz w:val="26"/>
        </w:rPr>
        <w:t>Cuando cambia el contexto</w:t>
      </w:r>
    </w:p>
    <w:p>
      <w:pPr>
        <w:pBdr>
          <w:bottom w:val="single" w:sz="4" w:space="4" w:color="1F3A5F"/>
        </w:pBdr>
      </w:pP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¿Cómo se percibe que el contexto de trabajo ha cambiado, sin que el usuario se pierda?</w:t>
      </w:r>
    </w:p>
    <w:p>
      <w:pPr>
        <w:spacing w:after="120" w:line="320" w:lineRule="auto"/>
        <w:jc w:val="both"/>
      </w:pPr>
      <w:r>
        <w:rPr>
          <w:rFonts w:ascii="Newsreader" w:hAnsi="Newsreader" w:cs="Newsreader"/>
          <w:b w:val="0"/>
          <w:i w:val="0"/>
          <w:color w:val="161412"/>
        </w:rPr>
        <w:t xml:space="preserve">El usuario toca un elemento y, de pronto, las reglas son otras: lo que antes se leía ahora se edita, los botones de antes han desaparecido y han aparecido otros. No se ha movido una pieza del tablero: ha cambiado el tablero entero. Y si nada avisa de que se ha cruzado una frontera, quien usa la interfaz se queda un instante sin saber dónde está.</w:t>
      </w:r>
    </w:p>
    <w:p>
      <w:pPr>
        <w:spacing w:after="120" w:line="320" w:lineRule="auto"/>
        <w:jc w:val="both"/>
      </w:pPr>
      <w:r>
        <w:rPr>
          <w:rFonts w:ascii="Newsreader" w:hAnsi="Newsreader" w:cs="Newsreader"/>
          <w:b w:val="0"/>
          <w:i w:val="0"/>
          <w:color w:val="161412"/>
        </w:rPr>
        <w:t>Hasta ahora hemos visto eventos que ocurren dentro de un mismo contexto: el sistema responde, algo queda fijado, algo reclama atención, el usuario manipula, algo aparece o desaparece. Pero hay un tipo de evento distinto, que no cambia solo un elemento ni hace aparecer solo una superficie: cambia el lugar desde el que todo lo demás se interpreta. El usuario pasa a otro estado del sistema. Ese evento es shift.</w:t>
      </w:r>
    </w:p>
    <w:p>
      <w:pPr>
        <w:spacing w:before="200" w:after="60"/>
        <w:jc w:val="center"/>
      </w:pPr>
      <w:r>
        <w:drawing>
          <wp:inline xmlns:a="http://schemas.openxmlformats.org/drawingml/2006/main" xmlns:pic="http://schemas.openxmlformats.org/drawingml/2006/picture">
            <wp:extent cx="5029200" cy="3080385"/>
            <wp:docPr id="9013" name="fig27_1"/>
            <wp:cNvGraphicFramePr>
              <a:graphicFrameLocks noChangeAspect="1"/>
            </wp:cNvGraphicFramePr>
            <a:graphic>
              <a:graphicData uri="http://schemas.openxmlformats.org/drawingml/2006/picture">
                <pic:pic>
                  <pic:nvPicPr>
                    <pic:cNvPr id="9013" name="fig27_1"/>
                    <pic:cNvPicPr/>
                  </pic:nvPicPr>
                  <pic:blipFill>
                    <a:blip r:embed="rId912"/>
                    <a:stretch>
                      <a:fillRect/>
                    </a:stretch>
                  </pic:blipFill>
                  <pic:spPr>
                    <a:xfrm>
                      <a:off x="0" y="0"/>
                      <a:ext cx="5029200" cy="3080385"/>
                    </a:xfrm>
                    <a:prstGeom prst="rect"/>
                  </pic:spPr>
                </pic:pic>
              </a:graphicData>
            </a:graphic>
          </wp:inline>
        </w:drawing>
      </w:r>
    </w:p>
    <w:p>
      <w:pPr>
        <w:spacing w:before="320" w:after="40"/>
      </w:pPr>
      <w:r>
        <w:rPr>
          <w:rFonts w:ascii="IBM Plex Sans" w:hAnsi="IBM Plex Sans" w:cs="IBM Plex Sans"/>
          <w:b/>
          <w:color w:val="1F3A5F"/>
          <w:sz w:val="18"/>
        </w:rPr>
        <w:t>§ 1</w:t>
      </w:r>
    </w:p>
    <w:p>
      <w:pPr>
        <w:spacing w:after="160" w:line="240" w:lineRule="auto"/>
      </w:pPr>
      <w:r>
        <w:rPr>
          <w:rFonts w:ascii="Newsreader" w:hAnsi="Newsreader" w:cs="Newsreader"/>
          <w:color w:val="161412"/>
          <w:sz w:val="38"/>
        </w:rPr>
        <w:t>Qué es shift</w:t>
      </w:r>
    </w:p>
    <w:p>
      <w:pPr>
        <w:spacing w:after="120" w:line="320" w:lineRule="auto"/>
        <w:jc w:val="both"/>
      </w:pPr>
      <w:r>
        <w:rPr>
          <w:rFonts w:ascii="Newsreader" w:hAnsi="Newsreader" w:cs="Newsreader"/>
          <w:b w:val="0"/>
          <w:i w:val="0"/>
          <w:color w:val="161412"/>
        </w:rPr>
        <w:t>shift es la familia semántica del cambio de contexto. No describe un contenido, ni una señal, ni una acción puntual: describe algo más profundo.</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 xml:space="preserve">El contexto en el que el usuario actúa ha cambiado.</w:t>
      </w:r>
    </w:p>
    <w:p>
      <w:pPr>
        <w:spacing w:after="120" w:line="320" w:lineRule="auto"/>
        <w:jc w:val="both"/>
      </w:pPr>
      <w:r>
        <w:rPr>
          <w:rFonts w:ascii="Newsreader" w:hAnsi="Newsreader" w:cs="Newsreader"/>
          <w:b w:val="0"/>
          <w:i w:val="0"/>
          <w:color w:val="161412"/>
        </w:rPr>
        <w:t xml:space="preserve">Sus verbos recorren las formas de ese cruce: </w:t>
      </w:r>
      <w:r>
        <w:rPr>
          <w:rFonts w:ascii="Newsreader" w:hAnsi="Newsreader" w:cs="Newsreader"/>
          <w:b w:val="0"/>
          <w:i/>
          <w:color w:val="161412"/>
        </w:rPr>
        <w:t>enter-mode</w:t>
      </w:r>
      <w:r>
        <w:rPr>
          <w:rFonts w:ascii="Newsreader" w:hAnsi="Newsreader" w:cs="Newsreader"/>
          <w:b w:val="0"/>
          <w:i w:val="0"/>
          <w:color w:val="161412"/>
        </w:rPr>
        <w:t xml:space="preserve">, </w:t>
      </w:r>
      <w:r>
        <w:rPr>
          <w:rFonts w:ascii="Newsreader" w:hAnsi="Newsreader" w:cs="Newsreader"/>
          <w:b w:val="0"/>
          <w:i/>
          <w:color w:val="161412"/>
        </w:rPr>
        <w:t>exit-mode</w:t>
      </w:r>
      <w:r>
        <w:rPr>
          <w:rFonts w:ascii="Newsreader" w:hAnsi="Newsreader" w:cs="Newsreader"/>
          <w:b w:val="0"/>
          <w:i w:val="0"/>
          <w:color w:val="161412"/>
        </w:rPr>
        <w:t xml:space="preserve">, </w:t>
      </w:r>
      <w:r>
        <w:rPr>
          <w:rFonts w:ascii="Newsreader" w:hAnsi="Newsreader" w:cs="Newsreader"/>
          <w:b w:val="0"/>
          <w:i/>
          <w:color w:val="161412"/>
        </w:rPr>
        <w:t>navigate</w:t>
      </w:r>
      <w:r>
        <w:rPr>
          <w:rFonts w:ascii="Newsreader" w:hAnsi="Newsreader" w:cs="Newsreader"/>
          <w:b w:val="0"/>
          <w:i w:val="0"/>
          <w:color w:val="161412"/>
        </w:rPr>
        <w:t xml:space="preserve">, </w:t>
      </w:r>
      <w:r>
        <w:rPr>
          <w:rFonts w:ascii="Newsreader" w:hAnsi="Newsreader" w:cs="Newsreader"/>
          <w:b w:val="0"/>
          <w:i/>
          <w:color w:val="161412"/>
        </w:rPr>
        <w:t>step</w:t>
      </w:r>
      <w:r>
        <w:rPr>
          <w:rFonts w:ascii="Newsreader" w:hAnsi="Newsreader" w:cs="Newsreader"/>
          <w:b w:val="0"/>
          <w:i w:val="0"/>
          <w:color w:val="161412"/>
        </w:rPr>
        <w:t xml:space="preserve">, </w:t>
      </w:r>
      <w:r>
        <w:rPr>
          <w:rFonts w:ascii="Newsreader" w:hAnsi="Newsreader" w:cs="Newsreader"/>
          <w:b w:val="0"/>
          <w:i/>
          <w:color w:val="161412"/>
        </w:rPr>
        <w:t>route</w:t>
      </w:r>
      <w:r>
        <w:rPr>
          <w:rFonts w:ascii="Newsreader" w:hAnsi="Newsreader" w:cs="Newsreader"/>
          <w:b w:val="0"/>
          <w:i w:val="0"/>
          <w:color w:val="161412"/>
        </w:rPr>
        <w:t xml:space="preserve">, </w:t>
      </w:r>
      <w:r>
        <w:rPr>
          <w:rFonts w:ascii="Newsreader" w:hAnsi="Newsreader" w:cs="Newsreader"/>
          <w:b w:val="0"/>
          <w:i/>
          <w:color w:val="161412"/>
        </w:rPr>
        <w:t>context</w:t>
      </w:r>
      <w:r>
        <w:rPr>
          <w:rFonts w:ascii="Newsreader" w:hAnsi="Newsreader" w:cs="Newsreader"/>
          <w:b w:val="0"/>
          <w:i w:val="0"/>
          <w:color w:val="161412"/>
        </w:rPr>
        <w:t xml:space="preserve">, </w:t>
      </w:r>
      <w:r>
        <w:rPr>
          <w:rFonts w:ascii="Newsreader" w:hAnsi="Newsreader" w:cs="Newsreader"/>
          <w:b w:val="0"/>
          <w:i/>
          <w:color w:val="161412"/>
        </w:rPr>
        <w:t>return</w:t>
      </w:r>
      <w:r>
        <w:rPr>
          <w:rFonts w:ascii="Newsreader" w:hAnsi="Newsreader" w:cs="Newsreader"/>
          <w:b w:val="0"/>
          <w:i w:val="0"/>
          <w:color w:val="161412"/>
        </w:rPr>
        <w:t>. Abrir un modal, entrar en edición, ir a otra pantalla, avanzar en un flujo, cambiar de vista, activar un modo especial: todo eso es shift.</w:t>
      </w:r>
    </w:p>
    <w:p>
      <w:pPr>
        <w:spacing w:before="320" w:after="40"/>
      </w:pPr>
      <w:r>
        <w:rPr>
          <w:rFonts w:ascii="IBM Plex Sans" w:hAnsi="IBM Plex Sans" w:cs="IBM Plex Sans"/>
          <w:b/>
          <w:color w:val="1F3A5F"/>
          <w:sz w:val="18"/>
        </w:rPr>
        <w:t>§ 2</w:t>
      </w:r>
    </w:p>
    <w:p>
      <w:pPr>
        <w:spacing w:after="160" w:line="240" w:lineRule="auto"/>
      </w:pPr>
      <w:r>
        <w:rPr>
          <w:rFonts w:ascii="Newsreader" w:hAnsi="Newsreader" w:cs="Newsreader"/>
          <w:color w:val="161412"/>
          <w:sz w:val="38"/>
        </w:rPr>
        <w:t>Qué no es shift</w:t>
      </w:r>
    </w:p>
    <w:p>
      <w:pPr>
        <w:spacing w:after="120" w:line="320" w:lineRule="auto"/>
        <w:jc w:val="both"/>
      </w:pPr>
      <w:r>
        <w:rPr>
          <w:rFonts w:ascii="Newsreader" w:hAnsi="Newsreader" w:cs="Newsreader"/>
          <w:b w:val="0"/>
          <w:i w:val="0"/>
          <w:color w:val="161412"/>
        </w:rPr>
        <w:t>Cada frontera deja fuera una confusión frecuente:</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shift no es emerge.</w:t>
      </w:r>
      <w:r>
        <w:rPr>
          <w:rFonts w:ascii="Newsreader" w:hAnsi="Newsreader" w:cs="Newsreader"/>
          <w:b w:val="0"/>
          <w:i w:val="0"/>
          <w:color w:val="161412"/>
        </w:rPr>
        <w:t xml:space="preserve"> emerge.open ≠ shift.enter-mode: un dropdown aparece; un modal cambia el contexto.</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shift no es commit.</w:t>
      </w:r>
      <w:r>
        <w:rPr>
          <w:rFonts w:ascii="Newsreader" w:hAnsi="Newsreader" w:cs="Newsreader"/>
          <w:b w:val="0"/>
          <w:i w:val="0"/>
          <w:color w:val="161412"/>
        </w:rPr>
        <w:t xml:space="preserve"> shift.navigate ≠ commit.submit: ir a otra pantalla no implica que la operación haya terminado.</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shift no es signal.</w:t>
      </w:r>
      <w:r>
        <w:rPr>
          <w:rFonts w:ascii="Newsreader" w:hAnsi="Newsreader" w:cs="Newsreader"/>
          <w:b w:val="0"/>
          <w:i w:val="0"/>
          <w:color w:val="161412"/>
        </w:rPr>
        <w:t xml:space="preserve"> Un cambio de vista no es una advertencia.</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shift no es handle.</w:t>
      </w:r>
      <w:r>
        <w:rPr>
          <w:rFonts w:ascii="Newsreader" w:hAnsi="Newsreader" w:cs="Newsreader"/>
          <w:b w:val="0"/>
          <w:i w:val="0"/>
          <w:color w:val="161412"/>
        </w:rPr>
        <w:t xml:space="preserve"> Manipular un objeto no es cambiar el marco.</w:t>
      </w:r>
    </w:p>
    <w:p>
      <w:pPr>
        <w:spacing w:before="320" w:after="40"/>
      </w:pPr>
      <w:r>
        <w:rPr>
          <w:rFonts w:ascii="IBM Plex Sans" w:hAnsi="IBM Plex Sans" w:cs="IBM Plex Sans"/>
          <w:b/>
          <w:color w:val="1F3A5F"/>
          <w:sz w:val="18"/>
        </w:rPr>
        <w:t>§ 3</w:t>
      </w:r>
    </w:p>
    <w:p>
      <w:pPr>
        <w:spacing w:after="160" w:line="240" w:lineRule="auto"/>
      </w:pPr>
      <w:r>
        <w:rPr>
          <w:rFonts w:ascii="Newsreader" w:hAnsi="Newsreader" w:cs="Newsreader"/>
          <w:color w:val="161412"/>
          <w:sz w:val="38"/>
        </w:rPr>
        <w:t>Fundamento psicoperceptivo: cambio de contexto, orientación y modelo mental</w:t>
      </w:r>
    </w:p>
    <w:p>
      <w:pPr>
        <w:spacing w:after="120" w:line="320" w:lineRule="auto"/>
        <w:jc w:val="both"/>
      </w:pPr>
      <w:r>
        <w:rPr>
          <w:rFonts w:ascii="Newsreader" w:hAnsi="Newsreader" w:cs="Newsreader"/>
          <w:b w:val="0"/>
          <w:i w:val="0"/>
          <w:color w:val="161412"/>
        </w:rPr>
        <w:t>shift se apoya en un fenómeno clave: el usuario opera siempre dentro de un modelo mental activo, y cuando ese modelo cambia, la percepción cambia con él. El cambio no es solo visual: es semántico. Editar frente a visualizar, navegar frente a confirmar, formulario frente a resultado, lista frente a detalle, selección simple frente a modo bulk: en cada uno de esos cruces cambia qué puedo hacer, qué significa cada acción, qué es relevante, qué está permitido, qué queda subordinado y cómo vuelvo.</w:t>
      </w:r>
    </w:p>
    <w:p>
      <w:pPr>
        <w:spacing w:after="120" w:line="320" w:lineRule="auto"/>
        <w:jc w:val="both"/>
      </w:pPr>
      <w:r>
        <w:rPr>
          <w:rFonts w:ascii="Newsreader" w:hAnsi="Newsreader" w:cs="Newsreader"/>
          <w:b w:val="0"/>
          <w:i w:val="0"/>
          <w:color w:val="161412"/>
        </w:rPr>
        <w:t>Por eso el usuario necesita reorientarse. Si el sistema no comunica el cambio de contexto, aparece la desorientación con sus preguntas características: ¿dónde estoy?, ¿qué ha cambiado?, ¿puedo volver?, ¿qué puedo hacer ahora? shift no es opcional: es necesario para mantener la coherencia cognitiva.</w:t>
      </w:r>
    </w:p>
    <w:p>
      <w:pPr>
        <w:spacing w:before="320" w:after="40"/>
      </w:pPr>
      <w:r>
        <w:rPr>
          <w:rFonts w:ascii="IBM Plex Sans" w:hAnsi="IBM Plex Sans" w:cs="IBM Plex Sans"/>
          <w:b/>
          <w:color w:val="1F3A5F"/>
          <w:sz w:val="18"/>
        </w:rPr>
        <w:t>§ 4</w:t>
      </w:r>
    </w:p>
    <w:p>
      <w:pPr>
        <w:spacing w:after="160" w:line="240" w:lineRule="auto"/>
      </w:pPr>
      <w:r>
        <w:rPr>
          <w:rFonts w:ascii="Newsreader" w:hAnsi="Newsreader" w:cs="Newsreader"/>
          <w:color w:val="161412"/>
          <w:sz w:val="38"/>
        </w:rPr>
        <w:t>La pregunta perceptiva</w:t>
      </w:r>
    </w:p>
    <w:p>
      <w:pPr>
        <w:spacing w:after="120" w:line="320" w:lineRule="auto"/>
        <w:jc w:val="both"/>
      </w:pPr>
      <w:r>
        <w:rPr>
          <w:rFonts w:ascii="Newsreader" w:hAnsi="Newsreader" w:cs="Newsreader"/>
          <w:b w:val="0"/>
          <w:i w:val="0"/>
          <w:color w:val="161412"/>
        </w:rPr>
        <w:t>shift responde a: ¿sigo en el mismo contexto o estoy en otro? Y trae consigo las preguntas de la reorientación: ¿puedo hacer lo mismo aquí?, ¿cómo vuelvo?, ¿qué cambió?, ¿qué es ahora lo importante?</w:t>
      </w:r>
    </w:p>
    <w:p>
      <w:pPr>
        <w:spacing w:before="320" w:after="40"/>
      </w:pPr>
      <w:r>
        <w:rPr>
          <w:rFonts w:ascii="IBM Plex Sans" w:hAnsi="IBM Plex Sans" w:cs="IBM Plex Sans"/>
          <w:b/>
          <w:color w:val="1F3A5F"/>
          <w:sz w:val="18"/>
        </w:rPr>
        <w:t>§ 5</w:t>
      </w:r>
    </w:p>
    <w:p>
      <w:pPr>
        <w:spacing w:after="160" w:line="240" w:lineRule="auto"/>
      </w:pPr>
      <w:r>
        <w:rPr>
          <w:rFonts w:ascii="Newsreader" w:hAnsi="Newsreader" w:cs="Newsreader"/>
          <w:color w:val="161412"/>
          <w:sz w:val="38"/>
        </w:rPr>
        <w:t>Tipos de shift</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Navegación</w:t>
      </w:r>
      <w:r>
        <w:rPr>
          <w:rFonts w:ascii="Newsreader" w:hAnsi="Newsreader" w:cs="Newsreader"/>
          <w:b w:val="0"/>
          <w:i w:val="0"/>
          <w:color w:val="161412"/>
        </w:rPr>
        <w:t xml:space="preserve"> — shift.navigate: lista → detalle, página A → página B. Lectura: «estoy en otro lugar».</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Cambio de modo</w:t>
      </w:r>
      <w:r>
        <w:rPr>
          <w:rFonts w:ascii="Newsreader" w:hAnsi="Newsreader" w:cs="Newsreader"/>
          <w:b w:val="0"/>
          <w:i w:val="0"/>
          <w:color w:val="161412"/>
        </w:rPr>
        <w:t xml:space="preserve"> — shift.enter-mode / shift.exit-mode: visualizar → editar, normal → selección múltiple. Lectura: «estoy en otro régimen».</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Flujo paso a paso</w:t>
      </w:r>
      <w:r>
        <w:rPr>
          <w:rFonts w:ascii="Newsreader" w:hAnsi="Newsreader" w:cs="Newsreader"/>
          <w:b w:val="0"/>
          <w:i w:val="0"/>
          <w:color w:val="161412"/>
        </w:rPr>
        <w:t xml:space="preserve"> — shift.step: paso 1 → paso 2 → paso 3. Lectura: «avanzo en un proceso».</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Cambio de contexto local</w:t>
      </w:r>
      <w:r>
        <w:rPr>
          <w:rFonts w:ascii="Newsreader" w:hAnsi="Newsreader" w:cs="Newsreader"/>
          <w:b w:val="0"/>
          <w:i w:val="0"/>
          <w:color w:val="161412"/>
        </w:rPr>
        <w:t xml:space="preserve"> — shift.context: filtro activo, modo bulk, vista agrupada. Lectura: «el significado del campo cambió».</w:t>
      </w:r>
    </w:p>
    <w:p>
      <w:pPr>
        <w:spacing w:before="320" w:after="40"/>
      </w:pPr>
      <w:r>
        <w:rPr>
          <w:rFonts w:ascii="IBM Plex Sans" w:hAnsi="IBM Plex Sans" w:cs="IBM Plex Sans"/>
          <w:b/>
          <w:color w:val="1F3A5F"/>
          <w:sz w:val="18"/>
        </w:rPr>
        <w:t>§ 6</w:t>
      </w:r>
    </w:p>
    <w:p>
      <w:pPr>
        <w:spacing w:after="160" w:line="240" w:lineRule="auto"/>
      </w:pPr>
      <w:r>
        <w:rPr>
          <w:rFonts w:ascii="Newsreader" w:hAnsi="Newsreader" w:cs="Newsreader"/>
          <w:color w:val="161412"/>
          <w:sz w:val="38"/>
        </w:rPr>
        <w:t>Canales de shift</w:t>
      </w:r>
    </w:p>
    <w:p>
      <w:pPr>
        <w:spacing w:after="120" w:line="320" w:lineRule="auto"/>
        <w:jc w:val="both"/>
      </w:pPr>
      <w:r>
        <w:rPr>
          <w:rFonts w:ascii="Newsreader" w:hAnsi="Newsreader" w:cs="Newsreader"/>
          <w:b w:val="0"/>
          <w:i w:val="0"/>
          <w:color w:val="161412"/>
        </w:rPr>
        <w:t>shift es altamente multicanal: la profundidad marca el nuevo plano, la presencia introduce el nuevo contexto, el motion orienta la transición y la forma estructura el nuevo estado. Pero hay un canal que manda sobre los demás: el foco.</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Si cambia el contexto, debe cambiar el foco.</w:t>
      </w:r>
    </w:p>
    <w:p>
      <w:pPr>
        <w:spacing w:before="320" w:after="40"/>
      </w:pPr>
      <w:r>
        <w:rPr>
          <w:rFonts w:ascii="IBM Plex Sans" w:hAnsi="IBM Plex Sans" w:cs="IBM Plex Sans"/>
          <w:b/>
          <w:color w:val="1F3A5F"/>
          <w:sz w:val="18"/>
        </w:rPr>
        <w:t>§ 7</w:t>
      </w:r>
    </w:p>
    <w:p>
      <w:pPr>
        <w:spacing w:after="160" w:line="240" w:lineRule="auto"/>
      </w:pPr>
      <w:r>
        <w:rPr>
          <w:rFonts w:ascii="Newsreader" w:hAnsi="Newsreader" w:cs="Newsreader"/>
          <w:color w:val="161412"/>
          <w:sz w:val="38"/>
        </w:rPr>
        <w:t>shift y familias relacionadas</w:t>
      </w:r>
    </w:p>
    <w:p>
      <w:pPr>
        <w:spacing w:after="120" w:line="320" w:lineRule="auto"/>
        <w:jc w:val="both"/>
      </w:pPr>
      <w:r>
        <w:rPr>
          <w:rFonts w:ascii="Newsreader" w:hAnsi="Newsreader" w:cs="Newsreader"/>
          <w:b w:val="0"/>
          <w:i w:val="0"/>
          <w:color w:val="161412"/>
        </w:rPr>
        <w:t>Tres pares delimitan la familia. Con emerge, la diferencia es de alcance: emerge hace que aparezca algo; shift cambia el sistema de acción. El dropdown es emerge.open; el modal es shift.enter-mode —ambas superficies aparecen, pero solo una cambia el contexto—. Con commit, la relación es de secuencia: una operación puede terminar (commit.submit + fulfill) y después llevar a otra vista (shift.navigate); el cierre y el traslado son eventos distintos. Y con signal, la relación es de composición: un modal puede cambiar el marco (shift.enter-mode) y contener una advertencia (signal.warn + threat); el marco no carga el intent, el mensaje sí.</w:t>
      </w:r>
    </w:p>
    <w:p>
      <w:pPr>
        <w:spacing w:before="320" w:after="40"/>
      </w:pPr>
      <w:r>
        <w:rPr>
          <w:rFonts w:ascii="IBM Plex Sans" w:hAnsi="IBM Plex Sans" w:cs="IBM Plex Sans"/>
          <w:b/>
          <w:color w:val="1F3A5F"/>
          <w:sz w:val="18"/>
        </w:rPr>
        <w:t>§ 8</w:t>
      </w:r>
    </w:p>
    <w:p>
      <w:pPr>
        <w:spacing w:after="160" w:line="240" w:lineRule="auto"/>
      </w:pPr>
      <w:r>
        <w:rPr>
          <w:rFonts w:ascii="Newsreader" w:hAnsi="Newsreader" w:cs="Newsreader"/>
          <w:color w:val="161412"/>
          <w:sz w:val="38"/>
        </w:rPr>
        <w:t>Ejemplos prácticos</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Navegación</w:t>
      </w:r>
      <w:r>
        <w:rPr>
          <w:rFonts w:ascii="Newsreader" w:hAnsi="Newsreader" w:cs="Newsreader"/>
          <w:b w:val="0"/>
          <w:i w:val="0"/>
          <w:color w:val="161412"/>
        </w:rPr>
        <w:t xml:space="preserve"> → contact.press · shift.navigate</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Modal de confirmación</w:t>
      </w:r>
      <w:r>
        <w:rPr>
          <w:rFonts w:ascii="Newsreader" w:hAnsi="Newsreader" w:cs="Newsreader"/>
          <w:b w:val="0"/>
          <w:i w:val="0"/>
          <w:color w:val="161412"/>
        </w:rPr>
        <w:t xml:space="preserve"> → contact.press · shift.enter-mode · signal.warn + threat</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Wizard</w:t>
      </w:r>
      <w:r>
        <w:rPr>
          <w:rFonts w:ascii="Newsreader" w:hAnsi="Newsreader" w:cs="Newsreader"/>
          <w:b w:val="0"/>
          <w:i w:val="0"/>
          <w:color w:val="161412"/>
        </w:rPr>
        <w:t xml:space="preserve"> → shift.step en cada avance</w:t>
      </w:r>
    </w:p>
    <w:p>
      <w:pPr>
        <w:spacing w:after="100" w:line="312" w:lineRule="auto"/>
        <w:ind w:left="403" w:hanging="259"/>
        <w:jc w:val="both"/>
      </w:pPr>
      <w:r>
        <w:rPr>
          <w:rFonts w:ascii="IBM Plex Sans" w:hAnsi="IBM Plex Sans" w:cs="IBM Plex Sans"/>
          <w:b/>
          <w:color w:val="1F3A5F"/>
          <w:sz w:val="20"/>
        </w:rPr>
        <w:t xml:space="preserve">•  Modo edición → shift.enter-mode · ediciones dentro del modo (contact, commit.set) · commit.save + affirm · shift.exit-mode</w:t>
      </w:r>
      <w:r>
        <w:rPr>
          <w:rFonts w:ascii="Newsreader" w:hAnsi="Newsreader" w:cs="Newsreader"/>
          <w:b w:val="0"/>
          <w:i w:val="0"/>
          <w:color w:val="161412"/>
        </w:rPr>
        <w:t xml:space="preserve"/>
      </w:r>
    </w:p>
    <w:p>
      <w:pPr>
        <w:spacing w:before="320" w:after="40"/>
      </w:pPr>
      <w:r>
        <w:rPr>
          <w:rFonts w:ascii="IBM Plex Sans" w:hAnsi="IBM Plex Sans" w:cs="IBM Plex Sans"/>
          <w:b/>
          <w:color w:val="1F3A5F"/>
          <w:sz w:val="18"/>
        </w:rPr>
        <w:t>§ 9</w:t>
      </w:r>
    </w:p>
    <w:p>
      <w:pPr>
        <w:spacing w:after="160" w:line="240" w:lineRule="auto"/>
      </w:pPr>
      <w:r>
        <w:rPr>
          <w:rFonts w:ascii="Newsreader" w:hAnsi="Newsreader" w:cs="Newsreader"/>
          <w:color w:val="161412"/>
          <w:sz w:val="38"/>
        </w:rPr>
        <w:t>Accesibilidad</w:t>
      </w:r>
    </w:p>
    <w:p>
      <w:pPr>
        <w:spacing w:after="120" w:line="320" w:lineRule="auto"/>
        <w:jc w:val="both"/>
      </w:pPr>
      <w:r>
        <w:rPr>
          <w:rFonts w:ascii="Newsreader" w:hAnsi="Newsreader" w:cs="Newsreader"/>
          <w:b w:val="0"/>
          <w:i w:val="0"/>
          <w:color w:val="161412"/>
        </w:rPr>
        <w:t>shift es crítico en accesibilidad. Un cambio de contexto accesible mueve el foco, anuncia el cambio, actualiza el título, define landmarks, permite volver, evita la desorientación y bloquea correctamente lo que ya no es operativo.</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Si el usuario no sabe dónde está, el shift falló.</w:t>
      </w:r>
    </w:p>
    <w:p>
      <w:pPr>
        <w:spacing w:before="320" w:after="40"/>
      </w:pPr>
      <w:r>
        <w:rPr>
          <w:rFonts w:ascii="IBM Plex Sans" w:hAnsi="IBM Plex Sans" w:cs="IBM Plex Sans"/>
          <w:b/>
          <w:color w:val="1F3A5F"/>
          <w:sz w:val="18"/>
        </w:rPr>
        <w:t>§ 10</w:t>
      </w:r>
    </w:p>
    <w:p>
      <w:pPr>
        <w:spacing w:after="160" w:line="240" w:lineRule="auto"/>
      </w:pPr>
      <w:r>
        <w:rPr>
          <w:rFonts w:ascii="Newsreader" w:hAnsi="Newsreader" w:cs="Newsreader"/>
          <w:color w:val="161412"/>
          <w:sz w:val="38"/>
        </w:rPr>
        <w:t>Antipatrones</w:t>
      </w:r>
    </w:p>
    <w:p>
      <w:pPr>
        <w:spacing w:after="120" w:line="320" w:lineRule="auto"/>
        <w:jc w:val="both"/>
      </w:pPr>
      <w:r>
        <w:rPr>
          <w:rFonts w:ascii="Newsreader" w:hAnsi="Newsreader" w:cs="Newsreader"/>
          <w:b/>
          <w:i w:val="0"/>
          <w:color w:val="161412"/>
        </w:rPr>
        <w:t>Teletransporte.</w:t>
      </w:r>
      <w:r>
        <w:rPr>
          <w:rFonts w:ascii="Newsreader" w:hAnsi="Newsreader" w:cs="Newsreader"/>
          <w:b w:val="0"/>
          <w:i w:val="0"/>
          <w:color w:val="161412"/>
        </w:rPr>
        <w:t xml:space="preserve"> El contexto cambia sin transición ni orientación: el usuario aparece en otro régimen sin saber cómo llegó ni cómo volver. El shift se percibe como cruce —de dónde, hacia dónde—, no como corte.</w:t>
      </w:r>
    </w:p>
    <w:p>
      <w:pPr>
        <w:spacing w:after="120" w:line="320" w:lineRule="auto"/>
        <w:jc w:val="both"/>
      </w:pPr>
      <w:r>
        <w:rPr>
          <w:rFonts w:ascii="Newsreader" w:hAnsi="Newsreader" w:cs="Newsreader"/>
          <w:b/>
          <w:i w:val="0"/>
          <w:color w:val="161412"/>
        </w:rPr>
        <w:t>Shift disfrazado.</w:t>
      </w:r>
      <w:r>
        <w:rPr>
          <w:rFonts w:ascii="Newsreader" w:hAnsi="Newsreader" w:cs="Newsreader"/>
          <w:b w:val="0"/>
          <w:i w:val="0"/>
          <w:color w:val="161412"/>
        </w:rPr>
        <w:t xml:space="preserve"> El régimen entero cambia, pero la expresión es la de un panel más que aparece. El usuario cree que sigue donde estaba. Si cambian las reglas, la expresión declara el cambio de marco, no una aparición local.</w:t>
      </w:r>
    </w:p>
    <w:p>
      <w:pPr>
        <w:spacing w:after="120" w:line="320" w:lineRule="auto"/>
        <w:jc w:val="both"/>
      </w:pPr>
      <w:r>
        <w:rPr>
          <w:rFonts w:ascii="Newsreader" w:hAnsi="Newsreader" w:cs="Newsreader"/>
          <w:b/>
          <w:i w:val="0"/>
          <w:color w:val="161412"/>
        </w:rPr>
        <w:t>Vuelta con amnesia.</w:t>
      </w:r>
      <w:r>
        <w:rPr>
          <w:rFonts w:ascii="Newsreader" w:hAnsi="Newsreader" w:cs="Newsreader"/>
          <w:b w:val="0"/>
          <w:i w:val="0"/>
          <w:color w:val="161412"/>
        </w:rPr>
        <w:t xml:space="preserve"> Al regresar, el estado anterior se perdió: el scroll, la selección, lo escrito. El viaje de ida tenía billete; el de vuelta no. Salir y volver restituye el contexto que se dejó.</w:t>
      </w:r>
    </w:p>
    <w:p>
      <w:pPr>
        <w:spacing w:before="320" w:after="40"/>
      </w:pPr>
      <w:r>
        <w:rPr>
          <w:rFonts w:ascii="IBM Plex Sans" w:hAnsi="IBM Plex Sans" w:cs="IBM Plex Sans"/>
          <w:b/>
          <w:color w:val="1F3A5F"/>
          <w:sz w:val="18"/>
        </w:rPr>
        <w:t>§ 11</w:t>
      </w:r>
    </w:p>
    <w:p>
      <w:pPr>
        <w:spacing w:after="160" w:line="240" w:lineRule="auto"/>
      </w:pPr>
      <w:r>
        <w:rPr>
          <w:rFonts w:ascii="Newsreader" w:hAnsi="Newsreader" w:cs="Newsreader"/>
          <w:color w:val="161412"/>
          <w:sz w:val="38"/>
        </w:rPr>
        <w:t>Síntesis</w:t>
      </w:r>
    </w:p>
    <w:p>
      <w:pPr>
        <w:spacing w:after="120" w:line="320" w:lineRule="auto"/>
        <w:jc w:val="both"/>
      </w:pPr>
      <w:r>
        <w:rPr>
          <w:rFonts w:ascii="Newsreader" w:hAnsi="Newsreader" w:cs="Newsreader"/>
          <w:b w:val="0"/>
          <w:i w:val="0"/>
          <w:color w:val="161412"/>
        </w:rPr>
        <w:t>shift es la familia del cambio de contexto: comunica dónde está ahora el usuario y bajo qué reglas. Su tesis: shift redefine el espacio de acción del usuario.</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Todo cambio de contexto debe ser explícito y orientado.</w:t>
      </w:r>
    </w:p>
    <w:p>
      <w:pPr>
        <w:spacing w:after="200" w:before="40"/>
      </w:pPr>
      <w:r>
        <w:rPr>
          <w:rFonts w:ascii="IBM Plex Sans" w:hAnsi="IBM Plex Sans" w:cs="IBM Plex Sans"/>
          <w:b/>
          <w:color w:val="1F3A5F"/>
          <w:sz w:val="17"/>
        </w:rPr>
        <w:t xml:space="preserve">TABLA 27.1   </w:t>
      </w:r>
      <w:r>
        <w:rPr>
          <w:rFonts w:ascii="IBM Plex Sans" w:hAnsi="IBM Plex Sans" w:cs="IBM Plex Sans"/>
          <w:color w:val="3A352F"/>
          <w:sz w:val="18"/>
        </w:rPr>
        <w:t xml:space="preserve">Canales de shift y su función</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Canal</w:t>
            </w:r>
          </w:p>
        </w:tc>
        <w:tc>
          <w:tcPr>
            <w:tcW w:type="dxa" w:w="4158"/>
            <w:shd w:val="clear" w:color="auto" w:fill="EAE4D8"/>
          </w:tcPr>
          <w:p>
            <w:pPr>
              <w:spacing w:after="40"/>
            </w:pPr>
            <w:r>
              <w:rPr>
                <w:sz w:val="17"/>
              </w:rPr>
            </w:r>
            <w:r>
              <w:rPr>
                <w:rFonts w:ascii="IBM Plex Sans" w:hAnsi="IBM Plex Sans" w:cs="IBM Plex Sans"/>
                <w:b/>
                <w:i w:val="0"/>
                <w:color w:val="1F3A5F"/>
                <w:sz w:val="17"/>
              </w:rPr>
              <w:t>Función</w:t>
            </w:r>
          </w:p>
        </w:tc>
      </w:tr>
      <w:tr>
        <w:tc>
          <w:tcPr>
            <w:tcW w:type="dxa" w:w="4158"/>
          </w:tcPr>
          <w:p>
            <w:pPr>
              <w:spacing w:after="40"/>
            </w:pPr>
            <w:r>
              <w:rPr>
                <w:sz w:val="17"/>
              </w:rPr>
            </w:r>
            <w:r>
              <w:rPr>
                <w:rFonts w:ascii="IBM Plex Sans" w:hAnsi="IBM Plex Sans" w:cs="IBM Plex Sans"/>
                <w:b w:val="0"/>
                <w:i w:val="0"/>
                <w:color w:val="161412"/>
                <w:sz w:val="17"/>
              </w:rPr>
              <w:t>Profundidad</w:t>
            </w:r>
          </w:p>
        </w:tc>
        <w:tc>
          <w:tcPr>
            <w:tcW w:type="dxa" w:w="4158"/>
          </w:tcPr>
          <w:p>
            <w:pPr>
              <w:spacing w:after="40"/>
            </w:pPr>
            <w:r>
              <w:rPr>
                <w:sz w:val="17"/>
              </w:rPr>
            </w:r>
            <w:r>
              <w:rPr>
                <w:rFonts w:ascii="IBM Plex Sans" w:hAnsi="IBM Plex Sans" w:cs="IBM Plex Sans"/>
                <w:b w:val="0"/>
                <w:i w:val="0"/>
                <w:color w:val="161412"/>
                <w:sz w:val="17"/>
              </w:rPr>
              <w:t>nuevo plano</w:t>
            </w:r>
          </w:p>
        </w:tc>
      </w:tr>
      <w:tr>
        <w:tc>
          <w:tcPr>
            <w:tcW w:type="dxa" w:w="4158"/>
          </w:tcPr>
          <w:p>
            <w:pPr>
              <w:spacing w:after="40"/>
            </w:pPr>
            <w:r>
              <w:rPr>
                <w:sz w:val="17"/>
              </w:rPr>
            </w:r>
            <w:r>
              <w:rPr>
                <w:rFonts w:ascii="IBM Plex Sans" w:hAnsi="IBM Plex Sans" w:cs="IBM Plex Sans"/>
                <w:b w:val="0"/>
                <w:i w:val="0"/>
                <w:color w:val="161412"/>
                <w:sz w:val="17"/>
              </w:rPr>
              <w:t>Presencia</w:t>
            </w:r>
          </w:p>
        </w:tc>
        <w:tc>
          <w:tcPr>
            <w:tcW w:type="dxa" w:w="4158"/>
          </w:tcPr>
          <w:p>
            <w:pPr>
              <w:spacing w:after="40"/>
            </w:pPr>
            <w:r>
              <w:rPr>
                <w:sz w:val="17"/>
              </w:rPr>
            </w:r>
            <w:r>
              <w:rPr>
                <w:rFonts w:ascii="IBM Plex Sans" w:hAnsi="IBM Plex Sans" w:cs="IBM Plex Sans"/>
                <w:b w:val="0"/>
                <w:i w:val="0"/>
                <w:color w:val="161412"/>
                <w:sz w:val="17"/>
              </w:rPr>
              <w:t>aparición del nuevo contexto</w:t>
            </w:r>
          </w:p>
        </w:tc>
      </w:tr>
      <w:tr>
        <w:tc>
          <w:tcPr>
            <w:tcW w:type="dxa" w:w="4158"/>
          </w:tcPr>
          <w:p>
            <w:pPr>
              <w:spacing w:after="40"/>
            </w:pPr>
            <w:r>
              <w:rPr>
                <w:sz w:val="17"/>
              </w:rPr>
            </w:r>
            <w:r>
              <w:rPr>
                <w:rFonts w:ascii="IBM Plex Sans" w:hAnsi="IBM Plex Sans" w:cs="IBM Plex Sans"/>
                <w:b w:val="0"/>
                <w:i w:val="0"/>
                <w:color w:val="161412"/>
                <w:sz w:val="17"/>
              </w:rPr>
              <w:t>Motion</w:t>
            </w:r>
          </w:p>
        </w:tc>
        <w:tc>
          <w:tcPr>
            <w:tcW w:type="dxa" w:w="4158"/>
          </w:tcPr>
          <w:p>
            <w:pPr>
              <w:spacing w:after="40"/>
            </w:pPr>
            <w:r>
              <w:rPr>
                <w:sz w:val="17"/>
              </w:rPr>
            </w:r>
            <w:r>
              <w:rPr>
                <w:rFonts w:ascii="IBM Plex Sans" w:hAnsi="IBM Plex Sans" w:cs="IBM Plex Sans"/>
                <w:b w:val="0"/>
                <w:i w:val="0"/>
                <w:color w:val="161412"/>
                <w:sz w:val="17"/>
              </w:rPr>
              <w:t>transición orientadora</w:t>
            </w:r>
          </w:p>
        </w:tc>
      </w:tr>
      <w:tr>
        <w:tc>
          <w:tcPr>
            <w:tcW w:type="dxa" w:w="4158"/>
          </w:tcPr>
          <w:p>
            <w:pPr>
              <w:spacing w:after="40"/>
            </w:pPr>
            <w:r>
              <w:rPr>
                <w:sz w:val="17"/>
              </w:rPr>
            </w:r>
            <w:r>
              <w:rPr>
                <w:rFonts w:ascii="IBM Plex Sans" w:hAnsi="IBM Plex Sans" w:cs="IBM Plex Sans"/>
                <w:b w:val="0"/>
                <w:i w:val="0"/>
                <w:color w:val="161412"/>
                <w:sz w:val="17"/>
              </w:rPr>
              <w:t>Tiempo</w:t>
            </w:r>
          </w:p>
        </w:tc>
        <w:tc>
          <w:tcPr>
            <w:tcW w:type="dxa" w:w="4158"/>
          </w:tcPr>
          <w:p>
            <w:pPr>
              <w:spacing w:after="40"/>
            </w:pPr>
            <w:r>
              <w:rPr>
                <w:sz w:val="17"/>
              </w:rPr>
            </w:r>
            <w:r>
              <w:rPr>
                <w:rFonts w:ascii="IBM Plex Sans" w:hAnsi="IBM Plex Sans" w:cs="IBM Plex Sans"/>
                <w:b w:val="0"/>
                <w:i w:val="0"/>
                <w:color w:val="161412"/>
                <w:sz w:val="17"/>
              </w:rPr>
              <w:t>duración suficiente</w:t>
            </w:r>
          </w:p>
        </w:tc>
      </w:tr>
      <w:tr>
        <w:tc>
          <w:tcPr>
            <w:tcW w:type="dxa" w:w="4158"/>
          </w:tcPr>
          <w:p>
            <w:pPr>
              <w:spacing w:after="40"/>
            </w:pPr>
            <w:r>
              <w:rPr>
                <w:sz w:val="17"/>
              </w:rPr>
            </w:r>
            <w:r>
              <w:rPr>
                <w:rFonts w:ascii="IBM Plex Sans" w:hAnsi="IBM Plex Sans" w:cs="IBM Plex Sans"/>
                <w:b w:val="0"/>
                <w:i w:val="0"/>
                <w:color w:val="161412"/>
                <w:sz w:val="17"/>
              </w:rPr>
              <w:t>Forma</w:t>
            </w:r>
          </w:p>
        </w:tc>
        <w:tc>
          <w:tcPr>
            <w:tcW w:type="dxa" w:w="4158"/>
          </w:tcPr>
          <w:p>
            <w:pPr>
              <w:spacing w:after="40"/>
            </w:pPr>
            <w:r>
              <w:rPr>
                <w:sz w:val="17"/>
              </w:rPr>
            </w:r>
            <w:r>
              <w:rPr>
                <w:rFonts w:ascii="IBM Plex Sans" w:hAnsi="IBM Plex Sans" w:cs="IBM Plex Sans"/>
                <w:b w:val="0"/>
                <w:i w:val="0"/>
                <w:color w:val="161412"/>
                <w:sz w:val="17"/>
              </w:rPr>
              <w:t>estructura del nuevo estado</w:t>
            </w:r>
          </w:p>
        </w:tc>
      </w:tr>
      <w:tr>
        <w:tc>
          <w:tcPr>
            <w:tcW w:type="dxa" w:w="4158"/>
          </w:tcPr>
          <w:p>
            <w:pPr>
              <w:spacing w:after="40"/>
            </w:pPr>
            <w:r>
              <w:rPr>
                <w:sz w:val="17"/>
              </w:rPr>
            </w:r>
            <w:r>
              <w:rPr>
                <w:rFonts w:ascii="IBM Plex Sans" w:hAnsi="IBM Plex Sans" w:cs="IBM Plex Sans"/>
                <w:b w:val="0"/>
                <w:i w:val="0"/>
                <w:color w:val="161412"/>
                <w:sz w:val="17"/>
              </w:rPr>
              <w:t>Foco</w:t>
            </w:r>
          </w:p>
        </w:tc>
        <w:tc>
          <w:tcPr>
            <w:tcW w:type="dxa" w:w="4158"/>
          </w:tcPr>
          <w:p>
            <w:pPr>
              <w:spacing w:after="40"/>
            </w:pPr>
            <w:r>
              <w:rPr>
                <w:sz w:val="17"/>
              </w:rPr>
            </w:r>
            <w:r>
              <w:rPr>
                <w:rFonts w:ascii="IBM Plex Sans" w:hAnsi="IBM Plex Sans" w:cs="IBM Plex Sans"/>
                <w:b w:val="0"/>
                <w:i w:val="0"/>
                <w:color w:val="161412"/>
                <w:sz w:val="17"/>
              </w:rPr>
              <w:t>punto de entrada</w:t>
            </w:r>
          </w:p>
        </w:tc>
      </w:tr>
      <w:tr>
        <w:tc>
          <w:tcPr>
            <w:tcW w:type="dxa" w:w="4158"/>
          </w:tcPr>
          <w:p>
            <w:pPr>
              <w:spacing w:after="40"/>
            </w:pPr>
            <w:r>
              <w:rPr>
                <w:sz w:val="17"/>
              </w:rPr>
            </w:r>
            <w:r>
              <w:rPr>
                <w:rFonts w:ascii="IBM Plex Sans" w:hAnsi="IBM Plex Sans" w:cs="IBM Plex Sans"/>
                <w:b w:val="0"/>
                <w:i w:val="0"/>
                <w:color w:val="161412"/>
                <w:sz w:val="17"/>
              </w:rPr>
              <w:t>Color</w:t>
            </w:r>
          </w:p>
        </w:tc>
        <w:tc>
          <w:tcPr>
            <w:tcW w:type="dxa" w:w="4158"/>
          </w:tcPr>
          <w:p>
            <w:pPr>
              <w:spacing w:after="40"/>
            </w:pPr>
            <w:r>
              <w:rPr>
                <w:sz w:val="17"/>
              </w:rPr>
            </w:r>
            <w:r>
              <w:rPr>
                <w:rFonts w:ascii="IBM Plex Sans" w:hAnsi="IBM Plex Sans" w:cs="IBM Plex Sans"/>
                <w:b w:val="0"/>
                <w:i w:val="0"/>
                <w:color w:val="161412"/>
                <w:sz w:val="17"/>
              </w:rPr>
              <w:t>apoyo de modo</w:t>
            </w:r>
          </w:p>
        </w:tc>
      </w:tr>
      <w:tr>
        <w:tc>
          <w:tcPr>
            <w:tcW w:type="dxa" w:w="4158"/>
          </w:tcPr>
          <w:p>
            <w:pPr>
              <w:spacing w:after="40"/>
            </w:pPr>
            <w:r>
              <w:rPr>
                <w:sz w:val="17"/>
              </w:rPr>
            </w:r>
            <w:r>
              <w:rPr>
                <w:rFonts w:ascii="IBM Plex Sans" w:hAnsi="IBM Plex Sans" w:cs="IBM Plex Sans"/>
                <w:b w:val="0"/>
                <w:i w:val="0"/>
                <w:color w:val="161412"/>
                <w:sz w:val="17"/>
              </w:rPr>
              <w:t>Sonido</w:t>
            </w:r>
          </w:p>
        </w:tc>
        <w:tc>
          <w:tcPr>
            <w:tcW w:type="dxa" w:w="4158"/>
          </w:tcPr>
          <w:p>
            <w:pPr>
              <w:spacing w:after="40"/>
            </w:pPr>
            <w:r>
              <w:rPr>
                <w:sz w:val="17"/>
              </w:rPr>
            </w:r>
            <w:r>
              <w:rPr>
                <w:rFonts w:ascii="IBM Plex Sans" w:hAnsi="IBM Plex Sans" w:cs="IBM Plex Sans"/>
                <w:b w:val="0"/>
                <w:i w:val="0"/>
                <w:color w:val="161412"/>
                <w:sz w:val="17"/>
              </w:rPr>
              <w:t>ocasional</w:t>
            </w:r>
          </w:p>
        </w:tc>
      </w:tr>
    </w:tbl>
    <w:p>
      <w:pPr>
        <w:spacing w:after="80"/>
      </w:pPr>
    </w:p>
    <w:p>
      <w:pPr>
        <w:spacing w:after="200" w:before="40"/>
      </w:pPr>
      <w:r>
        <w:rPr>
          <w:rFonts w:ascii="IBM Plex Sans" w:hAnsi="IBM Plex Sans" w:cs="IBM Plex Sans"/>
          <w:b/>
          <w:color w:val="1F3A5F"/>
          <w:sz w:val="17"/>
        </w:rPr>
        <w:t xml:space="preserve">TABLA 27.2   </w:t>
      </w:r>
      <w:r>
        <w:rPr>
          <w:rFonts w:ascii="IBM Plex Sans" w:hAnsi="IBM Plex Sans" w:cs="IBM Plex Sans"/>
          <w:color w:val="3A352F"/>
          <w:sz w:val="18"/>
        </w:rPr>
        <w:t xml:space="preserve">Dropdown frente a modal: la frontera emerge/shift</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Propiedad</w:t>
            </w:r>
          </w:p>
        </w:tc>
        <w:tc>
          <w:tcPr>
            <w:tcW w:type="dxa" w:w="2772"/>
            <w:shd w:val="clear" w:color="auto" w:fill="EAE4D8"/>
          </w:tcPr>
          <w:p>
            <w:pPr>
              <w:spacing w:after="40"/>
            </w:pPr>
            <w:r>
              <w:rPr>
                <w:sz w:val="17"/>
              </w:rPr>
            </w:r>
            <w:r>
              <w:rPr>
                <w:rFonts w:ascii="IBM Plex Sans" w:hAnsi="IBM Plex Sans" w:cs="IBM Plex Sans"/>
                <w:b/>
                <w:i w:val="0"/>
                <w:color w:val="1F3A5F"/>
                <w:sz w:val="17"/>
              </w:rPr>
              <w:t>Dropdown</w:t>
            </w:r>
          </w:p>
        </w:tc>
        <w:tc>
          <w:tcPr>
            <w:tcW w:type="dxa" w:w="2772"/>
            <w:shd w:val="clear" w:color="auto" w:fill="EAE4D8"/>
          </w:tcPr>
          <w:p>
            <w:pPr>
              <w:spacing w:after="40"/>
            </w:pPr>
            <w:r>
              <w:rPr>
                <w:sz w:val="17"/>
              </w:rPr>
            </w:r>
            <w:r>
              <w:rPr>
                <w:rFonts w:ascii="IBM Plex Sans" w:hAnsi="IBM Plex Sans" w:cs="IBM Plex Sans"/>
                <w:b/>
                <w:i w:val="0"/>
                <w:color w:val="1F3A5F"/>
                <w:sz w:val="17"/>
              </w:rPr>
              <w:t>Modal</w:t>
            </w:r>
          </w:p>
        </w:tc>
      </w:tr>
      <w:tr>
        <w:tc>
          <w:tcPr>
            <w:tcW w:type="dxa" w:w="2772"/>
          </w:tcPr>
          <w:p>
            <w:pPr>
              <w:spacing w:after="40"/>
            </w:pPr>
            <w:r>
              <w:rPr>
                <w:sz w:val="17"/>
              </w:rPr>
            </w:r>
            <w:r>
              <w:rPr>
                <w:rFonts w:ascii="IBM Plex Sans" w:hAnsi="IBM Plex Sans" w:cs="IBM Plex Sans"/>
                <w:b w:val="0"/>
                <w:i w:val="0"/>
                <w:color w:val="161412"/>
                <w:sz w:val="17"/>
              </w:rPr>
              <w:t>Cambia contexto</w:t>
            </w:r>
          </w:p>
        </w:tc>
        <w:tc>
          <w:tcPr>
            <w:tcW w:type="dxa" w:w="2772"/>
          </w:tcPr>
          <w:p>
            <w:pPr>
              <w:spacing w:after="40"/>
            </w:pPr>
            <w:r>
              <w:rPr>
                <w:sz w:val="17"/>
              </w:rPr>
            </w:r>
            <w:r>
              <w:rPr>
                <w:rFonts w:ascii="IBM Plex Sans" w:hAnsi="IBM Plex Sans" w:cs="IBM Plex Sans"/>
                <w:b w:val="0"/>
                <w:i w:val="0"/>
                <w:color w:val="161412"/>
                <w:sz w:val="17"/>
              </w:rPr>
              <w:t>no</w:t>
            </w:r>
          </w:p>
        </w:tc>
        <w:tc>
          <w:tcPr>
            <w:tcW w:type="dxa" w:w="2772"/>
          </w:tcPr>
          <w:p>
            <w:pPr>
              <w:spacing w:after="40"/>
            </w:pPr>
            <w:r>
              <w:rPr>
                <w:sz w:val="17"/>
              </w:rPr>
            </w:r>
            <w:r>
              <w:rPr>
                <w:rFonts w:ascii="IBM Plex Sans" w:hAnsi="IBM Plex Sans" w:cs="IBM Plex Sans"/>
                <w:b w:val="0"/>
                <w:i w:val="0"/>
                <w:color w:val="161412"/>
                <w:sz w:val="17"/>
              </w:rPr>
              <w:t>sí</w:t>
            </w:r>
          </w:p>
        </w:tc>
      </w:tr>
      <w:tr>
        <w:tc>
          <w:tcPr>
            <w:tcW w:type="dxa" w:w="2772"/>
          </w:tcPr>
          <w:p>
            <w:pPr>
              <w:spacing w:after="40"/>
            </w:pPr>
            <w:r>
              <w:rPr>
                <w:sz w:val="17"/>
              </w:rPr>
            </w:r>
            <w:r>
              <w:rPr>
                <w:rFonts w:ascii="IBM Plex Sans" w:hAnsi="IBM Plex Sans" w:cs="IBM Plex Sans"/>
                <w:b w:val="0"/>
                <w:i w:val="0"/>
                <w:color w:val="161412"/>
                <w:sz w:val="17"/>
              </w:rPr>
              <w:t>Bloquea fondo</w:t>
            </w:r>
          </w:p>
        </w:tc>
        <w:tc>
          <w:tcPr>
            <w:tcW w:type="dxa" w:w="2772"/>
          </w:tcPr>
          <w:p>
            <w:pPr>
              <w:spacing w:after="40"/>
            </w:pPr>
            <w:r>
              <w:rPr>
                <w:sz w:val="17"/>
              </w:rPr>
            </w:r>
            <w:r>
              <w:rPr>
                <w:rFonts w:ascii="IBM Plex Sans" w:hAnsi="IBM Plex Sans" w:cs="IBM Plex Sans"/>
                <w:b w:val="0"/>
                <w:i w:val="0"/>
                <w:color w:val="161412"/>
                <w:sz w:val="17"/>
              </w:rPr>
              <w:t>no</w:t>
            </w:r>
          </w:p>
        </w:tc>
        <w:tc>
          <w:tcPr>
            <w:tcW w:type="dxa" w:w="2772"/>
          </w:tcPr>
          <w:p>
            <w:pPr>
              <w:spacing w:after="40"/>
            </w:pPr>
            <w:r>
              <w:rPr>
                <w:sz w:val="17"/>
              </w:rPr>
            </w:r>
            <w:r>
              <w:rPr>
                <w:rFonts w:ascii="IBM Plex Sans" w:hAnsi="IBM Plex Sans" w:cs="IBM Plex Sans"/>
                <w:b w:val="0"/>
                <w:i w:val="0"/>
                <w:color w:val="161412"/>
                <w:sz w:val="17"/>
              </w:rPr>
              <w:t>sí</w:t>
            </w:r>
          </w:p>
        </w:tc>
      </w:tr>
      <w:tr>
        <w:tc>
          <w:tcPr>
            <w:tcW w:type="dxa" w:w="2772"/>
          </w:tcPr>
          <w:p>
            <w:pPr>
              <w:spacing w:after="40"/>
            </w:pPr>
            <w:r>
              <w:rPr>
                <w:sz w:val="17"/>
              </w:rPr>
            </w:r>
            <w:r>
              <w:rPr>
                <w:rFonts w:ascii="IBM Plex Sans" w:hAnsi="IBM Plex Sans" w:cs="IBM Plex Sans"/>
                <w:b w:val="0"/>
                <w:i w:val="0"/>
                <w:color w:val="161412"/>
                <w:sz w:val="17"/>
              </w:rPr>
              <w:t>Requiere decisión</w:t>
            </w:r>
          </w:p>
        </w:tc>
        <w:tc>
          <w:tcPr>
            <w:tcW w:type="dxa" w:w="2772"/>
          </w:tcPr>
          <w:p>
            <w:pPr>
              <w:spacing w:after="40"/>
            </w:pPr>
            <w:r>
              <w:rPr>
                <w:sz w:val="17"/>
              </w:rPr>
            </w:r>
            <w:r>
              <w:rPr>
                <w:rFonts w:ascii="IBM Plex Sans" w:hAnsi="IBM Plex Sans" w:cs="IBM Plex Sans"/>
                <w:b w:val="0"/>
                <w:i w:val="0"/>
                <w:color w:val="161412"/>
                <w:sz w:val="17"/>
              </w:rPr>
              <w:t>normalmente no</w:t>
            </w:r>
          </w:p>
        </w:tc>
        <w:tc>
          <w:tcPr>
            <w:tcW w:type="dxa" w:w="2772"/>
          </w:tcPr>
          <w:p>
            <w:pPr>
              <w:spacing w:after="40"/>
            </w:pPr>
            <w:r>
              <w:rPr>
                <w:sz w:val="17"/>
              </w:rPr>
            </w:r>
            <w:r>
              <w:rPr>
                <w:rFonts w:ascii="IBM Plex Sans" w:hAnsi="IBM Plex Sans" w:cs="IBM Plex Sans"/>
                <w:b w:val="0"/>
                <w:i w:val="0"/>
                <w:color w:val="161412"/>
                <w:sz w:val="17"/>
              </w:rPr>
              <w:t>a menudo sí</w:t>
            </w:r>
          </w:p>
        </w:tc>
      </w:tr>
      <w:tr>
        <w:tc>
          <w:tcPr>
            <w:tcW w:type="dxa" w:w="2772"/>
          </w:tcPr>
          <w:p>
            <w:pPr>
              <w:spacing w:after="40"/>
            </w:pPr>
            <w:r>
              <w:rPr>
                <w:sz w:val="17"/>
              </w:rPr>
            </w:r>
            <w:r>
              <w:rPr>
                <w:rFonts w:ascii="IBM Plex Sans" w:hAnsi="IBM Plex Sans" w:cs="IBM Plex Sans"/>
                <w:b w:val="0"/>
                <w:i w:val="0"/>
                <w:color w:val="161412"/>
                <w:sz w:val="17"/>
              </w:rPr>
              <w:t>Foco cambia</w:t>
            </w:r>
          </w:p>
        </w:tc>
        <w:tc>
          <w:tcPr>
            <w:tcW w:type="dxa" w:w="2772"/>
          </w:tcPr>
          <w:p>
            <w:pPr>
              <w:spacing w:after="40"/>
            </w:pPr>
            <w:r>
              <w:rPr>
                <w:sz w:val="17"/>
              </w:rPr>
            </w:r>
            <w:r>
              <w:rPr>
                <w:rFonts w:ascii="IBM Plex Sans" w:hAnsi="IBM Plex Sans" w:cs="IBM Plex Sans"/>
                <w:b w:val="0"/>
                <w:i w:val="0"/>
                <w:color w:val="161412"/>
                <w:sz w:val="17"/>
              </w:rPr>
              <w:t>local</w:t>
            </w:r>
          </w:p>
        </w:tc>
        <w:tc>
          <w:tcPr>
            <w:tcW w:type="dxa" w:w="2772"/>
          </w:tcPr>
          <w:p>
            <w:pPr>
              <w:spacing w:after="40"/>
            </w:pPr>
            <w:r>
              <w:rPr>
                <w:sz w:val="17"/>
              </w:rPr>
            </w:r>
            <w:r>
              <w:rPr>
                <w:rFonts w:ascii="IBM Plex Sans" w:hAnsi="IBM Plex Sans" w:cs="IBM Plex Sans"/>
                <w:b w:val="0"/>
                <w:i w:val="0"/>
                <w:color w:val="161412"/>
                <w:sz w:val="17"/>
              </w:rPr>
              <w:t>dominante</w:t>
            </w:r>
          </w:p>
        </w:tc>
      </w:tr>
    </w:tbl>
    <w:p>
      <w:pPr>
        <w:spacing w:after="80"/>
      </w:pPr>
    </w:p>
    <w:p>
      <w:pPr>
        <w:spacing w:after="200" w:before="40"/>
      </w:pPr>
      <w:r>
        <w:rPr>
          <w:rFonts w:ascii="IBM Plex Sans" w:hAnsi="IBM Plex Sans" w:cs="IBM Plex Sans"/>
          <w:b/>
          <w:color w:val="1F3A5F"/>
          <w:sz w:val="17"/>
        </w:rPr>
        <w:t xml:space="preserve">TABLA 27.3   </w:t>
      </w:r>
      <w:r>
        <w:rPr>
          <w:rFonts w:ascii="IBM Plex Sans" w:hAnsi="IBM Plex Sans" w:cs="IBM Plex Sans"/>
          <w:color w:val="3A352F"/>
          <w:sz w:val="18"/>
        </w:rPr>
        <w:t xml:space="preserve">Fallos de orientación en shift y su efecto</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Problema</w:t>
            </w:r>
          </w:p>
        </w:tc>
        <w:tc>
          <w:tcPr>
            <w:tcW w:type="dxa" w:w="4158"/>
            <w:shd w:val="clear" w:color="auto" w:fill="EAE4D8"/>
          </w:tcPr>
          <w:p>
            <w:pPr>
              <w:spacing w:after="40"/>
            </w:pPr>
            <w:r>
              <w:rPr>
                <w:sz w:val="17"/>
              </w:rPr>
            </w:r>
            <w:r>
              <w:rPr>
                <w:rFonts w:ascii="IBM Plex Sans" w:hAnsi="IBM Plex Sans" w:cs="IBM Plex Sans"/>
                <w:b/>
                <w:i w:val="0"/>
                <w:color w:val="1F3A5F"/>
                <w:sz w:val="17"/>
              </w:rPr>
              <w:t>Efecto</w:t>
            </w:r>
          </w:p>
        </w:tc>
      </w:tr>
      <w:tr>
        <w:tc>
          <w:tcPr>
            <w:tcW w:type="dxa" w:w="4158"/>
          </w:tcPr>
          <w:p>
            <w:pPr>
              <w:spacing w:after="40"/>
            </w:pPr>
            <w:r>
              <w:rPr>
                <w:sz w:val="17"/>
              </w:rPr>
            </w:r>
            <w:r>
              <w:rPr>
                <w:rFonts w:ascii="IBM Plex Sans" w:hAnsi="IBM Plex Sans" w:cs="IBM Plex Sans"/>
                <w:b w:val="0"/>
                <w:i w:val="0"/>
                <w:color w:val="161412"/>
                <w:sz w:val="17"/>
              </w:rPr>
              <w:t>foco no cambia</w:t>
            </w:r>
          </w:p>
        </w:tc>
        <w:tc>
          <w:tcPr>
            <w:tcW w:type="dxa" w:w="4158"/>
          </w:tcPr>
          <w:p>
            <w:pPr>
              <w:spacing w:after="40"/>
            </w:pPr>
            <w:r>
              <w:rPr>
                <w:sz w:val="17"/>
              </w:rPr>
            </w:r>
            <w:r>
              <w:rPr>
                <w:rFonts w:ascii="IBM Plex Sans" w:hAnsi="IBM Plex Sans" w:cs="IBM Plex Sans"/>
                <w:b w:val="0"/>
                <w:i w:val="0"/>
                <w:color w:val="161412"/>
                <w:sz w:val="17"/>
              </w:rPr>
              <w:t>confusión</w:t>
            </w:r>
          </w:p>
        </w:tc>
      </w:tr>
      <w:tr>
        <w:tc>
          <w:tcPr>
            <w:tcW w:type="dxa" w:w="4158"/>
          </w:tcPr>
          <w:p>
            <w:pPr>
              <w:spacing w:after="40"/>
            </w:pPr>
            <w:r>
              <w:rPr>
                <w:sz w:val="17"/>
              </w:rPr>
            </w:r>
            <w:r>
              <w:rPr>
                <w:rFonts w:ascii="IBM Plex Sans" w:hAnsi="IBM Plex Sans" w:cs="IBM Plex Sans"/>
                <w:b w:val="0"/>
                <w:i w:val="0"/>
                <w:color w:val="161412"/>
                <w:sz w:val="17"/>
              </w:rPr>
              <w:t>título no cambia</w:t>
            </w:r>
          </w:p>
        </w:tc>
        <w:tc>
          <w:tcPr>
            <w:tcW w:type="dxa" w:w="4158"/>
          </w:tcPr>
          <w:p>
            <w:pPr>
              <w:spacing w:after="40"/>
            </w:pPr>
            <w:r>
              <w:rPr>
                <w:sz w:val="17"/>
              </w:rPr>
            </w:r>
            <w:r>
              <w:rPr>
                <w:rFonts w:ascii="IBM Plex Sans" w:hAnsi="IBM Plex Sans" w:cs="IBM Plex Sans"/>
                <w:b w:val="0"/>
                <w:i w:val="0"/>
                <w:color w:val="161412"/>
                <w:sz w:val="17"/>
              </w:rPr>
              <w:t>desorientación</w:t>
            </w:r>
          </w:p>
        </w:tc>
      </w:tr>
      <w:tr>
        <w:tc>
          <w:tcPr>
            <w:tcW w:type="dxa" w:w="4158"/>
          </w:tcPr>
          <w:p>
            <w:pPr>
              <w:spacing w:after="40"/>
            </w:pPr>
            <w:r>
              <w:rPr>
                <w:sz w:val="17"/>
              </w:rPr>
            </w:r>
            <w:r>
              <w:rPr>
                <w:rFonts w:ascii="IBM Plex Sans" w:hAnsi="IBM Plex Sans" w:cs="IBM Plex Sans"/>
                <w:b w:val="0"/>
                <w:i w:val="0"/>
                <w:color w:val="161412"/>
                <w:sz w:val="17"/>
              </w:rPr>
              <w:t>fondo activo</w:t>
            </w:r>
          </w:p>
        </w:tc>
        <w:tc>
          <w:tcPr>
            <w:tcW w:type="dxa" w:w="4158"/>
          </w:tcPr>
          <w:p>
            <w:pPr>
              <w:spacing w:after="40"/>
            </w:pPr>
            <w:r>
              <w:rPr>
                <w:sz w:val="17"/>
              </w:rPr>
            </w:r>
            <w:r>
              <w:rPr>
                <w:rFonts w:ascii="IBM Plex Sans" w:hAnsi="IBM Plex Sans" w:cs="IBM Plex Sans"/>
                <w:b w:val="0"/>
                <w:i w:val="0"/>
                <w:color w:val="161412"/>
                <w:sz w:val="17"/>
              </w:rPr>
              <w:t>incoherencia</w:t>
            </w:r>
          </w:p>
        </w:tc>
      </w:tr>
      <w:tr>
        <w:tc>
          <w:tcPr>
            <w:tcW w:type="dxa" w:w="4158"/>
          </w:tcPr>
          <w:p>
            <w:pPr>
              <w:spacing w:after="40"/>
            </w:pPr>
            <w:r>
              <w:rPr>
                <w:sz w:val="17"/>
              </w:rPr>
            </w:r>
            <w:r>
              <w:rPr>
                <w:rFonts w:ascii="IBM Plex Sans" w:hAnsi="IBM Plex Sans" w:cs="IBM Plex Sans"/>
                <w:b w:val="0"/>
                <w:i w:val="0"/>
                <w:color w:val="161412"/>
                <w:sz w:val="17"/>
              </w:rPr>
              <w:t>navegación invisible</w:t>
            </w:r>
          </w:p>
        </w:tc>
        <w:tc>
          <w:tcPr>
            <w:tcW w:type="dxa" w:w="4158"/>
          </w:tcPr>
          <w:p>
            <w:pPr>
              <w:spacing w:after="40"/>
            </w:pPr>
            <w:r>
              <w:rPr>
                <w:sz w:val="17"/>
              </w:rPr>
            </w:r>
            <w:r>
              <w:rPr>
                <w:rFonts w:ascii="IBM Plex Sans" w:hAnsi="IBM Plex Sans" w:cs="IBM Plex Sans"/>
                <w:b w:val="0"/>
                <w:i w:val="0"/>
                <w:color w:val="161412"/>
                <w:sz w:val="17"/>
              </w:rPr>
              <w:t>pérdida</w:t>
            </w:r>
          </w:p>
        </w:tc>
      </w:tr>
      <w:tr>
        <w:tc>
          <w:tcPr>
            <w:tcW w:type="dxa" w:w="4158"/>
          </w:tcPr>
          <w:p>
            <w:pPr>
              <w:spacing w:after="40"/>
            </w:pPr>
            <w:r>
              <w:rPr>
                <w:sz w:val="17"/>
              </w:rPr>
            </w:r>
            <w:r>
              <w:rPr>
                <w:rFonts w:ascii="IBM Plex Sans" w:hAnsi="IBM Plex Sans" w:cs="IBM Plex Sans"/>
                <w:b w:val="0"/>
                <w:i w:val="0"/>
                <w:color w:val="161412"/>
                <w:sz w:val="17"/>
              </w:rPr>
              <w:t>modo sin anuncio</w:t>
            </w:r>
          </w:p>
        </w:tc>
        <w:tc>
          <w:tcPr>
            <w:tcW w:type="dxa" w:w="4158"/>
          </w:tcPr>
          <w:p>
            <w:pPr>
              <w:spacing w:after="40"/>
            </w:pPr>
            <w:r>
              <w:rPr>
                <w:sz w:val="17"/>
              </w:rPr>
            </w:r>
            <w:r>
              <w:rPr>
                <w:rFonts w:ascii="IBM Plex Sans" w:hAnsi="IBM Plex Sans" w:cs="IBM Plex Sans"/>
                <w:b w:val="0"/>
                <w:i w:val="0"/>
                <w:color w:val="161412"/>
                <w:sz w:val="17"/>
              </w:rPr>
              <w:t>acciones mal interpretadas</w:t>
            </w:r>
          </w:p>
        </w:tc>
      </w:tr>
    </w:tbl>
    <w:p>
      <w:pPr>
        <w:spacing w:after="80"/>
      </w:pPr>
    </w:p>
    <w:p>
      <w:pPr>
        <w:spacing w:after="200" w:before="40"/>
      </w:pPr>
      <w:r>
        <w:rPr>
          <w:rFonts w:ascii="IBM Plex Sans" w:hAnsi="IBM Plex Sans" w:cs="IBM Plex Sans"/>
          <w:b/>
          <w:color w:val="1F3A5F"/>
          <w:sz w:val="17"/>
        </w:rPr>
        <w:t xml:space="preserve">TABLA 27.4   </w:t>
      </w:r>
      <w:r>
        <w:rPr>
          <w:rFonts w:ascii="IBM Plex Sans" w:hAnsi="IBM Plex Sans" w:cs="IBM Plex Sans"/>
          <w:color w:val="3A352F"/>
          <w:sz w:val="18"/>
        </w:rPr>
        <w:t xml:space="preserve">Antipatrones de shift</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Antipatrón</w:t>
            </w:r>
          </w:p>
        </w:tc>
        <w:tc>
          <w:tcPr>
            <w:tcW w:type="dxa" w:w="4158"/>
            <w:shd w:val="clear" w:color="auto" w:fill="EAE4D8"/>
          </w:tcPr>
          <w:p>
            <w:pPr>
              <w:spacing w:after="40"/>
            </w:pPr>
            <w:r>
              <w:rPr>
                <w:sz w:val="17"/>
              </w:rPr>
            </w:r>
            <w:r>
              <w:rPr>
                <w:rFonts w:ascii="IBM Plex Sans" w:hAnsi="IBM Plex Sans" w:cs="IBM Plex Sans"/>
                <w:b/>
                <w:i w:val="0"/>
                <w:color w:val="1F3A5F"/>
                <w:sz w:val="17"/>
              </w:rPr>
              <w:t>Problema</w:t>
            </w:r>
          </w:p>
        </w:tc>
      </w:tr>
      <w:tr>
        <w:tc>
          <w:tcPr>
            <w:tcW w:type="dxa" w:w="4158"/>
          </w:tcPr>
          <w:p>
            <w:pPr>
              <w:spacing w:after="40"/>
            </w:pPr>
            <w:r>
              <w:rPr>
                <w:sz w:val="17"/>
              </w:rPr>
            </w:r>
            <w:r>
              <w:rPr>
                <w:rFonts w:ascii="IBM Plex Sans" w:hAnsi="IBM Plex Sans" w:cs="IBM Plex Sans"/>
                <w:b w:val="0"/>
                <w:i w:val="0"/>
                <w:color w:val="161412"/>
                <w:sz w:val="17"/>
              </w:rPr>
              <w:t>Todo es modal</w:t>
            </w:r>
          </w:p>
        </w:tc>
        <w:tc>
          <w:tcPr>
            <w:tcW w:type="dxa" w:w="4158"/>
          </w:tcPr>
          <w:p>
            <w:pPr>
              <w:spacing w:after="40"/>
            </w:pPr>
            <w:r>
              <w:rPr>
                <w:sz w:val="17"/>
              </w:rPr>
            </w:r>
            <w:r>
              <w:rPr>
                <w:rFonts w:ascii="IBM Plex Sans" w:hAnsi="IBM Plex Sans" w:cs="IBM Plex Sans"/>
                <w:b w:val="0"/>
                <w:i w:val="0"/>
                <w:color w:val="161412"/>
                <w:sz w:val="17"/>
              </w:rPr>
              <w:t>exceso de cambio</w:t>
            </w:r>
          </w:p>
        </w:tc>
      </w:tr>
      <w:tr>
        <w:tc>
          <w:tcPr>
            <w:tcW w:type="dxa" w:w="4158"/>
          </w:tcPr>
          <w:p>
            <w:pPr>
              <w:spacing w:after="40"/>
            </w:pPr>
            <w:r>
              <w:rPr>
                <w:sz w:val="17"/>
              </w:rPr>
            </w:r>
            <w:r>
              <w:rPr>
                <w:rFonts w:ascii="IBM Plex Sans" w:hAnsi="IBM Plex Sans" w:cs="IBM Plex Sans"/>
                <w:b w:val="0"/>
                <w:i w:val="0"/>
                <w:color w:val="161412"/>
                <w:sz w:val="17"/>
              </w:rPr>
              <w:t>Cambio sin foco</w:t>
            </w:r>
          </w:p>
        </w:tc>
        <w:tc>
          <w:tcPr>
            <w:tcW w:type="dxa" w:w="4158"/>
          </w:tcPr>
          <w:p>
            <w:pPr>
              <w:spacing w:after="40"/>
            </w:pPr>
            <w:r>
              <w:rPr>
                <w:sz w:val="17"/>
              </w:rPr>
            </w:r>
            <w:r>
              <w:rPr>
                <w:rFonts w:ascii="IBM Plex Sans" w:hAnsi="IBM Plex Sans" w:cs="IBM Plex Sans"/>
                <w:b w:val="0"/>
                <w:i w:val="0"/>
                <w:color w:val="161412"/>
                <w:sz w:val="17"/>
              </w:rPr>
              <w:t>desorientación</w:t>
            </w:r>
          </w:p>
        </w:tc>
      </w:tr>
      <w:tr>
        <w:tc>
          <w:tcPr>
            <w:tcW w:type="dxa" w:w="4158"/>
          </w:tcPr>
          <w:p>
            <w:pPr>
              <w:spacing w:after="40"/>
            </w:pPr>
            <w:r>
              <w:rPr>
                <w:sz w:val="17"/>
              </w:rPr>
            </w:r>
            <w:r>
              <w:rPr>
                <w:rFonts w:ascii="IBM Plex Sans" w:hAnsi="IBM Plex Sans" w:cs="IBM Plex Sans"/>
                <w:b w:val="0"/>
                <w:i w:val="0"/>
                <w:color w:val="161412"/>
                <w:sz w:val="17"/>
              </w:rPr>
              <w:t>Animación sin orientación</w:t>
            </w:r>
          </w:p>
        </w:tc>
        <w:tc>
          <w:tcPr>
            <w:tcW w:type="dxa" w:w="4158"/>
          </w:tcPr>
          <w:p>
            <w:pPr>
              <w:spacing w:after="40"/>
            </w:pPr>
            <w:r>
              <w:rPr>
                <w:sz w:val="17"/>
              </w:rPr>
            </w:r>
            <w:r>
              <w:rPr>
                <w:rFonts w:ascii="IBM Plex Sans" w:hAnsi="IBM Plex Sans" w:cs="IBM Plex Sans"/>
                <w:b w:val="0"/>
                <w:i w:val="0"/>
                <w:color w:val="161412"/>
                <w:sz w:val="17"/>
              </w:rPr>
              <w:t>ruido</w:t>
            </w:r>
          </w:p>
        </w:tc>
      </w:tr>
      <w:tr>
        <w:tc>
          <w:tcPr>
            <w:tcW w:type="dxa" w:w="4158"/>
          </w:tcPr>
          <w:p>
            <w:pPr>
              <w:spacing w:after="40"/>
            </w:pPr>
            <w:r>
              <w:rPr>
                <w:sz w:val="17"/>
              </w:rPr>
            </w:r>
            <w:r>
              <w:rPr>
                <w:rFonts w:ascii="IBM Plex Sans" w:hAnsi="IBM Plex Sans" w:cs="IBM Plex Sans"/>
                <w:b w:val="0"/>
                <w:i w:val="0"/>
                <w:color w:val="161412"/>
                <w:sz w:val="17"/>
              </w:rPr>
              <w:t>Navegación sin contexto</w:t>
            </w:r>
          </w:p>
        </w:tc>
        <w:tc>
          <w:tcPr>
            <w:tcW w:type="dxa" w:w="4158"/>
          </w:tcPr>
          <w:p>
            <w:pPr>
              <w:spacing w:after="40"/>
            </w:pPr>
            <w:r>
              <w:rPr>
                <w:sz w:val="17"/>
              </w:rPr>
            </w:r>
            <w:r>
              <w:rPr>
                <w:rFonts w:ascii="IBM Plex Sans" w:hAnsi="IBM Plex Sans" w:cs="IBM Plex Sans"/>
                <w:b w:val="0"/>
                <w:i w:val="0"/>
                <w:color w:val="161412"/>
                <w:sz w:val="17"/>
              </w:rPr>
              <w:t>pérdida</w:t>
            </w:r>
          </w:p>
        </w:tc>
      </w:tr>
      <w:tr>
        <w:tc>
          <w:tcPr>
            <w:tcW w:type="dxa" w:w="4158"/>
          </w:tcPr>
          <w:p>
            <w:pPr>
              <w:spacing w:after="40"/>
            </w:pPr>
            <w:r>
              <w:rPr>
                <w:sz w:val="17"/>
              </w:rPr>
            </w:r>
            <w:r>
              <w:rPr>
                <w:rFonts w:ascii="IBM Plex Sans" w:hAnsi="IBM Plex Sans" w:cs="IBM Plex Sans"/>
                <w:b w:val="0"/>
                <w:i w:val="0"/>
                <w:color w:val="161412"/>
                <w:sz w:val="17"/>
              </w:rPr>
              <w:t>Modal sin bloqueo</w:t>
            </w:r>
          </w:p>
        </w:tc>
        <w:tc>
          <w:tcPr>
            <w:tcW w:type="dxa" w:w="4158"/>
          </w:tcPr>
          <w:p>
            <w:pPr>
              <w:spacing w:after="40"/>
            </w:pPr>
            <w:r>
              <w:rPr>
                <w:sz w:val="17"/>
              </w:rPr>
            </w:r>
            <w:r>
              <w:rPr>
                <w:rFonts w:ascii="IBM Plex Sans" w:hAnsi="IBM Plex Sans" w:cs="IBM Plex Sans"/>
                <w:b w:val="0"/>
                <w:i w:val="0"/>
                <w:color w:val="161412"/>
                <w:sz w:val="17"/>
              </w:rPr>
              <w:t>incoherencia</w:t>
            </w:r>
          </w:p>
        </w:tc>
      </w:tr>
      <w:tr>
        <w:tc>
          <w:tcPr>
            <w:tcW w:type="dxa" w:w="4158"/>
          </w:tcPr>
          <w:p>
            <w:pPr>
              <w:spacing w:after="40"/>
            </w:pPr>
            <w:r>
              <w:rPr>
                <w:sz w:val="17"/>
              </w:rPr>
            </w:r>
            <w:r>
              <w:rPr>
                <w:rFonts w:ascii="IBM Plex Sans" w:hAnsi="IBM Plex Sans" w:cs="IBM Plex Sans"/>
                <w:b w:val="0"/>
                <w:i w:val="0"/>
                <w:color w:val="161412"/>
                <w:sz w:val="17"/>
              </w:rPr>
              <w:t>Shift invisible</w:t>
            </w:r>
          </w:p>
        </w:tc>
        <w:tc>
          <w:tcPr>
            <w:tcW w:type="dxa" w:w="4158"/>
          </w:tcPr>
          <w:p>
            <w:pPr>
              <w:spacing w:after="40"/>
            </w:pPr>
            <w:r>
              <w:rPr>
                <w:sz w:val="17"/>
              </w:rPr>
            </w:r>
            <w:r>
              <w:rPr>
                <w:rFonts w:ascii="IBM Plex Sans" w:hAnsi="IBM Plex Sans" w:cs="IBM Plex Sans"/>
                <w:b w:val="0"/>
                <w:i w:val="0"/>
                <w:color w:val="161412"/>
                <w:sz w:val="17"/>
              </w:rPr>
              <w:t>confusión</w:t>
            </w:r>
          </w:p>
        </w:tc>
      </w:tr>
      <w:tr>
        <w:tc>
          <w:tcPr>
            <w:tcW w:type="dxa" w:w="4158"/>
          </w:tcPr>
          <w:p>
            <w:pPr>
              <w:spacing w:after="40"/>
            </w:pPr>
            <w:r>
              <w:rPr>
                <w:sz w:val="17"/>
              </w:rPr>
            </w:r>
            <w:r>
              <w:rPr>
                <w:rFonts w:ascii="IBM Plex Sans" w:hAnsi="IBM Plex Sans" w:cs="IBM Plex Sans"/>
                <w:b w:val="0"/>
                <w:i w:val="0"/>
                <w:color w:val="161412"/>
                <w:sz w:val="17"/>
              </w:rPr>
              <w:t>Modo sin salida clara</w:t>
            </w:r>
          </w:p>
        </w:tc>
        <w:tc>
          <w:tcPr>
            <w:tcW w:type="dxa" w:w="4158"/>
          </w:tcPr>
          <w:p>
            <w:pPr>
              <w:spacing w:after="40"/>
            </w:pPr>
            <w:r>
              <w:rPr>
                <w:sz w:val="17"/>
              </w:rPr>
            </w:r>
            <w:r>
              <w:rPr>
                <w:rFonts w:ascii="IBM Plex Sans" w:hAnsi="IBM Plex Sans" w:cs="IBM Plex Sans"/>
                <w:b w:val="0"/>
                <w:i w:val="0"/>
                <w:color w:val="161412"/>
                <w:sz w:val="17"/>
              </w:rPr>
              <w:t>ansiedad</w:t>
            </w:r>
          </w:p>
        </w:tc>
      </w:tr>
    </w:tbl>
    <w:p>
      <w:pPr>
        <w:spacing w:after="80"/>
      </w:pPr>
    </w:p>
    <w:p>
      <w:pPr>
        <w:spacing w:after="200" w:before="40"/>
      </w:pPr>
      <w:r>
        <w:rPr>
          <w:rFonts w:ascii="IBM Plex Sans" w:hAnsi="IBM Plex Sans" w:cs="IBM Plex Sans"/>
          <w:b/>
          <w:color w:val="1F3A5F"/>
          <w:sz w:val="17"/>
        </w:rPr>
        <w:t xml:space="preserve">TABLA 27.5   </w:t>
      </w:r>
      <w:r>
        <w:rPr>
          <w:rFonts w:ascii="IBM Plex Sans" w:hAnsi="IBM Plex Sans" w:cs="IBM Plex Sans"/>
          <w:color w:val="3A352F"/>
          <w:sz w:val="18"/>
        </w:rPr>
        <w:t xml:space="preserve">Preguntas de validación de shift</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Dimensión</w:t>
            </w:r>
          </w:p>
        </w:tc>
        <w:tc>
          <w:tcPr>
            <w:tcW w:type="dxa" w:w="4158"/>
            <w:shd w:val="clear" w:color="auto" w:fill="EAE4D8"/>
          </w:tcPr>
          <w:p>
            <w:pPr>
              <w:spacing w:after="40"/>
            </w:pPr>
            <w:r>
              <w:rPr>
                <w:sz w:val="17"/>
              </w:rPr>
            </w:r>
            <w:r>
              <w:rPr>
                <w:rFonts w:ascii="IBM Plex Sans" w:hAnsi="IBM Plex Sans" w:cs="IBM Plex Sans"/>
                <w:b/>
                <w:i w:val="0"/>
                <w:color w:val="1F3A5F"/>
                <w:sz w:val="17"/>
              </w:rPr>
              <w:t>Pregunta</w:t>
            </w:r>
          </w:p>
        </w:tc>
      </w:tr>
      <w:tr>
        <w:tc>
          <w:tcPr>
            <w:tcW w:type="dxa" w:w="4158"/>
          </w:tcPr>
          <w:p>
            <w:pPr>
              <w:spacing w:after="40"/>
            </w:pPr>
            <w:r>
              <w:rPr>
                <w:sz w:val="17"/>
              </w:rPr>
            </w:r>
            <w:r>
              <w:rPr>
                <w:rFonts w:ascii="IBM Plex Sans" w:hAnsi="IBM Plex Sans" w:cs="IBM Plex Sans"/>
                <w:b w:val="0"/>
                <w:i w:val="0"/>
                <w:color w:val="161412"/>
                <w:sz w:val="17"/>
              </w:rPr>
              <w:t>Contexto</w:t>
            </w:r>
          </w:p>
        </w:tc>
        <w:tc>
          <w:tcPr>
            <w:tcW w:type="dxa" w:w="4158"/>
          </w:tcPr>
          <w:p>
            <w:pPr>
              <w:spacing w:after="40"/>
            </w:pPr>
            <w:r>
              <w:rPr>
                <w:sz w:val="17"/>
              </w:rPr>
            </w:r>
            <w:r>
              <w:rPr>
                <w:rFonts w:ascii="IBM Plex Sans" w:hAnsi="IBM Plex Sans" w:cs="IBM Plex Sans"/>
                <w:b w:val="0"/>
                <w:i w:val="0"/>
                <w:color w:val="161412"/>
                <w:sz w:val="17"/>
              </w:rPr>
              <w:t>¿dónde estoy?</w:t>
            </w:r>
          </w:p>
        </w:tc>
      </w:tr>
      <w:tr>
        <w:tc>
          <w:tcPr>
            <w:tcW w:type="dxa" w:w="4158"/>
          </w:tcPr>
          <w:p>
            <w:pPr>
              <w:spacing w:after="40"/>
            </w:pPr>
            <w:r>
              <w:rPr>
                <w:sz w:val="17"/>
              </w:rPr>
            </w:r>
            <w:r>
              <w:rPr>
                <w:rFonts w:ascii="IBM Plex Sans" w:hAnsi="IBM Plex Sans" w:cs="IBM Plex Sans"/>
                <w:b w:val="0"/>
                <w:i w:val="0"/>
                <w:color w:val="161412"/>
                <w:sz w:val="17"/>
              </w:rPr>
              <w:t>Acción</w:t>
            </w:r>
          </w:p>
        </w:tc>
        <w:tc>
          <w:tcPr>
            <w:tcW w:type="dxa" w:w="4158"/>
          </w:tcPr>
          <w:p>
            <w:pPr>
              <w:spacing w:after="40"/>
            </w:pPr>
            <w:r>
              <w:rPr>
                <w:sz w:val="17"/>
              </w:rPr>
            </w:r>
            <w:r>
              <w:rPr>
                <w:rFonts w:ascii="IBM Plex Sans" w:hAnsi="IBM Plex Sans" w:cs="IBM Plex Sans"/>
                <w:b w:val="0"/>
                <w:i w:val="0"/>
                <w:color w:val="161412"/>
                <w:sz w:val="17"/>
              </w:rPr>
              <w:t>¿qué puedo hacer?</w:t>
            </w:r>
          </w:p>
        </w:tc>
      </w:tr>
      <w:tr>
        <w:tc>
          <w:tcPr>
            <w:tcW w:type="dxa" w:w="4158"/>
          </w:tcPr>
          <w:p>
            <w:pPr>
              <w:spacing w:after="40"/>
            </w:pPr>
            <w:r>
              <w:rPr>
                <w:sz w:val="17"/>
              </w:rPr>
            </w:r>
            <w:r>
              <w:rPr>
                <w:rFonts w:ascii="IBM Plex Sans" w:hAnsi="IBM Plex Sans" w:cs="IBM Plex Sans"/>
                <w:b w:val="0"/>
                <w:i w:val="0"/>
                <w:color w:val="161412"/>
                <w:sz w:val="17"/>
              </w:rPr>
              <w:t>Continuidad</w:t>
            </w:r>
          </w:p>
        </w:tc>
        <w:tc>
          <w:tcPr>
            <w:tcW w:type="dxa" w:w="4158"/>
          </w:tcPr>
          <w:p>
            <w:pPr>
              <w:spacing w:after="40"/>
            </w:pPr>
            <w:r>
              <w:rPr>
                <w:sz w:val="17"/>
              </w:rPr>
            </w:r>
            <w:r>
              <w:rPr>
                <w:rFonts w:ascii="IBM Plex Sans" w:hAnsi="IBM Plex Sans" w:cs="IBM Plex Sans"/>
                <w:b w:val="0"/>
                <w:i w:val="0"/>
                <w:color w:val="161412"/>
                <w:sz w:val="17"/>
              </w:rPr>
              <w:t>¿de dónde vengo?</w:t>
            </w:r>
          </w:p>
        </w:tc>
      </w:tr>
      <w:tr>
        <w:tc>
          <w:tcPr>
            <w:tcW w:type="dxa" w:w="4158"/>
          </w:tcPr>
          <w:p>
            <w:pPr>
              <w:spacing w:after="40"/>
            </w:pPr>
            <w:r>
              <w:rPr>
                <w:sz w:val="17"/>
              </w:rPr>
            </w:r>
            <w:r>
              <w:rPr>
                <w:rFonts w:ascii="IBM Plex Sans" w:hAnsi="IBM Plex Sans" w:cs="IBM Plex Sans"/>
                <w:b w:val="0"/>
                <w:i w:val="0"/>
                <w:color w:val="161412"/>
                <w:sz w:val="17"/>
              </w:rPr>
              <w:t>Orientación</w:t>
            </w:r>
          </w:p>
        </w:tc>
        <w:tc>
          <w:tcPr>
            <w:tcW w:type="dxa" w:w="4158"/>
          </w:tcPr>
          <w:p>
            <w:pPr>
              <w:spacing w:after="40"/>
            </w:pPr>
            <w:r>
              <w:rPr>
                <w:sz w:val="17"/>
              </w:rPr>
            </w:r>
            <w:r>
              <w:rPr>
                <w:rFonts w:ascii="IBM Plex Sans" w:hAnsi="IBM Plex Sans" w:cs="IBM Plex Sans"/>
                <w:b w:val="0"/>
                <w:i w:val="0"/>
                <w:color w:val="161412"/>
                <w:sz w:val="17"/>
              </w:rPr>
              <w:t>¿cómo vuelvo?</w:t>
            </w:r>
          </w:p>
        </w:tc>
      </w:tr>
    </w:tbl>
    <w:p>
      <w:pPr>
        <w:spacing w:after="80"/>
      </w:pPr>
    </w:p>
    <w:p>
      <w:r>
        <w:br w:type="page"/>
      </w:r>
    </w:p>
    <w:p>
      <w:pPr>
        <w:spacing w:after="40"/>
      </w:pPr>
      <w:r>
        <w:rPr>
          <w:rFonts w:ascii="IBM Plex Sans" w:hAnsi="IBM Plex Sans" w:cs="IBM Plex Sans"/>
          <w:b/>
          <w:color w:val="1F3A5F"/>
          <w:sz w:val="18"/>
        </w:rPr>
        <w:t>CAPÍTULO 28</w:t>
      </w:r>
    </w:p>
    <w:p>
      <w:pPr>
        <w:spacing w:after="80" w:line="240" w:lineRule="auto"/>
      </w:pPr>
      <w:r>
        <w:rPr>
          <w:rFonts w:ascii="IBM Plex Sans" w:hAnsi="IBM Plex Sans" w:cs="IBM Plex Sans"/>
          <w:color w:val="161412"/>
          <w:sz w:val="220"/>
        </w:rPr>
        <w:t>28</w:t>
      </w:r>
    </w:p>
    <w:p>
      <w:pPr>
        <w:spacing w:after="60" w:line="240" w:lineRule="auto"/>
      </w:pPr>
      <w:r>
        <w:rPr>
          <w:rFonts w:ascii="Newsreader" w:hAnsi="Newsreader" w:cs="Newsreader"/>
          <w:color w:val="161412"/>
          <w:sz w:val="60"/>
        </w:rPr>
        <w:t>Sustain</w:t>
      </w:r>
    </w:p>
    <w:p>
      <w:pPr>
        <w:spacing w:after="280"/>
      </w:pPr>
      <w:r>
        <w:rPr>
          <w:rFonts w:ascii="IBM Plex Sans" w:hAnsi="IBM Plex Sans" w:cs="IBM Plex Sans"/>
          <w:color w:val="6A635A"/>
          <w:sz w:val="26"/>
        </w:rPr>
        <w:t>Cuando algo sigue ocurriendo sin haber terminado</w:t>
      </w:r>
    </w:p>
    <w:p>
      <w:pPr>
        <w:pBdr>
          <w:bottom w:val="single" w:sz="4" w:space="4" w:color="1F3A5F"/>
        </w:pBdr>
      </w:pP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¿Cómo se sostiene la percepción de que un proceso sigue vivo sin haber terminado?</w:t>
      </w:r>
    </w:p>
    <w:p>
      <w:pPr>
        <w:spacing w:after="120" w:line="320" w:lineRule="auto"/>
        <w:jc w:val="both"/>
      </w:pPr>
      <w:r>
        <w:rPr>
          <w:rFonts w:ascii="Newsreader" w:hAnsi="Newsreader" w:cs="Newsreader"/>
          <w:b w:val="0"/>
          <w:i w:val="0"/>
          <w:color w:val="161412"/>
        </w:rPr>
        <w:t>Hay eventos que no se resuelven en un instante. El usuario pulsa guardar, pero el guardado tarda. Envía un archivo, pero la subida avanza lentamente. Abre una vista, pero los datos aún no llegan. Inicia una búsqueda, pero el sistema sigue procesando. En todos esos casos, el evento principal no es todavía éxito, error, pérdida ni confirmación; tampoco es simplemente contacto. Algo está ocurriendo, pero aún no ha terminado. Esa es la región de sustain.</w:t>
      </w:r>
    </w:p>
    <w:p>
      <w:pPr>
        <w:spacing w:after="120" w:line="320" w:lineRule="auto"/>
        <w:jc w:val="both"/>
      </w:pPr>
      <w:r>
        <w:rPr>
          <w:rFonts w:ascii="Newsreader" w:hAnsi="Newsreader" w:cs="Newsreader"/>
          <w:b w:val="0"/>
          <w:i w:val="0"/>
          <w:color w:val="161412"/>
        </w:rPr>
        <w:t>La pregunta perceptiva de sustain es: ¿esto sigue ocurriendo? O, dicho desde la experiencia del usuario: ¿el sistema sigue vivo o se ha quedado bloqueado?</w:t>
      </w:r>
    </w:p>
    <w:p>
      <w:pPr>
        <w:spacing w:before="200" w:after="60"/>
        <w:jc w:val="center"/>
      </w:pPr>
      <w:r>
        <w:drawing>
          <wp:inline xmlns:a="http://schemas.openxmlformats.org/drawingml/2006/main" xmlns:pic="http://schemas.openxmlformats.org/drawingml/2006/picture">
            <wp:extent cx="5029200" cy="3080385"/>
            <wp:docPr id="9014" name="fig28_1"/>
            <wp:cNvGraphicFramePr>
              <a:graphicFrameLocks noChangeAspect="1"/>
            </wp:cNvGraphicFramePr>
            <a:graphic>
              <a:graphicData uri="http://schemas.openxmlformats.org/drawingml/2006/picture">
                <pic:pic>
                  <pic:nvPicPr>
                    <pic:cNvPr id="9014" name="fig28_1"/>
                    <pic:cNvPicPr/>
                  </pic:nvPicPr>
                  <pic:blipFill>
                    <a:blip r:embed="rId913"/>
                    <a:stretch>
                      <a:fillRect/>
                    </a:stretch>
                  </pic:blipFill>
                  <pic:spPr>
                    <a:xfrm>
                      <a:off x="0" y="0"/>
                      <a:ext cx="5029200" cy="3080385"/>
                    </a:xfrm>
                    <a:prstGeom prst="rect"/>
                  </pic:spPr>
                </pic:pic>
              </a:graphicData>
            </a:graphic>
          </wp:inline>
        </w:drawing>
      </w:r>
    </w:p>
    <w:p>
      <w:pPr>
        <w:spacing w:before="320" w:after="40"/>
      </w:pPr>
      <w:r>
        <w:rPr>
          <w:rFonts w:ascii="IBM Plex Sans" w:hAnsi="IBM Plex Sans" w:cs="IBM Plex Sans"/>
          <w:b/>
          <w:color w:val="1F3A5F"/>
          <w:sz w:val="18"/>
        </w:rPr>
        <w:t>§ 1</w:t>
      </w:r>
    </w:p>
    <w:p>
      <w:pPr>
        <w:spacing w:after="160" w:line="240" w:lineRule="auto"/>
      </w:pPr>
      <w:r>
        <w:rPr>
          <w:rFonts w:ascii="Newsreader" w:hAnsi="Newsreader" w:cs="Newsreader"/>
          <w:color w:val="161412"/>
          <w:sz w:val="38"/>
        </w:rPr>
        <w:t>Qué es sustain</w:t>
      </w:r>
    </w:p>
    <w:p>
      <w:pPr>
        <w:spacing w:after="120" w:line="320" w:lineRule="auto"/>
        <w:jc w:val="both"/>
      </w:pPr>
      <w:r>
        <w:rPr>
          <w:rFonts w:ascii="Newsreader" w:hAnsi="Newsreader" w:cs="Newsreader"/>
          <w:b w:val="0"/>
          <w:i w:val="0"/>
          <w:color w:val="161412"/>
        </w:rPr>
        <w:t xml:space="preserve">sustain es la familia semántica de la continuidad operativa: comunica que una operación, estado o proceso sigue activo aunque todavía no haya producido una consecuencia final. Sus verbos recorren las formas de esa continuidad: </w:t>
      </w:r>
      <w:r>
        <w:rPr>
          <w:rFonts w:ascii="Newsreader" w:hAnsi="Newsreader" w:cs="Newsreader"/>
          <w:b w:val="0"/>
          <w:i/>
          <w:color w:val="161412"/>
        </w:rPr>
        <w:t xml:space="preserve">start</w:t>
      </w:r>
      <w:r>
        <w:rPr>
          <w:rFonts w:ascii="Newsreader" w:hAnsi="Newsreader" w:cs="Newsreader"/>
          <w:b w:val="0"/>
          <w:i w:val="0"/>
          <w:color w:val="161412"/>
        </w:rPr>
        <w:t xml:space="preserve">, </w:t>
      </w:r>
      <w:r>
        <w:rPr>
          <w:rFonts w:ascii="Newsreader" w:hAnsi="Newsreader" w:cs="Newsreader"/>
          <w:b w:val="0"/>
          <w:i/>
          <w:color w:val="161412"/>
        </w:rPr>
        <w:t xml:space="preserve">progress</w:t>
      </w:r>
      <w:r>
        <w:rPr>
          <w:rFonts w:ascii="Newsreader" w:hAnsi="Newsreader" w:cs="Newsreader"/>
          <w:b w:val="0"/>
          <w:i w:val="0"/>
          <w:color w:val="161412"/>
        </w:rPr>
        <w:t xml:space="preserve">, </w:t>
      </w:r>
      <w:r>
        <w:rPr>
          <w:rFonts w:ascii="Newsreader" w:hAnsi="Newsreader" w:cs="Newsreader"/>
          <w:b w:val="0"/>
          <w:i/>
          <w:color w:val="161412"/>
        </w:rPr>
        <w:t xml:space="preserve">loading</w:t>
      </w:r>
      <w:r>
        <w:rPr>
          <w:rFonts w:ascii="Newsreader" w:hAnsi="Newsreader" w:cs="Newsreader"/>
          <w:b w:val="0"/>
          <w:i w:val="0"/>
          <w:color w:val="161412"/>
        </w:rPr>
        <w:t xml:space="preserve">, </w:t>
      </w:r>
      <w:r>
        <w:rPr>
          <w:rFonts w:ascii="Newsreader" w:hAnsi="Newsreader" w:cs="Newsreader"/>
          <w:b w:val="0"/>
          <w:i/>
          <w:color w:val="161412"/>
        </w:rPr>
        <w:t xml:space="preserve">waiting</w:t>
      </w:r>
      <w:r>
        <w:rPr>
          <w:rFonts w:ascii="Newsreader" w:hAnsi="Newsreader" w:cs="Newsreader"/>
          <w:b w:val="0"/>
          <w:i w:val="0"/>
          <w:color w:val="161412"/>
        </w:rPr>
        <w:t xml:space="preserve">, </w:t>
      </w:r>
      <w:r>
        <w:rPr>
          <w:rFonts w:ascii="Newsreader" w:hAnsi="Newsreader" w:cs="Newsreader"/>
          <w:b w:val="0"/>
          <w:i/>
          <w:color w:val="161412"/>
        </w:rPr>
        <w:t xml:space="preserve">syncing</w:t>
      </w:r>
      <w:r>
        <w:rPr>
          <w:rFonts w:ascii="Newsreader" w:hAnsi="Newsreader" w:cs="Newsreader"/>
          <w:b w:val="0"/>
          <w:i w:val="0"/>
          <w:color w:val="161412"/>
        </w:rPr>
        <w:t xml:space="preserve">, </w:t>
      </w:r>
      <w:r>
        <w:rPr>
          <w:rFonts w:ascii="Newsreader" w:hAnsi="Newsreader" w:cs="Newsreader"/>
          <w:b w:val="0"/>
          <w:i/>
          <w:color w:val="161412"/>
        </w:rPr>
        <w:t xml:space="preserve">streaming</w:t>
      </w:r>
      <w:r>
        <w:rPr>
          <w:rFonts w:ascii="Newsreader" w:hAnsi="Newsreader" w:cs="Newsreader"/>
          <w:b w:val="0"/>
          <w:i w:val="0"/>
          <w:color w:val="161412"/>
        </w:rPr>
        <w:t xml:space="preserve">, </w:t>
      </w:r>
      <w:r>
        <w:rPr>
          <w:rFonts w:ascii="Newsreader" w:hAnsi="Newsreader" w:cs="Newsreader"/>
          <w:b w:val="0"/>
          <w:i/>
          <w:color w:val="161412"/>
        </w:rPr>
        <w:t xml:space="preserve">processing</w:t>
      </w:r>
      <w:r>
        <w:rPr>
          <w:rFonts w:ascii="Newsreader" w:hAnsi="Newsreader" w:cs="Newsreader"/>
          <w:b w:val="0"/>
          <w:i w:val="0"/>
          <w:color w:val="161412"/>
        </w:rPr>
        <w:t xml:space="preserve">, </w:t>
      </w:r>
      <w:r>
        <w:rPr>
          <w:rFonts w:ascii="Newsreader" w:hAnsi="Newsreader" w:cs="Newsreader"/>
          <w:b w:val="0"/>
          <w:i/>
          <w:color w:val="161412"/>
        </w:rPr>
        <w:t xml:space="preserve">pending</w:t>
      </w:r>
      <w:r>
        <w:rPr>
          <w:rFonts w:ascii="Newsreader" w:hAnsi="Newsreader" w:cs="Newsreader"/>
          <w:b w:val="0"/>
          <w:i w:val="0"/>
          <w:color w:val="161412"/>
        </w:rPr>
        <w:t xml:space="preserve">, </w:t>
      </w:r>
      <w:r>
        <w:rPr>
          <w:rFonts w:ascii="Newsreader" w:hAnsi="Newsreader" w:cs="Newsreader"/>
          <w:b w:val="0"/>
          <w:i/>
          <w:color w:val="161412"/>
        </w:rPr>
        <w:t xml:space="preserve">upload</w:t>
      </w:r>
      <w:r>
        <w:rPr>
          <w:rFonts w:ascii="Newsreader" w:hAnsi="Newsreader" w:cs="Newsreader"/>
          <w:b w:val="0"/>
          <w:i w:val="0"/>
          <w:color w:val="161412"/>
        </w:rPr>
        <w:t xml:space="preserve">, </w:t>
      </w:r>
      <w:r>
        <w:rPr>
          <w:rFonts w:ascii="Newsreader" w:hAnsi="Newsreader" w:cs="Newsreader"/>
          <w:b w:val="0"/>
          <w:i/>
          <w:color w:val="161412"/>
        </w:rPr>
        <w:t xml:space="preserve">retrying</w:t>
      </w:r>
      <w:r>
        <w:rPr>
          <w:rFonts w:ascii="Newsreader" w:hAnsi="Newsreader" w:cs="Newsreader"/>
          <w:b w:val="0"/>
          <w:i w:val="0"/>
          <w:color w:val="161412"/>
        </w:rPr>
        <w:t xml:space="preserve">, </w:t>
      </w:r>
      <w:r>
        <w:rPr>
          <w:rFonts w:ascii="Newsreader" w:hAnsi="Newsreader" w:cs="Newsreader"/>
          <w:b w:val="0"/>
          <w:i/>
          <w:color w:val="161412"/>
        </w:rPr>
        <w:t xml:space="preserve">end</w:t>
      </w:r>
      <w:r>
        <w:rPr>
          <w:rFonts w:ascii="Newsreader" w:hAnsi="Newsreader" w:cs="Newsreader"/>
          <w:b w:val="0"/>
          <w:i w:val="0"/>
          <w:color w:val="161412"/>
        </w:rPr>
        <w:t xml:space="preserve">.</w:t>
      </w:r>
    </w:p>
    <w:p>
      <w:pPr>
        <w:spacing w:after="120" w:line="320" w:lineRule="auto"/>
        <w:jc w:val="both"/>
      </w:pPr>
      <w:r>
        <w:rPr>
          <w:rFonts w:ascii="Newsreader" w:hAnsi="Newsreader" w:cs="Newsreader"/>
          <w:b w:val="0"/>
          <w:i w:val="0"/>
          <w:color w:val="161412"/>
        </w:rPr>
        <w:t>Un spinner puede ser sustain; también una barra de progreso, un skeleton, un texto «guardando…» o un indicador de sincronización. Pero sustain no es el spinner, ni la barra, ni el skeleton, ni el texto: es la clase de evento que esos recursos intentan hacer perceptible.</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 xml:space="preserve">Una operación continúa sin haber llegado aún a su resultado.</w:t>
      </w:r>
    </w:p>
    <w:p>
      <w:pPr>
        <w:spacing w:before="320" w:after="40"/>
      </w:pPr>
      <w:r>
        <w:rPr>
          <w:rFonts w:ascii="IBM Plex Sans" w:hAnsi="IBM Plex Sans" w:cs="IBM Plex Sans"/>
          <w:b/>
          <w:color w:val="1F3A5F"/>
          <w:sz w:val="18"/>
        </w:rPr>
        <w:t>§ 2</w:t>
      </w:r>
    </w:p>
    <w:p>
      <w:pPr>
        <w:spacing w:after="160" w:line="240" w:lineRule="auto"/>
      </w:pPr>
      <w:r>
        <w:rPr>
          <w:rFonts w:ascii="Newsreader" w:hAnsi="Newsreader" w:cs="Newsreader"/>
          <w:color w:val="161412"/>
          <w:sz w:val="38"/>
        </w:rPr>
        <w:t>Qué no es sustain</w:t>
      </w:r>
    </w:p>
    <w:p>
      <w:pPr>
        <w:spacing w:after="120" w:line="320" w:lineRule="auto"/>
        <w:jc w:val="both"/>
      </w:pPr>
      <w:r>
        <w:rPr>
          <w:rFonts w:ascii="Newsreader" w:hAnsi="Newsreader" w:cs="Newsreader"/>
          <w:b w:val="0"/>
          <w:i w:val="0"/>
          <w:color w:val="161412"/>
        </w:rPr>
        <w:t>Cada frontera deja fuera una confusión frecuente:</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sustain no es contact.</w:t>
      </w:r>
      <w:r>
        <w:rPr>
          <w:rFonts w:ascii="Newsreader" w:hAnsi="Newsreader" w:cs="Newsreader"/>
          <w:b w:val="0"/>
          <w:i w:val="0"/>
          <w:color w:val="161412"/>
        </w:rPr>
        <w:t xml:space="preserve"> contact.press ≠ sustain.progress: contact confirma que el sistema recibió la acción; sustain confirma que la operación iniciada sigue viva.</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sustain no es commit.</w:t>
      </w:r>
      <w:r>
        <w:rPr>
          <w:rFonts w:ascii="Newsreader" w:hAnsi="Newsreader" w:cs="Newsreader"/>
          <w:b w:val="0"/>
          <w:i w:val="0"/>
          <w:color w:val="161412"/>
        </w:rPr>
        <w:t xml:space="preserve"> sustain.progress ≠ commit.complete: un proceso en curso no es culminación.</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sustain no es signal.</w:t>
      </w:r>
      <w:r>
        <w:rPr>
          <w:rFonts w:ascii="Newsreader" w:hAnsi="Newsreader" w:cs="Newsreader"/>
          <w:b w:val="0"/>
          <w:i w:val="0"/>
          <w:color w:val="161412"/>
        </w:rPr>
        <w:t xml:space="preserve"> sustain.progress ≠ signal.warn: un proceso no es alerta por el hecho de durar.</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sustain no es emerge.</w:t>
      </w:r>
      <w:r>
        <w:rPr>
          <w:rFonts w:ascii="Newsreader" w:hAnsi="Newsreader" w:cs="Newsreader"/>
          <w:b w:val="0"/>
          <w:i w:val="0"/>
          <w:color w:val="161412"/>
        </w:rPr>
        <w:t xml:space="preserve"> emerge.present ≠ sustain.progress: puede aparecer un indicador, pero la aparición no es el proceso.</w:t>
      </w:r>
    </w:p>
    <w:p>
      <w:pPr>
        <w:spacing w:before="320" w:after="40"/>
      </w:pPr>
      <w:r>
        <w:rPr>
          <w:rFonts w:ascii="IBM Plex Sans" w:hAnsi="IBM Plex Sans" w:cs="IBM Plex Sans"/>
          <w:b/>
          <w:color w:val="1F3A5F"/>
          <w:sz w:val="18"/>
        </w:rPr>
        <w:t>§ 3</w:t>
      </w:r>
    </w:p>
    <w:p>
      <w:pPr>
        <w:spacing w:after="160" w:line="240" w:lineRule="auto"/>
      </w:pPr>
      <w:r>
        <w:rPr>
          <w:rFonts w:ascii="Newsreader" w:hAnsi="Newsreader" w:cs="Newsreader"/>
          <w:color w:val="161412"/>
          <w:sz w:val="38"/>
        </w:rPr>
        <w:t>Fundamento psicoperceptivo: continuidad temporal, incertidumbre y confianza</w:t>
      </w:r>
    </w:p>
    <w:p>
      <w:pPr>
        <w:spacing w:after="120" w:line="320" w:lineRule="auto"/>
        <w:jc w:val="both"/>
      </w:pPr>
      <w:r>
        <w:rPr>
          <w:rFonts w:ascii="Newsreader" w:hAnsi="Newsreader" w:cs="Newsreader"/>
          <w:b w:val="0"/>
          <w:i w:val="0"/>
          <w:color w:val="161412"/>
        </w:rPr>
        <w:t>sustain se apoya en una necesidad básica de la interacción: cuando no hay resultado inmediato, el usuario necesita saber si el sistema sigue funcionando. La ausencia de respuesta prolongada no se percibe como neutral, sino como ambigua, y el usuario empieza a preguntarse: ¿se ha bloqueado?, ¿lo he hecho mal?, ¿debo esperar?, ¿debo repetir?, ¿perderé lo que estaba haciendo? sustain existe para reducir esa incertidumbre.</w:t>
      </w:r>
    </w:p>
    <w:p>
      <w:pPr>
        <w:spacing w:after="120" w:line="320" w:lineRule="auto"/>
        <w:jc w:val="both"/>
      </w:pPr>
      <w:r>
        <w:rPr>
          <w:rFonts w:ascii="Newsreader" w:hAnsi="Newsreader" w:cs="Newsreader"/>
          <w:b w:val="0"/>
          <w:i w:val="0"/>
          <w:color w:val="161412"/>
        </w:rPr>
        <w:t>Trabaja con tres dimensiones. La continuidad temporal: percibir que el proceso no se ha detenido. La predicción: si hay progreso medible, el usuario puede anticipar el final. Y la confianza operativa: una señal proporcional permite sostener la confianza sin vigilancia constante —porque sin señal el proceso parece fallo, y con demasiada señal parece amenaza—. Por eso sustain no es un detalle visual: es una forma de mantener abierta una operación en la mente del usuario.</w:t>
      </w:r>
    </w:p>
    <w:p>
      <w:pPr>
        <w:spacing w:before="320" w:after="40"/>
      </w:pPr>
      <w:r>
        <w:rPr>
          <w:rFonts w:ascii="IBM Plex Sans" w:hAnsi="IBM Plex Sans" w:cs="IBM Plex Sans"/>
          <w:b/>
          <w:color w:val="1F3A5F"/>
          <w:sz w:val="18"/>
        </w:rPr>
        <w:t>§ 4</w:t>
      </w:r>
    </w:p>
    <w:p>
      <w:pPr>
        <w:spacing w:after="160" w:line="240" w:lineRule="auto"/>
      </w:pPr>
      <w:r>
        <w:rPr>
          <w:rFonts w:ascii="Newsreader" w:hAnsi="Newsreader" w:cs="Newsreader"/>
          <w:color w:val="161412"/>
          <w:sz w:val="38"/>
        </w:rPr>
        <w:t>La pregunta perceptiva</w:t>
      </w:r>
    </w:p>
    <w:p>
      <w:pPr>
        <w:spacing w:after="120" w:line="320" w:lineRule="auto"/>
        <w:jc w:val="both"/>
      </w:pPr>
      <w:r>
        <w:rPr>
          <w:rFonts w:ascii="Newsreader" w:hAnsi="Newsreader" w:cs="Newsreader"/>
          <w:b w:val="0"/>
          <w:i w:val="0"/>
          <w:color w:val="161412"/>
        </w:rPr>
        <w:t>sustain responde a: ¿esto sigue ocurriendo? Y despliega las preguntas de la espera: ¿está vivo?, ¿está bloqueado?, ¿avanza?, ¿cuánto falta?, ¿puedo hacer otra cosa?, ¿puedo cancelar?, ¿debo esperar?</w:t>
      </w:r>
    </w:p>
    <w:p>
      <w:pPr>
        <w:spacing w:before="320" w:after="40"/>
      </w:pPr>
      <w:r>
        <w:rPr>
          <w:rFonts w:ascii="IBM Plex Sans" w:hAnsi="IBM Plex Sans" w:cs="IBM Plex Sans"/>
          <w:b/>
          <w:color w:val="1F3A5F"/>
          <w:sz w:val="18"/>
        </w:rPr>
        <w:t>§ 5</w:t>
      </w:r>
    </w:p>
    <w:p>
      <w:pPr>
        <w:spacing w:after="160" w:line="240" w:lineRule="auto"/>
      </w:pPr>
      <w:r>
        <w:rPr>
          <w:rFonts w:ascii="Newsreader" w:hAnsi="Newsreader" w:cs="Newsreader"/>
          <w:color w:val="161412"/>
          <w:sz w:val="38"/>
        </w:rPr>
        <w:t>Tipos de sustain</w:t>
      </w:r>
    </w:p>
    <w:p>
      <w:pPr>
        <w:spacing w:after="120" w:line="320" w:lineRule="auto"/>
        <w:jc w:val="both"/>
      </w:pPr>
      <w:r>
        <w:rPr>
          <w:rFonts w:ascii="Newsreader" w:hAnsi="Newsreader" w:cs="Newsreader"/>
          <w:b w:val="0"/>
          <w:i w:val="0"/>
          <w:color w:val="161412"/>
        </w:rPr>
        <w:t>No todo sostenimiento tiene la misma forma temporal.</w:t>
      </w:r>
    </w:p>
    <w:p>
      <w:pPr>
        <w:spacing w:after="120" w:line="320" w:lineRule="auto"/>
        <w:jc w:val="both"/>
      </w:pPr>
      <w:r>
        <w:rPr>
          <w:rFonts w:ascii="Newsreader" w:hAnsi="Newsreader" w:cs="Newsreader"/>
          <w:b/>
          <w:i w:val="0"/>
          <w:color w:val="161412"/>
        </w:rPr>
        <w:t>Progreso acotado.</w:t>
      </w:r>
      <w:r>
        <w:rPr>
          <w:rFonts w:ascii="Newsreader" w:hAnsi="Newsreader" w:cs="Newsreader"/>
          <w:b w:val="0"/>
          <w:i w:val="0"/>
          <w:color w:val="161412"/>
        </w:rPr>
        <w:t xml:space="preserve"> El proceso tiene medida y avance perceptible: una barra que crece, un porcentaje que sube. Es sustain.progress con magnitud, y es el sostenimiento más amable: promete un final y muestra el camino.</w:t>
      </w:r>
    </w:p>
    <w:p>
      <w:pPr>
        <w:spacing w:after="120" w:line="320" w:lineRule="auto"/>
        <w:jc w:val="both"/>
      </w:pPr>
      <w:r>
        <w:rPr>
          <w:rFonts w:ascii="Newsreader" w:hAnsi="Newsreader" w:cs="Newsreader"/>
          <w:b/>
          <w:i w:val="0"/>
          <w:color w:val="161412"/>
        </w:rPr>
        <w:t>Continuidad indeterminada.</w:t>
      </w:r>
      <w:r>
        <w:rPr>
          <w:rFonts w:ascii="Newsreader" w:hAnsi="Newsreader" w:cs="Newsreader"/>
          <w:b w:val="0"/>
          <w:i w:val="0"/>
          <w:color w:val="161412"/>
        </w:rPr>
        <w:t xml:space="preserve"> El proceso sigue, pero no puede medirse: solo cabe afirmar que está vivo. Es el territorio del spinner, y por eso el que más texto honesto necesita.</w:t>
      </w:r>
    </w:p>
    <w:p>
      <w:pPr>
        <w:spacing w:after="120" w:line="320" w:lineRule="auto"/>
        <w:jc w:val="both"/>
      </w:pPr>
      <w:r>
        <w:rPr>
          <w:rFonts w:ascii="Newsreader" w:hAnsi="Newsreader" w:cs="Newsreader"/>
          <w:b/>
          <w:i w:val="0"/>
          <w:color w:val="161412"/>
        </w:rPr>
        <w:t>Sostenimiento en segundo plano.</w:t>
      </w:r>
      <w:r>
        <w:rPr>
          <w:rFonts w:ascii="Newsreader" w:hAnsi="Newsreader" w:cs="Newsreader"/>
          <w:b w:val="0"/>
          <w:i w:val="0"/>
          <w:color w:val="161412"/>
        </w:rPr>
        <w:t xml:space="preserve"> El proceso continúa mientras el usuario hace otra cosa: sincronización, subida, exportación. Necesita presencia mínima pero localizable: poder comprobarlo sin tener que vigilarlo.</w:t>
      </w:r>
    </w:p>
    <w:p>
      <w:pPr>
        <w:spacing w:after="120" w:line="320" w:lineRule="auto"/>
        <w:jc w:val="both"/>
      </w:pPr>
      <w:r>
        <w:rPr>
          <w:rFonts w:ascii="Newsreader" w:hAnsi="Newsreader" w:cs="Newsreader"/>
          <w:b/>
          <w:i w:val="0"/>
          <w:color w:val="161412"/>
        </w:rPr>
        <w:t>Estado vivo.</w:t>
      </w:r>
      <w:r>
        <w:rPr>
          <w:rFonts w:ascii="Newsreader" w:hAnsi="Newsreader" w:cs="Newsreader"/>
          <w:b w:val="0"/>
          <w:i w:val="0"/>
          <w:color w:val="161412"/>
        </w:rPr>
        <w:t xml:space="preserve"> Algo ocurre de forma continua y deliberada: grabación, emisión, conexión activa. Aquí el sostenimiento no es espera: es vigilancia compartida, y su interrupción es un evento de pleno derecho.</w:t>
      </w:r>
    </w:p>
    <w:p>
      <w:pPr>
        <w:spacing w:after="120" w:line="320" w:lineRule="auto"/>
        <w:jc w:val="both"/>
      </w:pPr>
      <w:r>
        <w:rPr>
          <w:rFonts w:ascii="Newsreader" w:hAnsi="Newsreader" w:cs="Newsreader"/>
          <w:b w:val="0"/>
          <w:i w:val="0"/>
          <w:color w:val="161412"/>
        </w:rPr>
        <w:t>Cada tipo sostiene la misma promesa: el sistema sigue contigo. Lo que cambia es cuánta información puede dar mientras tanto.</w:t>
      </w:r>
    </w:p>
    <w:p>
      <w:pPr>
        <w:spacing w:before="320" w:after="40"/>
      </w:pPr>
      <w:r>
        <w:rPr>
          <w:rFonts w:ascii="IBM Plex Sans" w:hAnsi="IBM Plex Sans" w:cs="IBM Plex Sans"/>
          <w:b/>
          <w:color w:val="1F3A5F"/>
          <w:sz w:val="18"/>
        </w:rPr>
        <w:t>§ 6</w:t>
      </w:r>
    </w:p>
    <w:p>
      <w:pPr>
        <w:spacing w:after="160" w:line="240" w:lineRule="auto"/>
      </w:pPr>
      <w:r>
        <w:rPr>
          <w:rFonts w:ascii="Newsreader" w:hAnsi="Newsreader" w:cs="Newsreader"/>
          <w:color w:val="161412"/>
          <w:sz w:val="38"/>
        </w:rPr>
        <w:t>Canales de sustain</w:t>
      </w:r>
    </w:p>
    <w:p>
      <w:pPr>
        <w:spacing w:after="120" w:line="320" w:lineRule="auto"/>
        <w:jc w:val="both"/>
      </w:pPr>
      <w:r>
        <w:rPr>
          <w:rFonts w:ascii="Newsreader" w:hAnsi="Newsreader" w:cs="Newsreader"/>
          <w:b w:val="0"/>
          <w:i w:val="0"/>
          <w:color w:val="161412"/>
        </w:rPr>
        <w:t>El texto es muchas veces el canal más honesto de sustain. Un spinner sin texto dice «algo pasa»; un texto dice «esto es lo que pasa».</w:t>
      </w:r>
    </w:p>
    <w:p>
      <w:pPr>
        <w:spacing w:before="320" w:after="40"/>
      </w:pPr>
      <w:r>
        <w:rPr>
          <w:rFonts w:ascii="IBM Plex Sans" w:hAnsi="IBM Plex Sans" w:cs="IBM Plex Sans"/>
          <w:b/>
          <w:color w:val="1F3A5F"/>
          <w:sz w:val="18"/>
        </w:rPr>
        <w:t>§ 7</w:t>
      </w:r>
    </w:p>
    <w:p>
      <w:pPr>
        <w:spacing w:after="160" w:line="240" w:lineRule="auto"/>
      </w:pPr>
      <w:r>
        <w:rPr>
          <w:rFonts w:ascii="Newsreader" w:hAnsi="Newsreader" w:cs="Newsreader"/>
          <w:color w:val="161412"/>
          <w:sz w:val="38"/>
        </w:rPr>
        <w:t>sustain e intent</w:t>
      </w:r>
    </w:p>
    <w:p>
      <w:pPr>
        <w:spacing w:after="120" w:line="320" w:lineRule="auto"/>
        <w:jc w:val="both"/>
      </w:pPr>
      <w:r>
        <w:rPr>
          <w:rFonts w:ascii="Newsreader" w:hAnsi="Newsreader" w:cs="Newsreader"/>
          <w:b w:val="0"/>
          <w:i w:val="0"/>
          <w:color w:val="161412"/>
        </w:rPr>
        <w:t>sustain normalmente no acepta intent por sí mismo: un proceso en curso no es positivo o negativo por estar en curso. Puede volverse problemático, y entonces se compone (sustain.progress con signal.warn + risk); puede terminar bien (sustain.progress hacia commit.complete + fulfill); puede fallar (sustain.progress hacia commit.fail + risk). El intent aparece en la señal o en el resultado, no en la continuidad misma.</w:t>
      </w:r>
    </w:p>
    <w:p>
      <w:pPr>
        <w:spacing w:after="120" w:line="320" w:lineRule="auto"/>
        <w:jc w:val="both"/>
      </w:pPr>
      <w:r>
        <w:rPr>
          <w:rFonts w:ascii="Newsreader" w:hAnsi="Newsreader" w:cs="Newsreader"/>
          <w:b w:val="0"/>
          <w:i w:val="0"/>
          <w:color w:val="161412"/>
        </w:rPr>
        <w:t xml:space="preserve">El modelo de evento puntual —una señal, una ventana perceptiva, fin— no cubre la continuidad larga. ¿Cómo se dice «sigue vivo» durante ocho segundos? No repitiendo la señal: un pulso reemitido choca con el muestreo perceptivo y con la memoria de frecuencia. La continuidad no es un pulso: es un estado.</w:t>
      </w:r>
    </w:p>
    <w:p>
      <w:pPr>
        <w:spacing w:after="120" w:line="320" w:lineRule="auto"/>
        <w:jc w:val="both"/>
      </w:pPr>
      <w:r>
        <w:rPr>
          <w:rFonts w:ascii="Newsreader" w:hAnsi="Newsreader" w:cs="Newsreader"/>
          <w:b w:val="0"/>
          <w:i w:val="0"/>
          <w:color w:val="161412"/>
        </w:rPr>
        <w:t xml:space="preserve">El ciclo de vida de sustain tiene, por tanto, tres momentos: la transición de entrada, que sí es un evento y se puntúa; el estado sostenido, presencia persistente mientras dura el proceso —barra, texto, actualización discreta—; y la transición de salida hacia una resolución. La gramática puntúa las transiciones; la continuidad la lleva el estado.</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Sustain no es un pulso repetido: es un estado sostenido con dos transiciones puntuadas — la entrada y la salida.</w:t>
      </w:r>
    </w:p>
    <w:p>
      <w:pPr>
        <w:spacing w:before="320" w:after="40"/>
      </w:pPr>
      <w:r>
        <w:rPr>
          <w:rFonts w:ascii="IBM Plex Sans" w:hAnsi="IBM Plex Sans" w:cs="IBM Plex Sans"/>
          <w:b/>
          <w:color w:val="1F3A5F"/>
          <w:sz w:val="18"/>
        </w:rPr>
        <w:t>§ 8</w:t>
      </w:r>
    </w:p>
    <w:p>
      <w:pPr>
        <w:spacing w:after="160" w:line="240" w:lineRule="auto"/>
      </w:pPr>
      <w:r>
        <w:rPr>
          <w:rFonts w:ascii="Newsreader" w:hAnsi="Newsreader" w:cs="Newsreader"/>
          <w:color w:val="161412"/>
          <w:sz w:val="38"/>
        </w:rPr>
        <w:t>Las fronteras: commit y signal</w:t>
      </w:r>
    </w:p>
    <w:p>
      <w:pPr>
        <w:spacing w:after="120" w:line="320" w:lineRule="auto"/>
        <w:jc w:val="both"/>
      </w:pPr>
      <w:r>
        <w:rPr>
          <w:rFonts w:ascii="Newsreader" w:hAnsi="Newsreader" w:cs="Newsreader"/>
          <w:b w:val="0"/>
          <w:i w:val="0"/>
          <w:color w:val="161412"/>
        </w:rPr>
        <w:t>Con commit, la relación es de relevo: en la secuencia contact.press · sustain.progress · commit.save + affirm, sustain mantiene abierta la operación y commit la cierra. Si el sistema muestra «guardado» mientras todavía está guardando, rompe la confianza; si mantiene «guardando…» después de haber guardado, también.</w:t>
      </w:r>
    </w:p>
    <w:p>
      <w:pPr>
        <w:spacing w:after="120" w:line="320" w:lineRule="auto"/>
        <w:jc w:val="both"/>
      </w:pPr>
      <w:r>
        <w:rPr>
          <w:rFonts w:ascii="Newsreader" w:hAnsi="Newsreader" w:cs="Newsreader"/>
          <w:b w:val="0"/>
          <w:i w:val="0"/>
          <w:color w:val="161412"/>
        </w:rPr>
        <w:t>Con signal, la relación es de tono: sustain acompaña; signal reclama atención. Si un proceso tarda más de lo esperado, se compone (sustain.processing con signal.warn + risk); si falla, se cierra (commit.fail + risk). No todo proceso lento debe convertirse en alerta, pero todo proceso que se aleja de las expectativas debe comunicarlo.</w:t>
      </w:r>
    </w:p>
    <w:p>
      <w:pPr>
        <w:spacing w:before="320" w:after="40"/>
      </w:pPr>
      <w:r>
        <w:rPr>
          <w:rFonts w:ascii="IBM Plex Sans" w:hAnsi="IBM Plex Sans" w:cs="IBM Plex Sans"/>
          <w:b/>
          <w:color w:val="1F3A5F"/>
          <w:sz w:val="18"/>
        </w:rPr>
        <w:t>§ 9</w:t>
      </w:r>
    </w:p>
    <w:p>
      <w:pPr>
        <w:spacing w:after="160" w:line="240" w:lineRule="auto"/>
      </w:pPr>
      <w:r>
        <w:rPr>
          <w:rFonts w:ascii="Newsreader" w:hAnsi="Newsreader" w:cs="Newsreader"/>
          <w:color w:val="161412"/>
          <w:sz w:val="38"/>
        </w:rPr>
        <w:t>Ejemplos prácticos</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Guardado remoto</w:t>
      </w:r>
      <w:r>
        <w:rPr>
          <w:rFonts w:ascii="Newsreader" w:hAnsi="Newsreader" w:cs="Newsreader"/>
          <w:b w:val="0"/>
          <w:i w:val="0"/>
          <w:color w:val="161412"/>
        </w:rPr>
        <w:t xml:space="preserve"> → contact.press · sustain.progress · commit.save + affirm</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Subida de archivo</w:t>
      </w:r>
      <w:r>
        <w:rPr>
          <w:rFonts w:ascii="Newsreader" w:hAnsi="Newsreader" w:cs="Newsreader"/>
          <w:b w:val="0"/>
          <w:i w:val="0"/>
          <w:color w:val="161412"/>
        </w:rPr>
        <w:t xml:space="preserve"> → contact.press · sustain.progress · commit.complete + fulfill</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Búsqueda</w:t>
      </w:r>
      <w:r>
        <w:rPr>
          <w:rFonts w:ascii="Newsreader" w:hAnsi="Newsreader" w:cs="Newsreader"/>
          <w:b w:val="0"/>
          <w:i w:val="0"/>
          <w:color w:val="161412"/>
        </w:rPr>
        <w:t xml:space="preserve"> → contact.submit · sustain.processing · emerge.present (resultados)</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IA generando respuesta</w:t>
      </w:r>
      <w:r>
        <w:rPr>
          <w:rFonts w:ascii="Newsreader" w:hAnsi="Newsreader" w:cs="Newsreader"/>
          <w:b w:val="0"/>
          <w:i w:val="0"/>
          <w:color w:val="161412"/>
        </w:rPr>
        <w:t xml:space="preserve"> → contact.submit · sustain.streaming · commit.complete + affirm / fulfill</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i w:val="0"/>
          <w:color w:val="161412"/>
        </w:rPr>
        <w:t>Sincronización offline</w:t>
      </w:r>
      <w:r>
        <w:rPr>
          <w:rFonts w:ascii="Newsreader" w:hAnsi="Newsreader" w:cs="Newsreader"/>
          <w:b w:val="0"/>
          <w:i w:val="0"/>
          <w:color w:val="161412"/>
        </w:rPr>
        <w:t xml:space="preserve"> → sustain.syncing · commit.save + affirm — o, si falla, sustain.syncing · commit.fail + risk</w:t>
      </w:r>
    </w:p>
    <w:p>
      <w:pPr>
        <w:spacing w:after="120" w:line="320" w:lineRule="auto"/>
        <w:jc w:val="both"/>
      </w:pPr>
      <w:r>
        <w:rPr>
          <w:rFonts w:ascii="Newsreader" w:hAnsi="Newsreader" w:cs="Newsreader"/>
          <w:b w:val="0"/>
          <w:i w:val="0"/>
          <w:color w:val="161412"/>
        </w:rPr>
        <w:t xml:space="preserve">El tercero de estos ejemplos —la respuesta que fluye de un modelo generativo— es más difícil de lo que la línea sugiere. El Apéndice E lo examina entre los casos donde la gramática suda.</w:t>
      </w:r>
    </w:p>
    <w:p>
      <w:pPr>
        <w:spacing w:before="320" w:after="40"/>
      </w:pPr>
      <w:r>
        <w:rPr>
          <w:rFonts w:ascii="IBM Plex Sans" w:hAnsi="IBM Plex Sans" w:cs="IBM Plex Sans"/>
          <w:b/>
          <w:color w:val="1F3A5F"/>
          <w:sz w:val="18"/>
        </w:rPr>
        <w:t>§ 10</w:t>
      </w:r>
    </w:p>
    <w:p>
      <w:pPr>
        <w:spacing w:after="160" w:line="240" w:lineRule="auto"/>
      </w:pPr>
      <w:r>
        <w:rPr>
          <w:rFonts w:ascii="Newsreader" w:hAnsi="Newsreader" w:cs="Newsreader"/>
          <w:color w:val="161412"/>
          <w:sz w:val="38"/>
        </w:rPr>
        <w:t>Accesibilidad</w:t>
      </w:r>
    </w:p>
    <w:p>
      <w:pPr>
        <w:spacing w:after="120" w:line="320" w:lineRule="auto"/>
        <w:jc w:val="both"/>
      </w:pPr>
      <w:r>
        <w:rPr>
          <w:rFonts w:ascii="Newsreader" w:hAnsi="Newsreader" w:cs="Newsreader"/>
          <w:b w:val="0"/>
          <w:i w:val="0"/>
          <w:color w:val="161412"/>
        </w:rPr>
        <w:t>sustain debe ser accesible porque la espera genera incertidumbre. La accesibilidad de sustain consiste, en el fondo, en hacer soportable la espera: estado anunciado, progreso legible, salida disponible.</w:t>
      </w:r>
    </w:p>
    <w:p>
      <w:pPr>
        <w:spacing w:before="320" w:after="40"/>
      </w:pPr>
      <w:r>
        <w:rPr>
          <w:rFonts w:ascii="IBM Plex Sans" w:hAnsi="IBM Plex Sans" w:cs="IBM Plex Sans"/>
          <w:b/>
          <w:color w:val="1F3A5F"/>
          <w:sz w:val="18"/>
        </w:rPr>
        <w:t>§ 11</w:t>
      </w:r>
    </w:p>
    <w:p>
      <w:pPr>
        <w:spacing w:after="160" w:line="240" w:lineRule="auto"/>
      </w:pPr>
      <w:r>
        <w:rPr>
          <w:rFonts w:ascii="Newsreader" w:hAnsi="Newsreader" w:cs="Newsreader"/>
          <w:color w:val="161412"/>
          <w:sz w:val="38"/>
        </w:rPr>
        <w:t>Antipatrones</w:t>
      </w:r>
    </w:p>
    <w:p>
      <w:pPr>
        <w:spacing w:after="120" w:line="320" w:lineRule="auto"/>
        <w:jc w:val="both"/>
      </w:pPr>
      <w:r>
        <w:rPr>
          <w:rFonts w:ascii="Newsreader" w:hAnsi="Newsreader" w:cs="Newsreader"/>
          <w:b/>
          <w:i w:val="0"/>
          <w:color w:val="161412"/>
        </w:rPr>
        <w:t>Spinner eterno.</w:t>
      </w:r>
      <w:r>
        <w:rPr>
          <w:rFonts w:ascii="Newsreader" w:hAnsi="Newsreader" w:cs="Newsreader"/>
          <w:b w:val="0"/>
          <w:i w:val="0"/>
          <w:color w:val="161412"/>
        </w:rPr>
        <w:t xml:space="preserve"> Continuidad sin información: no se sabe cuánto queda, si avanza, ni cómo salir. La espera se vuelve sospecha. sustain dice qué pasa y, cuando puede, cuánto falta; y siempre deja una salida.</w:t>
      </w:r>
    </w:p>
    <w:p>
      <w:pPr>
        <w:spacing w:after="120" w:line="320" w:lineRule="auto"/>
        <w:jc w:val="both"/>
      </w:pPr>
      <w:r>
        <w:rPr>
          <w:rFonts w:ascii="Newsreader" w:hAnsi="Newsreader" w:cs="Newsreader"/>
          <w:b/>
          <w:i w:val="0"/>
          <w:color w:val="161412"/>
        </w:rPr>
        <w:t>Proceso fantasma.</w:t>
      </w:r>
      <w:r>
        <w:rPr>
          <w:rFonts w:ascii="Newsreader" w:hAnsi="Newsreader" w:cs="Newsreader"/>
          <w:b w:val="0"/>
          <w:i w:val="0"/>
          <w:color w:val="161412"/>
        </w:rPr>
        <w:t xml:space="preserve"> Algo sigue ocurriendo en segundo plano sin ninguna presencia perceptible. Cuando termina —o falla—, el usuario nunca supo que existía. Lo que se sostiene tiene presencia proporcional, aunque sea mínima.</w:t>
      </w:r>
    </w:p>
    <w:p>
      <w:pPr>
        <w:spacing w:after="120" w:line="320" w:lineRule="auto"/>
        <w:jc w:val="both"/>
      </w:pPr>
      <w:r>
        <w:rPr>
          <w:rFonts w:ascii="Newsreader" w:hAnsi="Newsreader" w:cs="Newsreader"/>
          <w:b/>
          <w:i w:val="0"/>
          <w:color w:val="161412"/>
        </w:rPr>
        <w:t>Final mudo.</w:t>
      </w:r>
      <w:r>
        <w:rPr>
          <w:rFonts w:ascii="Newsreader" w:hAnsi="Newsreader" w:cs="Newsreader"/>
          <w:b w:val="0"/>
          <w:i w:val="0"/>
          <w:color w:val="161412"/>
        </w:rPr>
        <w:t xml:space="preserve"> El proceso termina y la continuidad simplemente desaparece, sin commit que registre el desenlace. La historia queda sin última página. Todo sustain se cierra con un evento de resolución perceptible.</w:t>
      </w:r>
    </w:p>
    <w:p>
      <w:pPr>
        <w:spacing w:before="320" w:after="40"/>
      </w:pPr>
      <w:r>
        <w:rPr>
          <w:rFonts w:ascii="IBM Plex Sans" w:hAnsi="IBM Plex Sans" w:cs="IBM Plex Sans"/>
          <w:b/>
          <w:color w:val="1F3A5F"/>
          <w:sz w:val="18"/>
        </w:rPr>
        <w:t>§ 12</w:t>
      </w:r>
    </w:p>
    <w:p>
      <w:pPr>
        <w:spacing w:after="160" w:line="240" w:lineRule="auto"/>
      </w:pPr>
      <w:r>
        <w:rPr>
          <w:rFonts w:ascii="Newsreader" w:hAnsi="Newsreader" w:cs="Newsreader"/>
          <w:color w:val="161412"/>
          <w:sz w:val="38"/>
        </w:rPr>
        <w:t>Síntesis</w:t>
      </w:r>
    </w:p>
    <w:p>
      <w:pPr>
        <w:spacing w:after="120" w:line="320" w:lineRule="auto"/>
        <w:jc w:val="both"/>
      </w:pPr>
      <w:r>
        <w:rPr>
          <w:rFonts w:ascii="Newsreader" w:hAnsi="Newsreader" w:cs="Newsreader"/>
          <w:b w:val="0"/>
          <w:i w:val="0"/>
          <w:color w:val="161412"/>
        </w:rPr>
        <w:t>sustain es la familia de la continuidad operativa. No responde a «¿se recibió mi acción?» —eso era contact— ni a «¿ya terminó?» —eso será commit—. Responde a «¿esto sigue ocurriendo?», y su función es mantener la confianza durante el intervalo entre acción y resultado.</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Todo proceso que no termina de inmediato debe indicar que sigue vivo, sin parecer alarma ni celebración.</w:t>
      </w:r>
    </w:p>
    <w:p>
      <w:pPr>
        <w:spacing w:before="320" w:after="40"/>
      </w:pPr>
    </w:p>
    <w:p>
      <w:pPr>
        <w:spacing w:after="160" w:line="240" w:lineRule="auto"/>
      </w:pPr>
      <w:r>
        <w:rPr>
          <w:rFonts w:ascii="Newsreader" w:hAnsi="Newsreader" w:cs="Newsreader"/>
          <w:color w:val="161412"/>
          <w:sz w:val="38"/>
        </w:rPr>
        <w:t>Cierre del bloque de familias</w:t>
      </w:r>
    </w:p>
    <w:p>
      <w:pPr>
        <w:spacing w:after="120" w:line="320" w:lineRule="auto"/>
        <w:jc w:val="both"/>
      </w:pPr>
      <w:r>
        <w:rPr>
          <w:rFonts w:ascii="Newsreader" w:hAnsi="Newsreader" w:cs="Newsreader"/>
          <w:b w:val="0"/>
          <w:i w:val="0"/>
          <w:color w:val="161412"/>
        </w:rPr>
        <w:t>Con estos capítulos queda consolidado el bloque de las familias semánticas. La gramática ya no se limita a nombrar ocho palabras: cada familia queda vinculada a una pregunta perceptiva, un fundamento psicoperceptivo, una relación con el intent, unos canales dominantes, ejemplos concretos, criterios de accesibilidad y antipatrones. Las familias no son fichas técnicas: son estructuras perceptivas del evento.</w:t>
      </w:r>
    </w:p>
    <w:p>
      <w:pPr>
        <w:spacing w:after="200" w:before="40"/>
      </w:pPr>
      <w:r>
        <w:rPr>
          <w:rFonts w:ascii="IBM Plex Sans" w:hAnsi="IBM Plex Sans" w:cs="IBM Plex Sans"/>
          <w:b/>
          <w:color w:val="1F3A5F"/>
          <w:sz w:val="17"/>
        </w:rPr>
        <w:t xml:space="preserve">TABLA 28.1   </w:t>
      </w:r>
      <w:r>
        <w:rPr>
          <w:rFonts w:ascii="IBM Plex Sans" w:hAnsi="IBM Plex Sans" w:cs="IBM Plex Sans"/>
          <w:color w:val="3A352F"/>
          <w:sz w:val="18"/>
        </w:rPr>
        <w:t xml:space="preserve">Tipos de sustain y su lectura</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079"/>
        <w:gridCol w:w="2079"/>
        <w:gridCol w:w="2079"/>
        <w:gridCol w:w="2079"/>
      </w:tblGrid>
      <w:tr>
        <w:tc>
          <w:tcPr>
            <w:tcW w:type="dxa" w:w="2079"/>
            <w:shd w:val="clear" w:color="auto" w:fill="EAE4D8"/>
          </w:tcPr>
          <w:p>
            <w:pPr>
              <w:spacing w:after="40"/>
            </w:pPr>
            <w:r>
              <w:rPr>
                <w:sz w:val="17"/>
              </w:rPr>
            </w:r>
            <w:r>
              <w:rPr>
                <w:rFonts w:ascii="IBM Plex Sans" w:hAnsi="IBM Plex Sans" w:cs="IBM Plex Sans"/>
                <w:b/>
                <w:i w:val="0"/>
                <w:color w:val="1F3A5F"/>
                <w:sz w:val="17"/>
              </w:rPr>
              <w:t>Tipo</w:t>
            </w:r>
          </w:p>
        </w:tc>
        <w:tc>
          <w:tcPr>
            <w:tcW w:type="dxa" w:w="2079"/>
            <w:shd w:val="clear" w:color="auto" w:fill="EAE4D8"/>
          </w:tcPr>
          <w:p>
            <w:pPr>
              <w:spacing w:after="40"/>
            </w:pPr>
            <w:r>
              <w:rPr>
                <w:sz w:val="17"/>
              </w:rPr>
            </w:r>
            <w:r>
              <w:rPr>
                <w:rFonts w:ascii="IBM Plex Sans" w:hAnsi="IBM Plex Sans" w:cs="IBM Plex Sans"/>
                <w:b/>
                <w:i w:val="0"/>
                <w:color w:val="1F3A5F"/>
                <w:sz w:val="17"/>
              </w:rPr>
              <w:t>Qué comunica</w:t>
            </w:r>
          </w:p>
        </w:tc>
        <w:tc>
          <w:tcPr>
            <w:tcW w:type="dxa" w:w="2079"/>
            <w:shd w:val="clear" w:color="auto" w:fill="EAE4D8"/>
          </w:tcPr>
          <w:p>
            <w:pPr>
              <w:spacing w:after="40"/>
            </w:pPr>
            <w:r>
              <w:rPr>
                <w:sz w:val="17"/>
              </w:rPr>
            </w:r>
            <w:r>
              <w:rPr>
                <w:rFonts w:ascii="IBM Plex Sans" w:hAnsi="IBM Plex Sans" w:cs="IBM Plex Sans"/>
                <w:b/>
                <w:i w:val="0"/>
                <w:color w:val="1F3A5F"/>
                <w:sz w:val="17"/>
              </w:rPr>
              <w:t>Ejemplo</w:t>
            </w:r>
          </w:p>
        </w:tc>
        <w:tc>
          <w:tcPr>
            <w:tcW w:type="dxa" w:w="2079"/>
            <w:shd w:val="clear" w:color="auto" w:fill="EAE4D8"/>
          </w:tcPr>
          <w:p>
            <w:pPr>
              <w:spacing w:after="40"/>
            </w:pPr>
            <w:r>
              <w:rPr>
                <w:sz w:val="17"/>
              </w:rPr>
            </w:r>
            <w:r>
              <w:rPr>
                <w:rFonts w:ascii="IBM Plex Sans" w:hAnsi="IBM Plex Sans" w:cs="IBM Plex Sans"/>
                <w:b/>
                <w:i w:val="0"/>
                <w:color w:val="1F3A5F"/>
                <w:sz w:val="17"/>
              </w:rPr>
              <w:t>Riesgo</w:t>
            </w:r>
          </w:p>
        </w:tc>
      </w:tr>
      <w:tr>
        <w:tc>
          <w:tcPr>
            <w:tcW w:type="dxa" w:w="2079"/>
          </w:tcPr>
          <w:p>
            <w:pPr>
              <w:spacing w:after="40"/>
            </w:pPr>
            <w:r>
              <w:rPr>
                <w:sz w:val="17"/>
              </w:rPr>
            </w:r>
            <w:r>
              <w:rPr>
                <w:rFonts w:ascii="IBM Plex Sans" w:hAnsi="IBM Plex Sans" w:cs="IBM Plex Sans"/>
                <w:b w:val="0"/>
                <w:i w:val="0"/>
                <w:color w:val="161412"/>
                <w:sz w:val="17"/>
              </w:rPr>
              <w:t>loading</w:t>
            </w:r>
          </w:p>
        </w:tc>
        <w:tc>
          <w:tcPr>
            <w:tcW w:type="dxa" w:w="2079"/>
          </w:tcPr>
          <w:p>
            <w:pPr>
              <w:spacing w:after="40"/>
            </w:pPr>
            <w:r>
              <w:rPr>
                <w:sz w:val="17"/>
              </w:rPr>
            </w:r>
            <w:r>
              <w:rPr>
                <w:rFonts w:ascii="IBM Plex Sans" w:hAnsi="IBM Plex Sans" w:cs="IBM Plex Sans"/>
                <w:b w:val="0"/>
                <w:i w:val="0"/>
                <w:color w:val="161412"/>
                <w:sz w:val="17"/>
              </w:rPr>
              <w:t>carga indeterminada</w:t>
            </w:r>
          </w:p>
        </w:tc>
        <w:tc>
          <w:tcPr>
            <w:tcW w:type="dxa" w:w="2079"/>
          </w:tcPr>
          <w:p>
            <w:pPr>
              <w:spacing w:after="40"/>
            </w:pPr>
            <w:r>
              <w:rPr>
                <w:sz w:val="17"/>
              </w:rPr>
            </w:r>
            <w:r>
              <w:rPr>
                <w:rFonts w:ascii="IBM Plex Sans" w:hAnsi="IBM Plex Sans" w:cs="IBM Plex Sans"/>
                <w:b w:val="0"/>
                <w:i w:val="0"/>
                <w:color w:val="161412"/>
                <w:sz w:val="17"/>
              </w:rPr>
              <w:t>skeleton, spinner</w:t>
            </w:r>
          </w:p>
        </w:tc>
        <w:tc>
          <w:tcPr>
            <w:tcW w:type="dxa" w:w="2079"/>
          </w:tcPr>
          <w:p>
            <w:pPr>
              <w:spacing w:after="40"/>
            </w:pPr>
            <w:r>
              <w:rPr>
                <w:sz w:val="17"/>
              </w:rPr>
            </w:r>
            <w:r>
              <w:rPr>
                <w:rFonts w:ascii="IBM Plex Sans" w:hAnsi="IBM Plex Sans" w:cs="IBM Plex Sans"/>
                <w:b w:val="0"/>
                <w:i w:val="0"/>
                <w:color w:val="161412"/>
                <w:sz w:val="17"/>
              </w:rPr>
              <w:t>bloqueo aparente</w:t>
            </w:r>
          </w:p>
        </w:tc>
      </w:tr>
      <w:tr>
        <w:tc>
          <w:tcPr>
            <w:tcW w:type="dxa" w:w="2079"/>
          </w:tcPr>
          <w:p>
            <w:pPr>
              <w:spacing w:after="40"/>
            </w:pPr>
            <w:r>
              <w:rPr>
                <w:sz w:val="17"/>
              </w:rPr>
            </w:r>
            <w:r>
              <w:rPr>
                <w:rFonts w:ascii="IBM Plex Sans" w:hAnsi="IBM Plex Sans" w:cs="IBM Plex Sans"/>
                <w:b w:val="0"/>
                <w:i w:val="0"/>
                <w:color w:val="161412"/>
                <w:sz w:val="17"/>
              </w:rPr>
              <w:t>progress</w:t>
            </w:r>
          </w:p>
        </w:tc>
        <w:tc>
          <w:tcPr>
            <w:tcW w:type="dxa" w:w="2079"/>
          </w:tcPr>
          <w:p>
            <w:pPr>
              <w:spacing w:after="40"/>
            </w:pPr>
            <w:r>
              <w:rPr>
                <w:sz w:val="17"/>
              </w:rPr>
            </w:r>
            <w:r>
              <w:rPr>
                <w:rFonts w:ascii="IBM Plex Sans" w:hAnsi="IBM Plex Sans" w:cs="IBM Plex Sans"/>
                <w:b w:val="0"/>
                <w:i w:val="0"/>
                <w:color w:val="161412"/>
                <w:sz w:val="17"/>
              </w:rPr>
              <w:t>avance medible</w:t>
            </w:r>
          </w:p>
        </w:tc>
        <w:tc>
          <w:tcPr>
            <w:tcW w:type="dxa" w:w="2079"/>
          </w:tcPr>
          <w:p>
            <w:pPr>
              <w:spacing w:after="40"/>
            </w:pPr>
            <w:r>
              <w:rPr>
                <w:sz w:val="17"/>
              </w:rPr>
            </w:r>
            <w:r>
              <w:rPr>
                <w:rFonts w:ascii="IBM Plex Sans" w:hAnsi="IBM Plex Sans" w:cs="IBM Plex Sans"/>
                <w:b w:val="0"/>
                <w:i w:val="0"/>
                <w:color w:val="161412"/>
                <w:sz w:val="17"/>
              </w:rPr>
              <w:t>barra, porcentaje</w:t>
            </w:r>
          </w:p>
        </w:tc>
        <w:tc>
          <w:tcPr>
            <w:tcW w:type="dxa" w:w="2079"/>
          </w:tcPr>
          <w:p>
            <w:pPr>
              <w:spacing w:after="40"/>
            </w:pPr>
            <w:r>
              <w:rPr>
                <w:sz w:val="17"/>
              </w:rPr>
            </w:r>
            <w:r>
              <w:rPr>
                <w:rFonts w:ascii="IBM Plex Sans" w:hAnsi="IBM Plex Sans" w:cs="IBM Plex Sans"/>
                <w:b w:val="0"/>
                <w:i w:val="0"/>
                <w:color w:val="161412"/>
                <w:sz w:val="17"/>
              </w:rPr>
              <w:t>progreso falso</w:t>
            </w:r>
          </w:p>
        </w:tc>
      </w:tr>
      <w:tr>
        <w:tc>
          <w:tcPr>
            <w:tcW w:type="dxa" w:w="2079"/>
          </w:tcPr>
          <w:p>
            <w:pPr>
              <w:spacing w:after="40"/>
            </w:pPr>
            <w:r>
              <w:rPr>
                <w:sz w:val="17"/>
              </w:rPr>
            </w:r>
            <w:r>
              <w:rPr>
                <w:rFonts w:ascii="IBM Plex Sans" w:hAnsi="IBM Plex Sans" w:cs="IBM Plex Sans"/>
                <w:b w:val="0"/>
                <w:i w:val="0"/>
                <w:color w:val="161412"/>
                <w:sz w:val="17"/>
              </w:rPr>
              <w:t>syncing</w:t>
            </w:r>
          </w:p>
        </w:tc>
        <w:tc>
          <w:tcPr>
            <w:tcW w:type="dxa" w:w="2079"/>
          </w:tcPr>
          <w:p>
            <w:pPr>
              <w:spacing w:after="40"/>
            </w:pPr>
            <w:r>
              <w:rPr>
                <w:sz w:val="17"/>
              </w:rPr>
            </w:r>
            <w:r>
              <w:rPr>
                <w:rFonts w:ascii="IBM Plex Sans" w:hAnsi="IBM Plex Sans" w:cs="IBM Plex Sans"/>
                <w:b w:val="0"/>
                <w:i w:val="0"/>
                <w:color w:val="161412"/>
                <w:sz w:val="17"/>
              </w:rPr>
              <w:t>alineación de estado</w:t>
            </w:r>
          </w:p>
        </w:tc>
        <w:tc>
          <w:tcPr>
            <w:tcW w:type="dxa" w:w="2079"/>
          </w:tcPr>
          <w:p>
            <w:pPr>
              <w:spacing w:after="40"/>
            </w:pPr>
            <w:r>
              <w:rPr>
                <w:sz w:val="17"/>
              </w:rPr>
            </w:r>
            <w:r>
              <w:rPr>
                <w:rFonts w:ascii="IBM Plex Sans" w:hAnsi="IBM Plex Sans" w:cs="IBM Plex Sans"/>
                <w:b w:val="0"/>
                <w:i w:val="0"/>
                <w:color w:val="161412"/>
                <w:sz w:val="17"/>
              </w:rPr>
              <w:t>guardando en nube</w:t>
            </w:r>
          </w:p>
        </w:tc>
        <w:tc>
          <w:tcPr>
            <w:tcW w:type="dxa" w:w="2079"/>
          </w:tcPr>
          <w:p>
            <w:pPr>
              <w:spacing w:after="40"/>
            </w:pPr>
            <w:r>
              <w:rPr>
                <w:sz w:val="17"/>
              </w:rPr>
            </w:r>
            <w:r>
              <w:rPr>
                <w:rFonts w:ascii="IBM Plex Sans" w:hAnsi="IBM Plex Sans" w:cs="IBM Plex Sans"/>
                <w:b w:val="0"/>
                <w:i w:val="0"/>
                <w:color w:val="161412"/>
                <w:sz w:val="17"/>
              </w:rPr>
              <w:t>confundir con commit</w:t>
            </w:r>
          </w:p>
        </w:tc>
      </w:tr>
      <w:tr>
        <w:tc>
          <w:tcPr>
            <w:tcW w:type="dxa" w:w="2079"/>
          </w:tcPr>
          <w:p>
            <w:pPr>
              <w:spacing w:after="40"/>
            </w:pPr>
            <w:r>
              <w:rPr>
                <w:sz w:val="17"/>
              </w:rPr>
            </w:r>
            <w:r>
              <w:rPr>
                <w:rFonts w:ascii="IBM Plex Sans" w:hAnsi="IBM Plex Sans" w:cs="IBM Plex Sans"/>
                <w:b w:val="0"/>
                <w:i w:val="0"/>
                <w:color w:val="161412"/>
                <w:sz w:val="17"/>
              </w:rPr>
              <w:t>processing</w:t>
            </w:r>
          </w:p>
        </w:tc>
        <w:tc>
          <w:tcPr>
            <w:tcW w:type="dxa" w:w="2079"/>
          </w:tcPr>
          <w:p>
            <w:pPr>
              <w:spacing w:after="40"/>
            </w:pPr>
            <w:r>
              <w:rPr>
                <w:sz w:val="17"/>
              </w:rPr>
            </w:r>
            <w:r>
              <w:rPr>
                <w:rFonts w:ascii="IBM Plex Sans" w:hAnsi="IBM Plex Sans" w:cs="IBM Plex Sans"/>
                <w:b w:val="0"/>
                <w:i w:val="0"/>
                <w:color w:val="161412"/>
                <w:sz w:val="17"/>
              </w:rPr>
              <w:t>cálculo interno</w:t>
            </w:r>
          </w:p>
        </w:tc>
        <w:tc>
          <w:tcPr>
            <w:tcW w:type="dxa" w:w="2079"/>
          </w:tcPr>
          <w:p>
            <w:pPr>
              <w:spacing w:after="40"/>
            </w:pPr>
            <w:r>
              <w:rPr>
                <w:sz w:val="17"/>
              </w:rPr>
            </w:r>
            <w:r>
              <w:rPr>
                <w:rFonts w:ascii="IBM Plex Sans" w:hAnsi="IBM Plex Sans" w:cs="IBM Plex Sans"/>
                <w:b w:val="0"/>
                <w:i w:val="0"/>
                <w:color w:val="161412"/>
                <w:sz w:val="17"/>
              </w:rPr>
              <w:t>búsqueda, IA, exportación</w:t>
            </w:r>
          </w:p>
        </w:tc>
        <w:tc>
          <w:tcPr>
            <w:tcW w:type="dxa" w:w="2079"/>
          </w:tcPr>
          <w:p>
            <w:pPr>
              <w:spacing w:after="40"/>
            </w:pPr>
            <w:r>
              <w:rPr>
                <w:sz w:val="17"/>
              </w:rPr>
            </w:r>
            <w:r>
              <w:rPr>
                <w:rFonts w:ascii="IBM Plex Sans" w:hAnsi="IBM Plex Sans" w:cs="IBM Plex Sans"/>
                <w:b w:val="0"/>
                <w:i w:val="0"/>
                <w:color w:val="161412"/>
                <w:sz w:val="17"/>
              </w:rPr>
              <w:t>opacidad</w:t>
            </w:r>
          </w:p>
        </w:tc>
      </w:tr>
      <w:tr>
        <w:tc>
          <w:tcPr>
            <w:tcW w:type="dxa" w:w="2079"/>
          </w:tcPr>
          <w:p>
            <w:pPr>
              <w:spacing w:after="40"/>
            </w:pPr>
            <w:r>
              <w:rPr>
                <w:sz w:val="17"/>
              </w:rPr>
            </w:r>
            <w:r>
              <w:rPr>
                <w:rFonts w:ascii="IBM Plex Sans" w:hAnsi="IBM Plex Sans" w:cs="IBM Plex Sans"/>
                <w:b w:val="0"/>
                <w:i w:val="0"/>
                <w:color w:val="161412"/>
                <w:sz w:val="17"/>
              </w:rPr>
              <w:t>streaming</w:t>
            </w:r>
          </w:p>
        </w:tc>
        <w:tc>
          <w:tcPr>
            <w:tcW w:type="dxa" w:w="2079"/>
          </w:tcPr>
          <w:p>
            <w:pPr>
              <w:spacing w:after="40"/>
            </w:pPr>
            <w:r>
              <w:rPr>
                <w:sz w:val="17"/>
              </w:rPr>
            </w:r>
            <w:r>
              <w:rPr>
                <w:rFonts w:ascii="IBM Plex Sans" w:hAnsi="IBM Plex Sans" w:cs="IBM Plex Sans"/>
                <w:b w:val="0"/>
                <w:i w:val="0"/>
                <w:color w:val="161412"/>
                <w:sz w:val="17"/>
              </w:rPr>
              <w:t>flujo continuo</w:t>
            </w:r>
          </w:p>
        </w:tc>
        <w:tc>
          <w:tcPr>
            <w:tcW w:type="dxa" w:w="2079"/>
          </w:tcPr>
          <w:p>
            <w:pPr>
              <w:spacing w:after="40"/>
            </w:pPr>
            <w:r>
              <w:rPr>
                <w:sz w:val="17"/>
              </w:rPr>
            </w:r>
            <w:r>
              <w:rPr>
                <w:rFonts w:ascii="IBM Plex Sans" w:hAnsi="IBM Plex Sans" w:cs="IBM Plex Sans"/>
                <w:b w:val="0"/>
                <w:i w:val="0"/>
                <w:color w:val="161412"/>
                <w:sz w:val="17"/>
              </w:rPr>
              <w:t>respuesta en vivo</w:t>
            </w:r>
          </w:p>
        </w:tc>
        <w:tc>
          <w:tcPr>
            <w:tcW w:type="dxa" w:w="2079"/>
          </w:tcPr>
          <w:p>
            <w:pPr>
              <w:spacing w:after="40"/>
            </w:pPr>
            <w:r>
              <w:rPr>
                <w:sz w:val="17"/>
              </w:rPr>
            </w:r>
            <w:r>
              <w:rPr>
                <w:rFonts w:ascii="IBM Plex Sans" w:hAnsi="IBM Plex Sans" w:cs="IBM Plex Sans"/>
                <w:b w:val="0"/>
                <w:i w:val="0"/>
                <w:color w:val="161412"/>
                <w:sz w:val="17"/>
              </w:rPr>
              <w:t>no distinguir final</w:t>
            </w:r>
          </w:p>
        </w:tc>
      </w:tr>
      <w:tr>
        <w:tc>
          <w:tcPr>
            <w:tcW w:type="dxa" w:w="2079"/>
          </w:tcPr>
          <w:p>
            <w:pPr>
              <w:spacing w:after="40"/>
            </w:pPr>
            <w:r>
              <w:rPr>
                <w:sz w:val="17"/>
              </w:rPr>
            </w:r>
            <w:r>
              <w:rPr>
                <w:rFonts w:ascii="IBM Plex Sans" w:hAnsi="IBM Plex Sans" w:cs="IBM Plex Sans"/>
                <w:b w:val="0"/>
                <w:i w:val="0"/>
                <w:color w:val="161412"/>
                <w:sz w:val="17"/>
              </w:rPr>
              <w:t>waiting</w:t>
            </w:r>
          </w:p>
        </w:tc>
        <w:tc>
          <w:tcPr>
            <w:tcW w:type="dxa" w:w="2079"/>
          </w:tcPr>
          <w:p>
            <w:pPr>
              <w:spacing w:after="40"/>
            </w:pPr>
            <w:r>
              <w:rPr>
                <w:sz w:val="17"/>
              </w:rPr>
            </w:r>
            <w:r>
              <w:rPr>
                <w:rFonts w:ascii="IBM Plex Sans" w:hAnsi="IBM Plex Sans" w:cs="IBM Plex Sans"/>
                <w:b w:val="0"/>
                <w:i w:val="0"/>
                <w:color w:val="161412"/>
                <w:sz w:val="17"/>
              </w:rPr>
              <w:t>dependencia externa</w:t>
            </w:r>
          </w:p>
        </w:tc>
        <w:tc>
          <w:tcPr>
            <w:tcW w:type="dxa" w:w="2079"/>
          </w:tcPr>
          <w:p>
            <w:pPr>
              <w:spacing w:after="40"/>
            </w:pPr>
            <w:r>
              <w:rPr>
                <w:sz w:val="17"/>
              </w:rPr>
            </w:r>
            <w:r>
              <w:rPr>
                <w:rFonts w:ascii="IBM Plex Sans" w:hAnsi="IBM Plex Sans" w:cs="IBM Plex Sans"/>
                <w:b w:val="0"/>
                <w:i w:val="0"/>
                <w:color w:val="161412"/>
                <w:sz w:val="17"/>
              </w:rPr>
              <w:t>esperando servidor</w:t>
            </w:r>
          </w:p>
        </w:tc>
        <w:tc>
          <w:tcPr>
            <w:tcW w:type="dxa" w:w="2079"/>
          </w:tcPr>
          <w:p>
            <w:pPr>
              <w:spacing w:after="40"/>
            </w:pPr>
            <w:r>
              <w:rPr>
                <w:sz w:val="17"/>
              </w:rPr>
            </w:r>
            <w:r>
              <w:rPr>
                <w:rFonts w:ascii="IBM Plex Sans" w:hAnsi="IBM Plex Sans" w:cs="IBM Plex Sans"/>
                <w:b w:val="0"/>
                <w:i w:val="0"/>
                <w:color w:val="161412"/>
                <w:sz w:val="17"/>
              </w:rPr>
              <w:t>frustración</w:t>
            </w:r>
          </w:p>
        </w:tc>
      </w:tr>
    </w:tbl>
    <w:p>
      <w:pPr>
        <w:spacing w:after="80"/>
      </w:pPr>
    </w:p>
    <w:p>
      <w:pPr>
        <w:spacing w:after="200" w:before="40"/>
      </w:pPr>
      <w:r>
        <w:rPr>
          <w:rFonts w:ascii="IBM Plex Sans" w:hAnsi="IBM Plex Sans" w:cs="IBM Plex Sans"/>
          <w:b/>
          <w:color w:val="1F3A5F"/>
          <w:sz w:val="17"/>
        </w:rPr>
        <w:t xml:space="preserve">TABLA 28.2   </w:t>
      </w:r>
      <w:r>
        <w:rPr>
          <w:rFonts w:ascii="IBM Plex Sans" w:hAnsi="IBM Plex Sans" w:cs="IBM Plex Sans"/>
          <w:color w:val="3A352F"/>
          <w:sz w:val="18"/>
        </w:rPr>
        <w:t xml:space="preserve">Canales de sustain y su función</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Canal</w:t>
            </w:r>
          </w:p>
        </w:tc>
        <w:tc>
          <w:tcPr>
            <w:tcW w:type="dxa" w:w="4158"/>
            <w:shd w:val="clear" w:color="auto" w:fill="EAE4D8"/>
          </w:tcPr>
          <w:p>
            <w:pPr>
              <w:spacing w:after="40"/>
            </w:pPr>
            <w:r>
              <w:rPr>
                <w:sz w:val="17"/>
              </w:rPr>
            </w:r>
            <w:r>
              <w:rPr>
                <w:rFonts w:ascii="IBM Plex Sans" w:hAnsi="IBM Plex Sans" w:cs="IBM Plex Sans"/>
                <w:b/>
                <w:i w:val="0"/>
                <w:color w:val="1F3A5F"/>
                <w:sz w:val="17"/>
              </w:rPr>
              <w:t>Función</w:t>
            </w:r>
          </w:p>
        </w:tc>
      </w:tr>
      <w:tr>
        <w:tc>
          <w:tcPr>
            <w:tcW w:type="dxa" w:w="4158"/>
          </w:tcPr>
          <w:p>
            <w:pPr>
              <w:spacing w:after="40"/>
            </w:pPr>
            <w:r>
              <w:rPr>
                <w:sz w:val="17"/>
              </w:rPr>
            </w:r>
            <w:r>
              <w:rPr>
                <w:rFonts w:ascii="IBM Plex Sans" w:hAnsi="IBM Plex Sans" w:cs="IBM Plex Sans"/>
                <w:b w:val="0"/>
                <w:i w:val="0"/>
                <w:color w:val="161412"/>
                <w:sz w:val="17"/>
              </w:rPr>
              <w:t>Tiempo</w:t>
            </w:r>
          </w:p>
        </w:tc>
        <w:tc>
          <w:tcPr>
            <w:tcW w:type="dxa" w:w="4158"/>
          </w:tcPr>
          <w:p>
            <w:pPr>
              <w:spacing w:after="40"/>
            </w:pPr>
            <w:r>
              <w:rPr>
                <w:sz w:val="17"/>
              </w:rPr>
            </w:r>
            <w:r>
              <w:rPr>
                <w:rFonts w:ascii="IBM Plex Sans" w:hAnsi="IBM Plex Sans" w:cs="IBM Plex Sans"/>
                <w:b w:val="0"/>
                <w:i w:val="0"/>
                <w:color w:val="161412"/>
                <w:sz w:val="17"/>
              </w:rPr>
              <w:t>sostener continuidad</w:t>
            </w:r>
          </w:p>
        </w:tc>
      </w:tr>
      <w:tr>
        <w:tc>
          <w:tcPr>
            <w:tcW w:type="dxa" w:w="4158"/>
          </w:tcPr>
          <w:p>
            <w:pPr>
              <w:spacing w:after="40"/>
            </w:pPr>
            <w:r>
              <w:rPr>
                <w:sz w:val="17"/>
              </w:rPr>
            </w:r>
            <w:r>
              <w:rPr>
                <w:rFonts w:ascii="IBM Plex Sans" w:hAnsi="IBM Plex Sans" w:cs="IBM Plex Sans"/>
                <w:b w:val="0"/>
                <w:i w:val="0"/>
                <w:color w:val="161412"/>
                <w:sz w:val="17"/>
              </w:rPr>
              <w:t>Presencia</w:t>
            </w:r>
          </w:p>
        </w:tc>
        <w:tc>
          <w:tcPr>
            <w:tcW w:type="dxa" w:w="4158"/>
          </w:tcPr>
          <w:p>
            <w:pPr>
              <w:spacing w:after="40"/>
            </w:pPr>
            <w:r>
              <w:rPr>
                <w:sz w:val="17"/>
              </w:rPr>
            </w:r>
            <w:r>
              <w:rPr>
                <w:rFonts w:ascii="IBM Plex Sans" w:hAnsi="IBM Plex Sans" w:cs="IBM Plex Sans"/>
                <w:b w:val="0"/>
                <w:i w:val="0"/>
                <w:color w:val="161412"/>
                <w:sz w:val="17"/>
              </w:rPr>
              <w:t>mantener visible el estado</w:t>
            </w:r>
          </w:p>
        </w:tc>
      </w:tr>
      <w:tr>
        <w:tc>
          <w:tcPr>
            <w:tcW w:type="dxa" w:w="4158"/>
          </w:tcPr>
          <w:p>
            <w:pPr>
              <w:spacing w:after="40"/>
            </w:pPr>
            <w:r>
              <w:rPr>
                <w:sz w:val="17"/>
              </w:rPr>
            </w:r>
            <w:r>
              <w:rPr>
                <w:rFonts w:ascii="IBM Plex Sans" w:hAnsi="IBM Plex Sans" w:cs="IBM Plex Sans"/>
                <w:b w:val="0"/>
                <w:i w:val="0"/>
                <w:color w:val="161412"/>
                <w:sz w:val="17"/>
              </w:rPr>
              <w:t>Forma</w:t>
            </w:r>
          </w:p>
        </w:tc>
        <w:tc>
          <w:tcPr>
            <w:tcW w:type="dxa" w:w="4158"/>
          </w:tcPr>
          <w:p>
            <w:pPr>
              <w:spacing w:after="40"/>
            </w:pPr>
            <w:r>
              <w:rPr>
                <w:sz w:val="17"/>
              </w:rPr>
            </w:r>
            <w:r>
              <w:rPr>
                <w:rFonts w:ascii="IBM Plex Sans" w:hAnsi="IBM Plex Sans" w:cs="IBM Plex Sans"/>
                <w:b w:val="0"/>
                <w:i w:val="0"/>
                <w:color w:val="161412"/>
                <w:sz w:val="17"/>
              </w:rPr>
              <w:t>representar proceso</w:t>
            </w:r>
          </w:p>
        </w:tc>
      </w:tr>
      <w:tr>
        <w:tc>
          <w:tcPr>
            <w:tcW w:type="dxa" w:w="4158"/>
          </w:tcPr>
          <w:p>
            <w:pPr>
              <w:spacing w:after="40"/>
            </w:pPr>
            <w:r>
              <w:rPr>
                <w:sz w:val="17"/>
              </w:rPr>
            </w:r>
            <w:r>
              <w:rPr>
                <w:rFonts w:ascii="IBM Plex Sans" w:hAnsi="IBM Plex Sans" w:cs="IBM Plex Sans"/>
                <w:b w:val="0"/>
                <w:i w:val="0"/>
                <w:color w:val="161412"/>
                <w:sz w:val="17"/>
              </w:rPr>
              <w:t>Motion</w:t>
            </w:r>
          </w:p>
        </w:tc>
        <w:tc>
          <w:tcPr>
            <w:tcW w:type="dxa" w:w="4158"/>
          </w:tcPr>
          <w:p>
            <w:pPr>
              <w:spacing w:after="40"/>
            </w:pPr>
            <w:r>
              <w:rPr>
                <w:sz w:val="17"/>
              </w:rPr>
            </w:r>
            <w:r>
              <w:rPr>
                <w:rFonts w:ascii="IBM Plex Sans" w:hAnsi="IBM Plex Sans" w:cs="IBM Plex Sans"/>
                <w:b w:val="0"/>
                <w:i w:val="0"/>
                <w:color w:val="161412"/>
                <w:sz w:val="17"/>
              </w:rPr>
              <w:t>indicar actividad o avance</w:t>
            </w:r>
          </w:p>
        </w:tc>
      </w:tr>
      <w:tr>
        <w:tc>
          <w:tcPr>
            <w:tcW w:type="dxa" w:w="4158"/>
          </w:tcPr>
          <w:p>
            <w:pPr>
              <w:spacing w:after="40"/>
            </w:pPr>
            <w:r>
              <w:rPr>
                <w:sz w:val="17"/>
              </w:rPr>
            </w:r>
            <w:r>
              <w:rPr>
                <w:rFonts w:ascii="IBM Plex Sans" w:hAnsi="IBM Plex Sans" w:cs="IBM Plex Sans"/>
                <w:b w:val="0"/>
                <w:i w:val="0"/>
                <w:color w:val="161412"/>
                <w:sz w:val="17"/>
              </w:rPr>
              <w:t>Texto</w:t>
            </w:r>
          </w:p>
        </w:tc>
        <w:tc>
          <w:tcPr>
            <w:tcW w:type="dxa" w:w="4158"/>
          </w:tcPr>
          <w:p>
            <w:pPr>
              <w:spacing w:after="40"/>
            </w:pPr>
            <w:r>
              <w:rPr>
                <w:sz w:val="17"/>
              </w:rPr>
            </w:r>
            <w:r>
              <w:rPr>
                <w:rFonts w:ascii="IBM Plex Sans" w:hAnsi="IBM Plex Sans" w:cs="IBM Plex Sans"/>
                <w:b w:val="0"/>
                <w:i w:val="0"/>
                <w:color w:val="161412"/>
                <w:sz w:val="17"/>
              </w:rPr>
              <w:t>explicar qué ocurre</w:t>
            </w:r>
          </w:p>
        </w:tc>
      </w:tr>
      <w:tr>
        <w:tc>
          <w:tcPr>
            <w:tcW w:type="dxa" w:w="4158"/>
          </w:tcPr>
          <w:p>
            <w:pPr>
              <w:spacing w:after="40"/>
            </w:pPr>
            <w:r>
              <w:rPr>
                <w:sz w:val="17"/>
              </w:rPr>
            </w:r>
            <w:r>
              <w:rPr>
                <w:rFonts w:ascii="IBM Plex Sans" w:hAnsi="IBM Plex Sans" w:cs="IBM Plex Sans"/>
                <w:b w:val="0"/>
                <w:i w:val="0"/>
                <w:color w:val="161412"/>
                <w:sz w:val="17"/>
              </w:rPr>
              <w:t>Color</w:t>
            </w:r>
          </w:p>
        </w:tc>
        <w:tc>
          <w:tcPr>
            <w:tcW w:type="dxa" w:w="4158"/>
          </w:tcPr>
          <w:p>
            <w:pPr>
              <w:spacing w:after="40"/>
            </w:pPr>
            <w:r>
              <w:rPr>
                <w:sz w:val="17"/>
              </w:rPr>
            </w:r>
            <w:r>
              <w:rPr>
                <w:rFonts w:ascii="IBM Plex Sans" w:hAnsi="IBM Plex Sans" w:cs="IBM Plex Sans"/>
                <w:b w:val="0"/>
                <w:i w:val="0"/>
                <w:color w:val="161412"/>
                <w:sz w:val="17"/>
              </w:rPr>
              <w:t>bajo, como estado auxiliar</w:t>
            </w:r>
          </w:p>
        </w:tc>
      </w:tr>
      <w:tr>
        <w:tc>
          <w:tcPr>
            <w:tcW w:type="dxa" w:w="4158"/>
          </w:tcPr>
          <w:p>
            <w:pPr>
              <w:spacing w:after="40"/>
            </w:pPr>
            <w:r>
              <w:rPr>
                <w:sz w:val="17"/>
              </w:rPr>
            </w:r>
            <w:r>
              <w:rPr>
                <w:rFonts w:ascii="IBM Plex Sans" w:hAnsi="IBM Plex Sans" w:cs="IBM Plex Sans"/>
                <w:b w:val="0"/>
                <w:i w:val="0"/>
                <w:color w:val="161412"/>
                <w:sz w:val="17"/>
              </w:rPr>
              <w:t>Sonido</w:t>
            </w:r>
          </w:p>
        </w:tc>
        <w:tc>
          <w:tcPr>
            <w:tcW w:type="dxa" w:w="4158"/>
          </w:tcPr>
          <w:p>
            <w:pPr>
              <w:spacing w:after="40"/>
            </w:pPr>
            <w:r>
              <w:rPr>
                <w:sz w:val="17"/>
              </w:rPr>
            </w:r>
            <w:r>
              <w:rPr>
                <w:rFonts w:ascii="IBM Plex Sans" w:hAnsi="IBM Plex Sans" w:cs="IBM Plex Sans"/>
                <w:b w:val="0"/>
                <w:i w:val="0"/>
                <w:color w:val="161412"/>
                <w:sz w:val="17"/>
              </w:rPr>
              <w:t>normalmente evitar</w:t>
            </w:r>
          </w:p>
        </w:tc>
      </w:tr>
      <w:tr>
        <w:tc>
          <w:tcPr>
            <w:tcW w:type="dxa" w:w="4158"/>
          </w:tcPr>
          <w:p>
            <w:pPr>
              <w:spacing w:after="40"/>
            </w:pPr>
            <w:r>
              <w:rPr>
                <w:sz w:val="17"/>
              </w:rPr>
            </w:r>
            <w:r>
              <w:rPr>
                <w:rFonts w:ascii="IBM Plex Sans" w:hAnsi="IBM Plex Sans" w:cs="IBM Plex Sans"/>
                <w:b w:val="0"/>
                <w:i w:val="0"/>
                <w:color w:val="161412"/>
                <w:sz w:val="17"/>
              </w:rPr>
              <w:t>Háptica</w:t>
            </w:r>
          </w:p>
        </w:tc>
        <w:tc>
          <w:tcPr>
            <w:tcW w:type="dxa" w:w="4158"/>
          </w:tcPr>
          <w:p>
            <w:pPr>
              <w:spacing w:after="40"/>
            </w:pPr>
            <w:r>
              <w:rPr>
                <w:sz w:val="17"/>
              </w:rPr>
            </w:r>
            <w:r>
              <w:rPr>
                <w:rFonts w:ascii="IBM Plex Sans" w:hAnsi="IBM Plex Sans" w:cs="IBM Plex Sans"/>
                <w:b w:val="0"/>
                <w:i w:val="0"/>
                <w:color w:val="161412"/>
                <w:sz w:val="17"/>
              </w:rPr>
              <w:t>normalmente evitar</w:t>
            </w:r>
          </w:p>
        </w:tc>
      </w:tr>
    </w:tbl>
    <w:p>
      <w:pPr>
        <w:spacing w:after="80"/>
      </w:pPr>
    </w:p>
    <w:p>
      <w:pPr>
        <w:spacing w:after="200" w:before="40"/>
      </w:pPr>
      <w:r>
        <w:rPr>
          <w:rFonts w:ascii="IBM Plex Sans" w:hAnsi="IBM Plex Sans" w:cs="IBM Plex Sans"/>
          <w:b/>
          <w:color w:val="1F3A5F"/>
          <w:sz w:val="17"/>
        </w:rPr>
        <w:t xml:space="preserve">TABLA 28.3   </w:t>
      </w:r>
      <w:r>
        <w:rPr>
          <w:rFonts w:ascii="IBM Plex Sans" w:hAnsi="IBM Plex Sans" w:cs="IBM Plex Sans"/>
          <w:color w:val="3A352F"/>
          <w:sz w:val="18"/>
        </w:rPr>
        <w:t xml:space="preserve">Fragilidades de sustain y su corrección</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Problema</w:t>
            </w:r>
          </w:p>
        </w:tc>
        <w:tc>
          <w:tcPr>
            <w:tcW w:type="dxa" w:w="2772"/>
            <w:shd w:val="clear" w:color="auto" w:fill="EAE4D8"/>
          </w:tcPr>
          <w:p>
            <w:pPr>
              <w:spacing w:after="40"/>
            </w:pPr>
            <w:r>
              <w:rPr>
                <w:sz w:val="17"/>
              </w:rPr>
            </w:r>
            <w:r>
              <w:rPr>
                <w:rFonts w:ascii="IBM Plex Sans" w:hAnsi="IBM Plex Sans" w:cs="IBM Plex Sans"/>
                <w:b/>
                <w:i w:val="0"/>
                <w:color w:val="1F3A5F"/>
                <w:sz w:val="17"/>
              </w:rPr>
              <w:t>Riesgo</w:t>
            </w:r>
          </w:p>
        </w:tc>
        <w:tc>
          <w:tcPr>
            <w:tcW w:type="dxa" w:w="2772"/>
            <w:shd w:val="clear" w:color="auto" w:fill="EAE4D8"/>
          </w:tcPr>
          <w:p>
            <w:pPr>
              <w:spacing w:after="40"/>
            </w:pPr>
            <w:r>
              <w:rPr>
                <w:sz w:val="17"/>
              </w:rPr>
            </w:r>
            <w:r>
              <w:rPr>
                <w:rFonts w:ascii="IBM Plex Sans" w:hAnsi="IBM Plex Sans" w:cs="IBM Plex Sans"/>
                <w:b/>
                <w:i w:val="0"/>
                <w:color w:val="1F3A5F"/>
                <w:sz w:val="17"/>
              </w:rPr>
              <w:t>Corrección</w:t>
            </w:r>
          </w:p>
        </w:tc>
      </w:tr>
      <w:tr>
        <w:tc>
          <w:tcPr>
            <w:tcW w:type="dxa" w:w="2772"/>
          </w:tcPr>
          <w:p>
            <w:pPr>
              <w:spacing w:after="40"/>
            </w:pPr>
            <w:r>
              <w:rPr>
                <w:sz w:val="17"/>
              </w:rPr>
            </w:r>
            <w:r>
              <w:rPr>
                <w:rFonts w:ascii="IBM Plex Sans" w:hAnsi="IBM Plex Sans" w:cs="IBM Plex Sans"/>
                <w:b w:val="0"/>
                <w:i w:val="0"/>
                <w:color w:val="161412"/>
                <w:sz w:val="17"/>
              </w:rPr>
              <w:t>solo spinner</w:t>
            </w:r>
          </w:p>
        </w:tc>
        <w:tc>
          <w:tcPr>
            <w:tcW w:type="dxa" w:w="2772"/>
          </w:tcPr>
          <w:p>
            <w:pPr>
              <w:spacing w:after="40"/>
            </w:pPr>
            <w:r>
              <w:rPr>
                <w:sz w:val="17"/>
              </w:rPr>
            </w:r>
            <w:r>
              <w:rPr>
                <w:rFonts w:ascii="IBM Plex Sans" w:hAnsi="IBM Plex Sans" w:cs="IBM Plex Sans"/>
                <w:b w:val="0"/>
                <w:i w:val="0"/>
                <w:color w:val="161412"/>
                <w:sz w:val="17"/>
              </w:rPr>
              <w:t>ambiguo</w:t>
            </w:r>
          </w:p>
        </w:tc>
        <w:tc>
          <w:tcPr>
            <w:tcW w:type="dxa" w:w="2772"/>
          </w:tcPr>
          <w:p>
            <w:pPr>
              <w:spacing w:after="40"/>
            </w:pPr>
            <w:r>
              <w:rPr>
                <w:sz w:val="17"/>
              </w:rPr>
            </w:r>
            <w:r>
              <w:rPr>
                <w:rFonts w:ascii="IBM Plex Sans" w:hAnsi="IBM Plex Sans" w:cs="IBM Plex Sans"/>
                <w:b w:val="0"/>
                <w:i w:val="0"/>
                <w:color w:val="161412"/>
                <w:sz w:val="17"/>
              </w:rPr>
              <w:t>texto de estado</w:t>
            </w:r>
          </w:p>
        </w:tc>
      </w:tr>
      <w:tr>
        <w:tc>
          <w:tcPr>
            <w:tcW w:type="dxa" w:w="2772"/>
          </w:tcPr>
          <w:p>
            <w:pPr>
              <w:spacing w:after="40"/>
            </w:pPr>
            <w:r>
              <w:rPr>
                <w:sz w:val="17"/>
              </w:rPr>
            </w:r>
            <w:r>
              <w:rPr>
                <w:rFonts w:ascii="IBM Plex Sans" w:hAnsi="IBM Plex Sans" w:cs="IBM Plex Sans"/>
                <w:b w:val="0"/>
                <w:i w:val="0"/>
                <w:color w:val="161412"/>
                <w:sz w:val="17"/>
              </w:rPr>
              <w:t>motion continuo</w:t>
            </w:r>
          </w:p>
        </w:tc>
        <w:tc>
          <w:tcPr>
            <w:tcW w:type="dxa" w:w="2772"/>
          </w:tcPr>
          <w:p>
            <w:pPr>
              <w:spacing w:after="40"/>
            </w:pPr>
            <w:r>
              <w:rPr>
                <w:sz w:val="17"/>
              </w:rPr>
            </w:r>
            <w:r>
              <w:rPr>
                <w:rFonts w:ascii="IBM Plex Sans" w:hAnsi="IBM Plex Sans" w:cs="IBM Plex Sans"/>
                <w:b w:val="0"/>
                <w:i w:val="0"/>
                <w:color w:val="161412"/>
                <w:sz w:val="17"/>
              </w:rPr>
              <w:t>malestar</w:t>
            </w:r>
          </w:p>
        </w:tc>
        <w:tc>
          <w:tcPr>
            <w:tcW w:type="dxa" w:w="2772"/>
          </w:tcPr>
          <w:p>
            <w:pPr>
              <w:spacing w:after="40"/>
            </w:pPr>
            <w:r>
              <w:rPr>
                <w:sz w:val="17"/>
              </w:rPr>
            </w:r>
            <w:r>
              <w:rPr>
                <w:rFonts w:ascii="IBM Plex Sans" w:hAnsi="IBM Plex Sans" w:cs="IBM Plex Sans"/>
                <w:b w:val="0"/>
                <w:i w:val="0"/>
                <w:color w:val="161412"/>
                <w:sz w:val="17"/>
              </w:rPr>
              <w:t>reduced motion</w:t>
            </w:r>
          </w:p>
        </w:tc>
      </w:tr>
      <w:tr>
        <w:tc>
          <w:tcPr>
            <w:tcW w:type="dxa" w:w="2772"/>
          </w:tcPr>
          <w:p>
            <w:pPr>
              <w:spacing w:after="40"/>
            </w:pPr>
            <w:r>
              <w:rPr>
                <w:sz w:val="17"/>
              </w:rPr>
            </w:r>
            <w:r>
              <w:rPr>
                <w:rFonts w:ascii="IBM Plex Sans" w:hAnsi="IBM Plex Sans" w:cs="IBM Plex Sans"/>
                <w:b w:val="0"/>
                <w:i w:val="0"/>
                <w:color w:val="161412"/>
                <w:sz w:val="17"/>
              </w:rPr>
              <w:t>sin progreso</w:t>
            </w:r>
          </w:p>
        </w:tc>
        <w:tc>
          <w:tcPr>
            <w:tcW w:type="dxa" w:w="2772"/>
          </w:tcPr>
          <w:p>
            <w:pPr>
              <w:spacing w:after="40"/>
            </w:pPr>
            <w:r>
              <w:rPr>
                <w:sz w:val="17"/>
              </w:rPr>
            </w:r>
            <w:r>
              <w:rPr>
                <w:rFonts w:ascii="IBM Plex Sans" w:hAnsi="IBM Plex Sans" w:cs="IBM Plex Sans"/>
                <w:b w:val="0"/>
                <w:i w:val="0"/>
                <w:color w:val="161412"/>
                <w:sz w:val="17"/>
              </w:rPr>
              <w:t>ansiedad</w:t>
            </w:r>
          </w:p>
        </w:tc>
        <w:tc>
          <w:tcPr>
            <w:tcW w:type="dxa" w:w="2772"/>
          </w:tcPr>
          <w:p>
            <w:pPr>
              <w:spacing w:after="40"/>
            </w:pPr>
            <w:r>
              <w:rPr>
                <w:sz w:val="17"/>
              </w:rPr>
            </w:r>
            <w:r>
              <w:rPr>
                <w:rFonts w:ascii="IBM Plex Sans" w:hAnsi="IBM Plex Sans" w:cs="IBM Plex Sans"/>
                <w:b w:val="0"/>
                <w:i w:val="0"/>
                <w:color w:val="161412"/>
                <w:sz w:val="17"/>
              </w:rPr>
              <w:t>barra o explicación</w:t>
            </w:r>
          </w:p>
        </w:tc>
      </w:tr>
      <w:tr>
        <w:tc>
          <w:tcPr>
            <w:tcW w:type="dxa" w:w="2772"/>
          </w:tcPr>
          <w:p>
            <w:pPr>
              <w:spacing w:after="40"/>
            </w:pPr>
            <w:r>
              <w:rPr>
                <w:sz w:val="17"/>
              </w:rPr>
            </w:r>
            <w:r>
              <w:rPr>
                <w:rFonts w:ascii="IBM Plex Sans" w:hAnsi="IBM Plex Sans" w:cs="IBM Plex Sans"/>
                <w:b w:val="0"/>
                <w:i w:val="0"/>
                <w:color w:val="161412"/>
                <w:sz w:val="17"/>
              </w:rPr>
              <w:t>sin cancelación</w:t>
            </w:r>
          </w:p>
        </w:tc>
        <w:tc>
          <w:tcPr>
            <w:tcW w:type="dxa" w:w="2772"/>
          </w:tcPr>
          <w:p>
            <w:pPr>
              <w:spacing w:after="40"/>
            </w:pPr>
            <w:r>
              <w:rPr>
                <w:sz w:val="17"/>
              </w:rPr>
            </w:r>
            <w:r>
              <w:rPr>
                <w:rFonts w:ascii="IBM Plex Sans" w:hAnsi="IBM Plex Sans" w:cs="IBM Plex Sans"/>
                <w:b w:val="0"/>
                <w:i w:val="0"/>
                <w:color w:val="161412"/>
                <w:sz w:val="17"/>
              </w:rPr>
              <w:t>bloqueo</w:t>
            </w:r>
          </w:p>
        </w:tc>
        <w:tc>
          <w:tcPr>
            <w:tcW w:type="dxa" w:w="2772"/>
          </w:tcPr>
          <w:p>
            <w:pPr>
              <w:spacing w:after="40"/>
            </w:pPr>
            <w:r>
              <w:rPr>
                <w:sz w:val="17"/>
              </w:rPr>
            </w:r>
            <w:r>
              <w:rPr>
                <w:rFonts w:ascii="IBM Plex Sans" w:hAnsi="IBM Plex Sans" w:cs="IBM Plex Sans"/>
                <w:b w:val="0"/>
                <w:i w:val="0"/>
                <w:color w:val="161412"/>
                <w:sz w:val="17"/>
              </w:rPr>
              <w:t>control del usuario</w:t>
            </w:r>
          </w:p>
        </w:tc>
      </w:tr>
      <w:tr>
        <w:tc>
          <w:tcPr>
            <w:tcW w:type="dxa" w:w="2772"/>
          </w:tcPr>
          <w:p>
            <w:pPr>
              <w:spacing w:after="40"/>
            </w:pPr>
            <w:r>
              <w:rPr>
                <w:sz w:val="17"/>
              </w:rPr>
            </w:r>
            <w:r>
              <w:rPr>
                <w:rFonts w:ascii="IBM Plex Sans" w:hAnsi="IBM Plex Sans" w:cs="IBM Plex Sans"/>
                <w:b w:val="0"/>
                <w:i w:val="0"/>
                <w:color w:val="161412"/>
                <w:sz w:val="17"/>
              </w:rPr>
              <w:t>sin final claro</w:t>
            </w:r>
          </w:p>
        </w:tc>
        <w:tc>
          <w:tcPr>
            <w:tcW w:type="dxa" w:w="2772"/>
          </w:tcPr>
          <w:p>
            <w:pPr>
              <w:spacing w:after="40"/>
            </w:pPr>
            <w:r>
              <w:rPr>
                <w:sz w:val="17"/>
              </w:rPr>
            </w:r>
            <w:r>
              <w:rPr>
                <w:rFonts w:ascii="IBM Plex Sans" w:hAnsi="IBM Plex Sans" w:cs="IBM Plex Sans"/>
                <w:b w:val="0"/>
                <w:i w:val="0"/>
                <w:color w:val="161412"/>
                <w:sz w:val="17"/>
              </w:rPr>
              <w:t>duda</w:t>
            </w:r>
          </w:p>
        </w:tc>
        <w:tc>
          <w:tcPr>
            <w:tcW w:type="dxa" w:w="2772"/>
          </w:tcPr>
          <w:p>
            <w:pPr>
              <w:spacing w:after="40"/>
            </w:pPr>
            <w:r>
              <w:rPr>
                <w:sz w:val="17"/>
              </w:rPr>
            </w:r>
            <w:r>
              <w:rPr>
                <w:rFonts w:ascii="IBM Plex Sans" w:hAnsi="IBM Plex Sans" w:cs="IBM Plex Sans"/>
                <w:b w:val="0"/>
                <w:i w:val="0"/>
                <w:color w:val="161412"/>
                <w:sz w:val="17"/>
              </w:rPr>
              <w:t>commit visible</w:t>
            </w:r>
          </w:p>
        </w:tc>
      </w:tr>
      <w:tr>
        <w:tc>
          <w:tcPr>
            <w:tcW w:type="dxa" w:w="2772"/>
          </w:tcPr>
          <w:p>
            <w:pPr>
              <w:spacing w:after="40"/>
            </w:pPr>
            <w:r>
              <w:rPr>
                <w:sz w:val="17"/>
              </w:rPr>
            </w:r>
            <w:r>
              <w:rPr>
                <w:rFonts w:ascii="IBM Plex Sans" w:hAnsi="IBM Plex Sans" w:cs="IBM Plex Sans"/>
                <w:b w:val="0"/>
                <w:i w:val="0"/>
                <w:color w:val="161412"/>
                <w:sz w:val="17"/>
              </w:rPr>
              <w:t>anuncios excesivos</w:t>
            </w:r>
          </w:p>
        </w:tc>
        <w:tc>
          <w:tcPr>
            <w:tcW w:type="dxa" w:w="2772"/>
          </w:tcPr>
          <w:p>
            <w:pPr>
              <w:spacing w:after="40"/>
            </w:pPr>
            <w:r>
              <w:rPr>
                <w:sz w:val="17"/>
              </w:rPr>
            </w:r>
            <w:r>
              <w:rPr>
                <w:rFonts w:ascii="IBM Plex Sans" w:hAnsi="IBM Plex Sans" w:cs="IBM Plex Sans"/>
                <w:b w:val="0"/>
                <w:i w:val="0"/>
                <w:color w:val="161412"/>
                <w:sz w:val="17"/>
              </w:rPr>
              <w:t>ruido</w:t>
            </w:r>
          </w:p>
        </w:tc>
        <w:tc>
          <w:tcPr>
            <w:tcW w:type="dxa" w:w="2772"/>
          </w:tcPr>
          <w:p>
            <w:pPr>
              <w:spacing w:after="40"/>
            </w:pPr>
            <w:r>
              <w:rPr>
                <w:sz w:val="17"/>
              </w:rPr>
            </w:r>
            <w:r>
              <w:rPr>
                <w:rFonts w:ascii="IBM Plex Sans" w:hAnsi="IBM Plex Sans" w:cs="IBM Plex Sans"/>
                <w:b w:val="0"/>
                <w:i w:val="0"/>
                <w:color w:val="161412"/>
                <w:sz w:val="17"/>
              </w:rPr>
              <w:t>live regions dosificadas</w:t>
            </w:r>
          </w:p>
        </w:tc>
      </w:tr>
      <w:tr>
        <w:tc>
          <w:tcPr>
            <w:tcW w:type="dxa" w:w="2772"/>
          </w:tcPr>
          <w:p>
            <w:pPr>
              <w:spacing w:after="40"/>
            </w:pPr>
            <w:r>
              <w:rPr>
                <w:sz w:val="17"/>
              </w:rPr>
            </w:r>
            <w:r>
              <w:rPr>
                <w:rFonts w:ascii="IBM Plex Sans" w:hAnsi="IBM Plex Sans" w:cs="IBM Plex Sans"/>
                <w:b w:val="0"/>
                <w:i w:val="0"/>
                <w:color w:val="161412"/>
                <w:sz w:val="17"/>
              </w:rPr>
              <w:t>skeleton largo</w:t>
            </w:r>
          </w:p>
        </w:tc>
        <w:tc>
          <w:tcPr>
            <w:tcW w:type="dxa" w:w="2772"/>
          </w:tcPr>
          <w:p>
            <w:pPr>
              <w:spacing w:after="40"/>
            </w:pPr>
            <w:r>
              <w:rPr>
                <w:sz w:val="17"/>
              </w:rPr>
            </w:r>
            <w:r>
              <w:rPr>
                <w:rFonts w:ascii="IBM Plex Sans" w:hAnsi="IBM Plex Sans" w:cs="IBM Plex Sans"/>
                <w:b w:val="0"/>
                <w:i w:val="0"/>
                <w:color w:val="161412"/>
                <w:sz w:val="17"/>
              </w:rPr>
              <w:t>sensación de vacío</w:t>
            </w:r>
          </w:p>
        </w:tc>
        <w:tc>
          <w:tcPr>
            <w:tcW w:type="dxa" w:w="2772"/>
          </w:tcPr>
          <w:p>
            <w:pPr>
              <w:spacing w:after="40"/>
            </w:pPr>
            <w:r>
              <w:rPr>
                <w:sz w:val="17"/>
              </w:rPr>
            </w:r>
            <w:r>
              <w:rPr>
                <w:rFonts w:ascii="IBM Plex Sans" w:hAnsi="IBM Plex Sans" w:cs="IBM Plex Sans"/>
                <w:b w:val="0"/>
                <w:i w:val="0"/>
                <w:color w:val="161412"/>
                <w:sz w:val="17"/>
              </w:rPr>
              <w:t>mensaje o alternativa</w:t>
            </w:r>
          </w:p>
        </w:tc>
      </w:tr>
    </w:tbl>
    <w:p>
      <w:pPr>
        <w:spacing w:after="80"/>
      </w:pPr>
    </w:p>
    <w:p>
      <w:pPr>
        <w:spacing w:after="200" w:before="40"/>
      </w:pPr>
      <w:r>
        <w:rPr>
          <w:rFonts w:ascii="IBM Plex Sans" w:hAnsi="IBM Plex Sans" w:cs="IBM Plex Sans"/>
          <w:b/>
          <w:color w:val="1F3A5F"/>
          <w:sz w:val="17"/>
        </w:rPr>
        <w:t xml:space="preserve">TABLA 28.4   </w:t>
      </w:r>
      <w:r>
        <w:rPr>
          <w:rFonts w:ascii="IBM Plex Sans" w:hAnsi="IBM Plex Sans" w:cs="IBM Plex Sans"/>
          <w:color w:val="3A352F"/>
          <w:sz w:val="18"/>
        </w:rPr>
        <w:t xml:space="preserve">Antipatrones de sustain</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Antipatrón</w:t>
            </w:r>
          </w:p>
        </w:tc>
        <w:tc>
          <w:tcPr>
            <w:tcW w:type="dxa" w:w="2772"/>
            <w:shd w:val="clear" w:color="auto" w:fill="EAE4D8"/>
          </w:tcPr>
          <w:p>
            <w:pPr>
              <w:spacing w:after="40"/>
            </w:pPr>
            <w:r>
              <w:rPr>
                <w:sz w:val="17"/>
              </w:rPr>
            </w:r>
            <w:r>
              <w:rPr>
                <w:rFonts w:ascii="IBM Plex Sans" w:hAnsi="IBM Plex Sans" w:cs="IBM Plex Sans"/>
                <w:b/>
                <w:i w:val="0"/>
                <w:color w:val="1F3A5F"/>
                <w:sz w:val="17"/>
              </w:rPr>
              <w:t>Qué falla</w:t>
            </w:r>
          </w:p>
        </w:tc>
        <w:tc>
          <w:tcPr>
            <w:tcW w:type="dxa" w:w="2772"/>
            <w:shd w:val="clear" w:color="auto" w:fill="EAE4D8"/>
          </w:tcPr>
          <w:p>
            <w:pPr>
              <w:spacing w:after="40"/>
            </w:pPr>
            <w:r>
              <w:rPr>
                <w:sz w:val="17"/>
              </w:rPr>
            </w:r>
            <w:r>
              <w:rPr>
                <w:rFonts w:ascii="IBM Plex Sans" w:hAnsi="IBM Plex Sans" w:cs="IBM Plex Sans"/>
                <w:b/>
                <w:i w:val="0"/>
                <w:color w:val="1F3A5F"/>
                <w:sz w:val="17"/>
              </w:rPr>
              <w:t>Corrección</w:t>
            </w:r>
          </w:p>
        </w:tc>
      </w:tr>
      <w:tr>
        <w:tc>
          <w:tcPr>
            <w:tcW w:type="dxa" w:w="2772"/>
          </w:tcPr>
          <w:p>
            <w:pPr>
              <w:spacing w:after="40"/>
            </w:pPr>
            <w:r>
              <w:rPr>
                <w:sz w:val="17"/>
              </w:rPr>
            </w:r>
            <w:r>
              <w:rPr>
                <w:rFonts w:ascii="IBM Plex Sans" w:hAnsi="IBM Plex Sans" w:cs="IBM Plex Sans"/>
                <w:b w:val="0"/>
                <w:i w:val="0"/>
                <w:color w:val="161412"/>
                <w:sz w:val="17"/>
              </w:rPr>
              <w:t>spinner eterno</w:t>
            </w:r>
          </w:p>
        </w:tc>
        <w:tc>
          <w:tcPr>
            <w:tcW w:type="dxa" w:w="2772"/>
          </w:tcPr>
          <w:p>
            <w:pPr>
              <w:spacing w:after="40"/>
            </w:pPr>
            <w:r>
              <w:rPr>
                <w:sz w:val="17"/>
              </w:rPr>
            </w:r>
            <w:r>
              <w:rPr>
                <w:rFonts w:ascii="IBM Plex Sans" w:hAnsi="IBM Plex Sans" w:cs="IBM Plex Sans"/>
                <w:b w:val="0"/>
                <w:i w:val="0"/>
                <w:color w:val="161412"/>
                <w:sz w:val="17"/>
              </w:rPr>
              <w:t>ansiedad</w:t>
            </w:r>
          </w:p>
        </w:tc>
        <w:tc>
          <w:tcPr>
            <w:tcW w:type="dxa" w:w="2772"/>
          </w:tcPr>
          <w:p>
            <w:pPr>
              <w:spacing w:after="40"/>
            </w:pPr>
            <w:r>
              <w:rPr>
                <w:sz w:val="17"/>
              </w:rPr>
            </w:r>
            <w:r>
              <w:rPr>
                <w:rFonts w:ascii="IBM Plex Sans" w:hAnsi="IBM Plex Sans" w:cs="IBM Plex Sans"/>
                <w:b w:val="0"/>
                <w:i w:val="0"/>
                <w:color w:val="161412"/>
                <w:sz w:val="17"/>
              </w:rPr>
              <w:t>progreso, texto, control</w:t>
            </w:r>
          </w:p>
        </w:tc>
      </w:tr>
      <w:tr>
        <w:tc>
          <w:tcPr>
            <w:tcW w:type="dxa" w:w="2772"/>
          </w:tcPr>
          <w:p>
            <w:pPr>
              <w:spacing w:after="40"/>
            </w:pPr>
            <w:r>
              <w:rPr>
                <w:sz w:val="17"/>
              </w:rPr>
            </w:r>
            <w:r>
              <w:rPr>
                <w:rFonts w:ascii="IBM Plex Sans" w:hAnsi="IBM Plex Sans" w:cs="IBM Plex Sans"/>
                <w:b w:val="0"/>
                <w:i w:val="0"/>
                <w:color w:val="161412"/>
                <w:sz w:val="17"/>
              </w:rPr>
              <w:t>spinner sin texto</w:t>
            </w:r>
          </w:p>
        </w:tc>
        <w:tc>
          <w:tcPr>
            <w:tcW w:type="dxa" w:w="2772"/>
          </w:tcPr>
          <w:p>
            <w:pPr>
              <w:spacing w:after="40"/>
            </w:pPr>
            <w:r>
              <w:rPr>
                <w:sz w:val="17"/>
              </w:rPr>
            </w:r>
            <w:r>
              <w:rPr>
                <w:rFonts w:ascii="IBM Plex Sans" w:hAnsi="IBM Plex Sans" w:cs="IBM Plex Sans"/>
                <w:b w:val="0"/>
                <w:i w:val="0"/>
                <w:color w:val="161412"/>
                <w:sz w:val="17"/>
              </w:rPr>
              <w:t>ambigüedad</w:t>
            </w:r>
          </w:p>
        </w:tc>
        <w:tc>
          <w:tcPr>
            <w:tcW w:type="dxa" w:w="2772"/>
          </w:tcPr>
          <w:p>
            <w:pPr>
              <w:spacing w:after="40"/>
            </w:pPr>
            <w:r>
              <w:rPr>
                <w:sz w:val="17"/>
              </w:rPr>
            </w:r>
            <w:r>
              <w:rPr>
                <w:rFonts w:ascii="IBM Plex Sans" w:hAnsi="IBM Plex Sans" w:cs="IBM Plex Sans"/>
                <w:b w:val="0"/>
                <w:i w:val="0"/>
                <w:color w:val="161412"/>
                <w:sz w:val="17"/>
              </w:rPr>
              <w:t>estado explícito</w:t>
            </w:r>
          </w:p>
        </w:tc>
      </w:tr>
      <w:tr>
        <w:tc>
          <w:tcPr>
            <w:tcW w:type="dxa" w:w="2772"/>
          </w:tcPr>
          <w:p>
            <w:pPr>
              <w:spacing w:after="40"/>
            </w:pPr>
            <w:r>
              <w:rPr>
                <w:sz w:val="17"/>
              </w:rPr>
            </w:r>
            <w:r>
              <w:rPr>
                <w:rFonts w:ascii="IBM Plex Sans" w:hAnsi="IBM Plex Sans" w:cs="IBM Plex Sans"/>
                <w:b w:val="0"/>
                <w:i w:val="0"/>
                <w:color w:val="161412"/>
                <w:sz w:val="17"/>
              </w:rPr>
              <w:t>progreso falso</w:t>
            </w:r>
          </w:p>
        </w:tc>
        <w:tc>
          <w:tcPr>
            <w:tcW w:type="dxa" w:w="2772"/>
          </w:tcPr>
          <w:p>
            <w:pPr>
              <w:spacing w:after="40"/>
            </w:pPr>
            <w:r>
              <w:rPr>
                <w:sz w:val="17"/>
              </w:rPr>
            </w:r>
            <w:r>
              <w:rPr>
                <w:rFonts w:ascii="IBM Plex Sans" w:hAnsi="IBM Plex Sans" w:cs="IBM Plex Sans"/>
                <w:b w:val="0"/>
                <w:i w:val="0"/>
                <w:color w:val="161412"/>
                <w:sz w:val="17"/>
              </w:rPr>
              <w:t>desconfianza</w:t>
            </w:r>
          </w:p>
        </w:tc>
        <w:tc>
          <w:tcPr>
            <w:tcW w:type="dxa" w:w="2772"/>
          </w:tcPr>
          <w:p>
            <w:pPr>
              <w:spacing w:after="40"/>
            </w:pPr>
            <w:r>
              <w:rPr>
                <w:sz w:val="17"/>
              </w:rPr>
            </w:r>
            <w:r>
              <w:rPr>
                <w:rFonts w:ascii="IBM Plex Sans" w:hAnsi="IBM Plex Sans" w:cs="IBM Plex Sans"/>
                <w:b w:val="0"/>
                <w:i w:val="0"/>
                <w:color w:val="161412"/>
                <w:sz w:val="17"/>
              </w:rPr>
              <w:t>progreso real o indeterminado</w:t>
            </w:r>
          </w:p>
        </w:tc>
      </w:tr>
      <w:tr>
        <w:tc>
          <w:tcPr>
            <w:tcW w:type="dxa" w:w="2772"/>
          </w:tcPr>
          <w:p>
            <w:pPr>
              <w:spacing w:after="40"/>
            </w:pPr>
            <w:r>
              <w:rPr>
                <w:sz w:val="17"/>
              </w:rPr>
            </w:r>
            <w:r>
              <w:rPr>
                <w:rFonts w:ascii="IBM Plex Sans" w:hAnsi="IBM Plex Sans" w:cs="IBM Plex Sans"/>
                <w:b w:val="0"/>
                <w:i w:val="0"/>
                <w:color w:val="161412"/>
                <w:sz w:val="17"/>
              </w:rPr>
              <w:t>sustain como alarma</w:t>
            </w:r>
          </w:p>
        </w:tc>
        <w:tc>
          <w:tcPr>
            <w:tcW w:type="dxa" w:w="2772"/>
          </w:tcPr>
          <w:p>
            <w:pPr>
              <w:spacing w:after="40"/>
            </w:pPr>
            <w:r>
              <w:rPr>
                <w:sz w:val="17"/>
              </w:rPr>
            </w:r>
            <w:r>
              <w:rPr>
                <w:rFonts w:ascii="IBM Plex Sans" w:hAnsi="IBM Plex Sans" w:cs="IBM Plex Sans"/>
                <w:b w:val="0"/>
                <w:i w:val="0"/>
                <w:color w:val="161412"/>
                <w:sz w:val="17"/>
              </w:rPr>
              <w:t>sobreactuación</w:t>
            </w:r>
          </w:p>
        </w:tc>
        <w:tc>
          <w:tcPr>
            <w:tcW w:type="dxa" w:w="2772"/>
          </w:tcPr>
          <w:p>
            <w:pPr>
              <w:spacing w:after="40"/>
            </w:pPr>
            <w:r>
              <w:rPr>
                <w:sz w:val="17"/>
              </w:rPr>
            </w:r>
            <w:r>
              <w:rPr>
                <w:rFonts w:ascii="IBM Plex Sans" w:hAnsi="IBM Plex Sans" w:cs="IBM Plex Sans"/>
                <w:b w:val="0"/>
                <w:i w:val="0"/>
                <w:color w:val="161412"/>
                <w:sz w:val="17"/>
              </w:rPr>
              <w:t>neutralidad + signal si procede</w:t>
            </w:r>
          </w:p>
        </w:tc>
      </w:tr>
      <w:tr>
        <w:tc>
          <w:tcPr>
            <w:tcW w:type="dxa" w:w="2772"/>
          </w:tcPr>
          <w:p>
            <w:pPr>
              <w:spacing w:after="40"/>
            </w:pPr>
            <w:r>
              <w:rPr>
                <w:sz w:val="17"/>
              </w:rPr>
            </w:r>
            <w:r>
              <w:rPr>
                <w:rFonts w:ascii="IBM Plex Sans" w:hAnsi="IBM Plex Sans" w:cs="IBM Plex Sans"/>
                <w:b w:val="0"/>
                <w:i w:val="0"/>
                <w:color w:val="161412"/>
                <w:sz w:val="17"/>
              </w:rPr>
              <w:t>resultado sin cierre</w:t>
            </w:r>
          </w:p>
        </w:tc>
        <w:tc>
          <w:tcPr>
            <w:tcW w:type="dxa" w:w="2772"/>
          </w:tcPr>
          <w:p>
            <w:pPr>
              <w:spacing w:after="40"/>
            </w:pPr>
            <w:r>
              <w:rPr>
                <w:sz w:val="17"/>
              </w:rPr>
            </w:r>
            <w:r>
              <w:rPr>
                <w:rFonts w:ascii="IBM Plex Sans" w:hAnsi="IBM Plex Sans" w:cs="IBM Plex Sans"/>
                <w:b w:val="0"/>
                <w:i w:val="0"/>
                <w:color w:val="161412"/>
                <w:sz w:val="17"/>
              </w:rPr>
              <w:t>duda</w:t>
            </w:r>
          </w:p>
        </w:tc>
        <w:tc>
          <w:tcPr>
            <w:tcW w:type="dxa" w:w="2772"/>
          </w:tcPr>
          <w:p>
            <w:pPr>
              <w:spacing w:after="40"/>
            </w:pPr>
            <w:r>
              <w:rPr>
                <w:sz w:val="17"/>
              </w:rPr>
            </w:r>
            <w:r>
              <w:rPr>
                <w:rFonts w:ascii="IBM Plex Sans" w:hAnsi="IBM Plex Sans" w:cs="IBM Plex Sans"/>
                <w:b w:val="0"/>
                <w:i w:val="0"/>
                <w:color w:val="161412"/>
                <w:sz w:val="17"/>
              </w:rPr>
              <w:t>commit claro</w:t>
            </w:r>
          </w:p>
        </w:tc>
      </w:tr>
      <w:tr>
        <w:tc>
          <w:tcPr>
            <w:tcW w:type="dxa" w:w="2772"/>
          </w:tcPr>
          <w:p>
            <w:pPr>
              <w:spacing w:after="40"/>
            </w:pPr>
            <w:r>
              <w:rPr>
                <w:sz w:val="17"/>
              </w:rPr>
            </w:r>
            <w:r>
              <w:rPr>
                <w:rFonts w:ascii="IBM Plex Sans" w:hAnsi="IBM Plex Sans" w:cs="IBM Plex Sans"/>
                <w:b w:val="0"/>
                <w:i w:val="0"/>
                <w:color w:val="161412"/>
                <w:sz w:val="17"/>
              </w:rPr>
              <w:t>espera invisible</w:t>
            </w:r>
          </w:p>
        </w:tc>
        <w:tc>
          <w:tcPr>
            <w:tcW w:type="dxa" w:w="2772"/>
          </w:tcPr>
          <w:p>
            <w:pPr>
              <w:spacing w:after="40"/>
            </w:pPr>
            <w:r>
              <w:rPr>
                <w:sz w:val="17"/>
              </w:rPr>
            </w:r>
            <w:r>
              <w:rPr>
                <w:rFonts w:ascii="IBM Plex Sans" w:hAnsi="IBM Plex Sans" w:cs="IBM Plex Sans"/>
                <w:b w:val="0"/>
                <w:i w:val="0"/>
                <w:color w:val="161412"/>
                <w:sz w:val="17"/>
              </w:rPr>
              <w:t>fallo percibido</w:t>
            </w:r>
          </w:p>
        </w:tc>
        <w:tc>
          <w:tcPr>
            <w:tcW w:type="dxa" w:w="2772"/>
          </w:tcPr>
          <w:p>
            <w:pPr>
              <w:spacing w:after="40"/>
            </w:pPr>
            <w:r>
              <w:rPr>
                <w:sz w:val="17"/>
              </w:rPr>
            </w:r>
            <w:r>
              <w:rPr>
                <w:rFonts w:ascii="IBM Plex Sans" w:hAnsi="IBM Plex Sans" w:cs="IBM Plex Sans"/>
                <w:b w:val="0"/>
                <w:i w:val="0"/>
                <w:color w:val="161412"/>
                <w:sz w:val="17"/>
              </w:rPr>
              <w:t>indicador de continuidad</w:t>
            </w:r>
          </w:p>
        </w:tc>
      </w:tr>
      <w:tr>
        <w:tc>
          <w:tcPr>
            <w:tcW w:type="dxa" w:w="2772"/>
          </w:tcPr>
          <w:p>
            <w:pPr>
              <w:spacing w:after="40"/>
            </w:pPr>
            <w:r>
              <w:rPr>
                <w:sz w:val="17"/>
              </w:rPr>
            </w:r>
            <w:r>
              <w:rPr>
                <w:rFonts w:ascii="IBM Plex Sans" w:hAnsi="IBM Plex Sans" w:cs="IBM Plex Sans"/>
                <w:b w:val="0"/>
                <w:i w:val="0"/>
                <w:color w:val="161412"/>
                <w:sz w:val="17"/>
              </w:rPr>
              <w:t>loop sonoro</w:t>
            </w:r>
          </w:p>
        </w:tc>
        <w:tc>
          <w:tcPr>
            <w:tcW w:type="dxa" w:w="2772"/>
          </w:tcPr>
          <w:p>
            <w:pPr>
              <w:spacing w:after="40"/>
            </w:pPr>
            <w:r>
              <w:rPr>
                <w:sz w:val="17"/>
              </w:rPr>
            </w:r>
            <w:r>
              <w:rPr>
                <w:rFonts w:ascii="IBM Plex Sans" w:hAnsi="IBM Plex Sans" w:cs="IBM Plex Sans"/>
                <w:b w:val="0"/>
                <w:i w:val="0"/>
                <w:color w:val="161412"/>
                <w:sz w:val="17"/>
              </w:rPr>
              <w:t>fatiga</w:t>
            </w:r>
          </w:p>
        </w:tc>
        <w:tc>
          <w:tcPr>
            <w:tcW w:type="dxa" w:w="2772"/>
          </w:tcPr>
          <w:p>
            <w:pPr>
              <w:spacing w:after="40"/>
            </w:pPr>
            <w:r>
              <w:rPr>
                <w:sz w:val="17"/>
              </w:rPr>
            </w:r>
            <w:r>
              <w:rPr>
                <w:rFonts w:ascii="IBM Plex Sans" w:hAnsi="IBM Plex Sans" w:cs="IBM Plex Sans"/>
                <w:b w:val="0"/>
                <w:i w:val="0"/>
                <w:color w:val="161412"/>
                <w:sz w:val="17"/>
              </w:rPr>
              <w:t>silencio</w:t>
            </w:r>
          </w:p>
        </w:tc>
      </w:tr>
    </w:tbl>
    <w:p>
      <w:pPr>
        <w:spacing w:after="80"/>
      </w:pPr>
    </w:p>
    <w:p>
      <w:pPr>
        <w:spacing w:after="200" w:before="40"/>
      </w:pPr>
      <w:r>
        <w:rPr>
          <w:rFonts w:ascii="IBM Plex Sans" w:hAnsi="IBM Plex Sans" w:cs="IBM Plex Sans"/>
          <w:b/>
          <w:color w:val="1F3A5F"/>
          <w:sz w:val="17"/>
        </w:rPr>
        <w:t xml:space="preserve">TABLA 28.5   </w:t>
      </w:r>
      <w:r>
        <w:rPr>
          <w:rFonts w:ascii="IBM Plex Sans" w:hAnsi="IBM Plex Sans" w:cs="IBM Plex Sans"/>
          <w:color w:val="3A352F"/>
          <w:sz w:val="18"/>
        </w:rPr>
        <w:t xml:space="preserve">Preguntas de validación de sustain</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Dimensión</w:t>
            </w:r>
          </w:p>
        </w:tc>
        <w:tc>
          <w:tcPr>
            <w:tcW w:type="dxa" w:w="4158"/>
            <w:shd w:val="clear" w:color="auto" w:fill="EAE4D8"/>
          </w:tcPr>
          <w:p>
            <w:pPr>
              <w:spacing w:after="40"/>
            </w:pPr>
            <w:r>
              <w:rPr>
                <w:sz w:val="17"/>
              </w:rPr>
            </w:r>
            <w:r>
              <w:rPr>
                <w:rFonts w:ascii="IBM Plex Sans" w:hAnsi="IBM Plex Sans" w:cs="IBM Plex Sans"/>
                <w:b/>
                <w:i w:val="0"/>
                <w:color w:val="1F3A5F"/>
                <w:sz w:val="17"/>
              </w:rPr>
              <w:t>Pregunta</w:t>
            </w:r>
          </w:p>
        </w:tc>
      </w:tr>
      <w:tr>
        <w:tc>
          <w:tcPr>
            <w:tcW w:type="dxa" w:w="4158"/>
          </w:tcPr>
          <w:p>
            <w:pPr>
              <w:spacing w:after="40"/>
            </w:pPr>
            <w:r>
              <w:rPr>
                <w:sz w:val="17"/>
              </w:rPr>
            </w:r>
            <w:r>
              <w:rPr>
                <w:rFonts w:ascii="IBM Plex Sans" w:hAnsi="IBM Plex Sans" w:cs="IBM Plex Sans"/>
                <w:b w:val="0"/>
                <w:i w:val="0"/>
                <w:color w:val="161412"/>
                <w:sz w:val="17"/>
              </w:rPr>
              <w:t>Continuidad</w:t>
            </w:r>
          </w:p>
        </w:tc>
        <w:tc>
          <w:tcPr>
            <w:tcW w:type="dxa" w:w="4158"/>
          </w:tcPr>
          <w:p>
            <w:pPr>
              <w:spacing w:after="40"/>
            </w:pPr>
            <w:r>
              <w:rPr>
                <w:sz w:val="17"/>
              </w:rPr>
            </w:r>
            <w:r>
              <w:rPr>
                <w:rFonts w:ascii="IBM Plex Sans" w:hAnsi="IBM Plex Sans" w:cs="IBM Plex Sans"/>
                <w:b w:val="0"/>
                <w:i w:val="0"/>
                <w:color w:val="161412"/>
                <w:sz w:val="17"/>
              </w:rPr>
              <w:t>¿sigue vivo?</w:t>
            </w:r>
          </w:p>
        </w:tc>
      </w:tr>
      <w:tr>
        <w:tc>
          <w:tcPr>
            <w:tcW w:type="dxa" w:w="4158"/>
          </w:tcPr>
          <w:p>
            <w:pPr>
              <w:spacing w:after="40"/>
            </w:pPr>
            <w:r>
              <w:rPr>
                <w:sz w:val="17"/>
              </w:rPr>
            </w:r>
            <w:r>
              <w:rPr>
                <w:rFonts w:ascii="IBM Plex Sans" w:hAnsi="IBM Plex Sans" w:cs="IBM Plex Sans"/>
                <w:b w:val="0"/>
                <w:i w:val="0"/>
                <w:color w:val="161412"/>
                <w:sz w:val="17"/>
              </w:rPr>
              <w:t>Progreso</w:t>
            </w:r>
          </w:p>
        </w:tc>
        <w:tc>
          <w:tcPr>
            <w:tcW w:type="dxa" w:w="4158"/>
          </w:tcPr>
          <w:p>
            <w:pPr>
              <w:spacing w:after="40"/>
            </w:pPr>
            <w:r>
              <w:rPr>
                <w:sz w:val="17"/>
              </w:rPr>
            </w:r>
            <w:r>
              <w:rPr>
                <w:rFonts w:ascii="IBM Plex Sans" w:hAnsi="IBM Plex Sans" w:cs="IBM Plex Sans"/>
                <w:b w:val="0"/>
                <w:i w:val="0"/>
                <w:color w:val="161412"/>
                <w:sz w:val="17"/>
              </w:rPr>
              <w:t>¿avanza?</w:t>
            </w:r>
          </w:p>
        </w:tc>
      </w:tr>
      <w:tr>
        <w:tc>
          <w:tcPr>
            <w:tcW w:type="dxa" w:w="4158"/>
          </w:tcPr>
          <w:p>
            <w:pPr>
              <w:spacing w:after="40"/>
            </w:pPr>
            <w:r>
              <w:rPr>
                <w:sz w:val="17"/>
              </w:rPr>
            </w:r>
            <w:r>
              <w:rPr>
                <w:rFonts w:ascii="IBM Plex Sans" w:hAnsi="IBM Plex Sans" w:cs="IBM Plex Sans"/>
                <w:b w:val="0"/>
                <w:i w:val="0"/>
                <w:color w:val="161412"/>
                <w:sz w:val="17"/>
              </w:rPr>
              <w:t>Tiempo</w:t>
            </w:r>
          </w:p>
        </w:tc>
        <w:tc>
          <w:tcPr>
            <w:tcW w:type="dxa" w:w="4158"/>
          </w:tcPr>
          <w:p>
            <w:pPr>
              <w:spacing w:after="40"/>
            </w:pPr>
            <w:r>
              <w:rPr>
                <w:sz w:val="17"/>
              </w:rPr>
            </w:r>
            <w:r>
              <w:rPr>
                <w:rFonts w:ascii="IBM Plex Sans" w:hAnsi="IBM Plex Sans" w:cs="IBM Plex Sans"/>
                <w:b w:val="0"/>
                <w:i w:val="0"/>
                <w:color w:val="161412"/>
                <w:sz w:val="17"/>
              </w:rPr>
              <w:t>¿debo esperar?</w:t>
            </w:r>
          </w:p>
        </w:tc>
      </w:tr>
      <w:tr>
        <w:tc>
          <w:tcPr>
            <w:tcW w:type="dxa" w:w="4158"/>
          </w:tcPr>
          <w:p>
            <w:pPr>
              <w:spacing w:after="40"/>
            </w:pPr>
            <w:r>
              <w:rPr>
                <w:sz w:val="17"/>
              </w:rPr>
            </w:r>
            <w:r>
              <w:rPr>
                <w:rFonts w:ascii="IBM Plex Sans" w:hAnsi="IBM Plex Sans" w:cs="IBM Plex Sans"/>
                <w:b w:val="0"/>
                <w:i w:val="0"/>
                <w:color w:val="161412"/>
                <w:sz w:val="17"/>
              </w:rPr>
              <w:t>Estado</w:t>
            </w:r>
          </w:p>
        </w:tc>
        <w:tc>
          <w:tcPr>
            <w:tcW w:type="dxa" w:w="4158"/>
          </w:tcPr>
          <w:p>
            <w:pPr>
              <w:spacing w:after="40"/>
            </w:pPr>
            <w:r>
              <w:rPr>
                <w:sz w:val="17"/>
              </w:rPr>
            </w:r>
            <w:r>
              <w:rPr>
                <w:rFonts w:ascii="IBM Plex Sans" w:hAnsi="IBM Plex Sans" w:cs="IBM Plex Sans"/>
                <w:b w:val="0"/>
                <w:i w:val="0"/>
                <w:color w:val="161412"/>
                <w:sz w:val="17"/>
              </w:rPr>
              <w:t>¿qué está haciendo?</w:t>
            </w:r>
          </w:p>
        </w:tc>
      </w:tr>
      <w:tr>
        <w:tc>
          <w:tcPr>
            <w:tcW w:type="dxa" w:w="4158"/>
          </w:tcPr>
          <w:p>
            <w:pPr>
              <w:spacing w:after="40"/>
            </w:pPr>
            <w:r>
              <w:rPr>
                <w:sz w:val="17"/>
              </w:rPr>
            </w:r>
            <w:r>
              <w:rPr>
                <w:rFonts w:ascii="IBM Plex Sans" w:hAnsi="IBM Plex Sans" w:cs="IBM Plex Sans"/>
                <w:b w:val="0"/>
                <w:i w:val="0"/>
                <w:color w:val="161412"/>
                <w:sz w:val="17"/>
              </w:rPr>
              <w:t>Control</w:t>
            </w:r>
          </w:p>
        </w:tc>
        <w:tc>
          <w:tcPr>
            <w:tcW w:type="dxa" w:w="4158"/>
          </w:tcPr>
          <w:p>
            <w:pPr>
              <w:spacing w:after="40"/>
            </w:pPr>
            <w:r>
              <w:rPr>
                <w:sz w:val="17"/>
              </w:rPr>
            </w:r>
            <w:r>
              <w:rPr>
                <w:rFonts w:ascii="IBM Plex Sans" w:hAnsi="IBM Plex Sans" w:cs="IBM Plex Sans"/>
                <w:b w:val="0"/>
                <w:i w:val="0"/>
                <w:color w:val="161412"/>
                <w:sz w:val="17"/>
              </w:rPr>
              <w:t>¿puedo cancelar o seguir?</w:t>
            </w:r>
          </w:p>
        </w:tc>
      </w:tr>
      <w:tr>
        <w:tc>
          <w:tcPr>
            <w:tcW w:type="dxa" w:w="4158"/>
          </w:tcPr>
          <w:p>
            <w:pPr>
              <w:spacing w:after="40"/>
            </w:pPr>
            <w:r>
              <w:rPr>
                <w:sz w:val="17"/>
              </w:rPr>
            </w:r>
            <w:r>
              <w:rPr>
                <w:rFonts w:ascii="IBM Plex Sans" w:hAnsi="IBM Plex Sans" w:cs="IBM Plex Sans"/>
                <w:b w:val="0"/>
                <w:i w:val="0"/>
                <w:color w:val="161412"/>
                <w:sz w:val="17"/>
              </w:rPr>
              <w:t>Cierre</w:t>
            </w:r>
          </w:p>
        </w:tc>
        <w:tc>
          <w:tcPr>
            <w:tcW w:type="dxa" w:w="4158"/>
          </w:tcPr>
          <w:p>
            <w:pPr>
              <w:spacing w:after="40"/>
            </w:pPr>
            <w:r>
              <w:rPr>
                <w:sz w:val="17"/>
              </w:rPr>
            </w:r>
            <w:r>
              <w:rPr>
                <w:rFonts w:ascii="IBM Plex Sans" w:hAnsi="IBM Plex Sans" w:cs="IBM Plex Sans"/>
                <w:b w:val="0"/>
                <w:i w:val="0"/>
                <w:color w:val="161412"/>
                <w:sz w:val="17"/>
              </w:rPr>
              <w:t>¿cuándo pasó a commit?</w:t>
            </w:r>
          </w:p>
        </w:tc>
      </w:tr>
    </w:tbl>
    <w:p>
      <w:pPr>
        <w:spacing w:after="80"/>
      </w:pPr>
    </w:p>
    <w:p>
      <w:r>
        <w:br w:type="page"/>
      </w:r>
    </w:p>
    <w:p>
      <w:pPr>
        <w:spacing w:after="40"/>
      </w:pPr>
      <w:r>
        <w:rPr>
          <w:rFonts w:ascii="IBM Plex Sans" w:hAnsi="IBM Plex Sans" w:cs="IBM Plex Sans"/>
          <w:b/>
          <w:color w:val="1F3A5F"/>
          <w:sz w:val="18"/>
        </w:rPr>
        <w:t>CAPÍTULO 29</w:t>
      </w:r>
    </w:p>
    <w:p>
      <w:pPr>
        <w:spacing w:after="80" w:line="240" w:lineRule="auto"/>
      </w:pPr>
      <w:r>
        <w:rPr>
          <w:rFonts w:ascii="IBM Plex Sans" w:hAnsi="IBM Plex Sans" w:cs="IBM Plex Sans"/>
          <w:color w:val="161412"/>
          <w:sz w:val="220"/>
        </w:rPr>
        <w:t>29</w:t>
      </w:r>
    </w:p>
    <w:p>
      <w:pPr>
        <w:spacing w:after="60" w:line="240" w:lineRule="auto"/>
      </w:pPr>
      <w:r>
        <w:rPr>
          <w:rFonts w:ascii="Newsreader" w:hAnsi="Newsreader" w:cs="Newsreader"/>
          <w:color w:val="161412"/>
          <w:sz w:val="60"/>
        </w:rPr>
        <w:t>Delegate</w:t>
      </w:r>
    </w:p>
    <w:p>
      <w:pPr>
        <w:spacing w:after="280"/>
      </w:pPr>
      <w:r>
        <w:rPr>
          <w:rFonts w:ascii="IBM Plex Sans" w:hAnsi="IBM Plex Sans" w:cs="IBM Plex Sans"/>
          <w:color w:val="6A635A"/>
          <w:sz w:val="26"/>
        </w:rPr>
        <w:t>Cuando el sistema actúa por el usuario</w:t>
      </w:r>
    </w:p>
    <w:p>
      <w:pPr>
        <w:pBdr>
          <w:bottom w:val="single" w:sz="4" w:space="4" w:color="1F3A5F"/>
        </w:pBdr>
      </w:pP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¿Quién actúa cuando actúa el sistema, y cómo se hace legible esa autoría?</w:t>
      </w:r>
    </w:p>
    <w:p>
      <w:pPr>
        <w:spacing w:after="120" w:line="320" w:lineRule="auto"/>
        <w:jc w:val="both"/>
      </w:pPr>
      <w:r>
        <w:rPr>
          <w:rFonts w:ascii="Newsreader" w:hAnsi="Newsreader" w:cs="Newsreader"/>
          <w:b w:val="0"/>
          <w:i w:val="0"/>
          <w:color w:val="161412"/>
        </w:rPr>
        <w:t xml:space="preserve">La bandeja de correo amanece más limpia de lo que quedó anoche: un par de mensajes archivados, una reunión movida, una respuesta esperando como borrador que el usuario no escribió. No lo ha hecho él: lo ha hecho el asistente mientras no miraba. Y antes de saber si lo ha hecho bien, necesita saber algo más básico: ¿quién está actuando aquí, y hasta dónde puede llegar?</w:t>
      </w:r>
    </w:p>
    <w:p>
      <w:pPr>
        <w:spacing w:after="120" w:line="320" w:lineRule="auto"/>
        <w:jc w:val="both"/>
      </w:pPr>
      <w:r>
        <w:rPr>
          <w:rFonts w:ascii="Newsreader" w:hAnsi="Newsreader" w:cs="Newsreader"/>
          <w:b w:val="0"/>
          <w:i w:val="0"/>
          <w:color w:val="161412"/>
        </w:rPr>
        <w:t>Las familias anteriores describen buena parte de las interfaces reactivas: el usuario actúa, el sistema responde, algo aparece, algo se sostiene, algo reclama atención, algo cambia de contexto o algo produce un resultado.</w:t>
      </w:r>
    </w:p>
    <w:p>
      <w:pPr>
        <w:spacing w:after="120" w:line="320" w:lineRule="auto"/>
        <w:jc w:val="both"/>
      </w:pPr>
      <w:r>
        <w:rPr>
          <w:rFonts w:ascii="Newsreader" w:hAnsi="Newsreader" w:cs="Newsreader"/>
          <w:b w:val="0"/>
          <w:i w:val="0"/>
          <w:color w:val="161412"/>
        </w:rPr>
        <w:t>Pero muchas interfaces actuales introducen una pregunta adicional. El sistema ya no solo responde. Puede sugerir, planificar, generar, aplicar cambios, pedir revisión, esperar autorización o devolver el control.</w:t>
      </w:r>
    </w:p>
    <w:p>
      <w:pPr>
        <w:spacing w:after="120" w:line="320" w:lineRule="auto"/>
        <w:jc w:val="both"/>
      </w:pPr>
      <w:r>
        <w:rPr>
          <w:rFonts w:ascii="Newsreader" w:hAnsi="Newsreader" w:cs="Newsreader"/>
          <w:b w:val="0"/>
          <w:i w:val="0"/>
          <w:color w:val="161412"/>
        </w:rPr>
        <w:t>En esos casos el usuario necesita saber algo muy concreto:</w:t>
      </w:r>
    </w:p>
    <w:p>
      <w:pPr>
        <w:spacing w:after="120" w:line="320" w:lineRule="auto"/>
        <w:jc w:val="both"/>
      </w:pPr>
      <w:r>
        <w:rPr>
          <w:rFonts w:ascii="Newsreader" w:hAnsi="Newsreader" w:cs="Newsreader"/>
          <w:b w:val="0"/>
          <w:i w:val="0"/>
          <w:color w:val="161412"/>
        </w:rPr>
        <w:t>¿quién actúa ahora?</w:t>
      </w:r>
    </w:p>
    <w:p>
      <w:pPr>
        <w:spacing w:after="120" w:line="320" w:lineRule="auto"/>
        <w:jc w:val="both"/>
      </w:pPr>
      <w:r>
        <w:rPr>
          <w:rFonts w:ascii="Newsreader" w:hAnsi="Newsreader" w:cs="Newsreader"/>
          <w:b w:val="0"/>
          <w:i w:val="0"/>
          <w:color w:val="161412"/>
        </w:rPr>
        <w:t>Esa pregunta no pertenece del todo a contact, commit, signal, handle, emerge, shift o sustain. Por eso esta gramática incorpora delegate.</w:t>
      </w:r>
    </w:p>
    <w:p>
      <w:pPr>
        <w:spacing w:before="320" w:after="40"/>
      </w:pPr>
      <w:r>
        <w:rPr>
          <w:rFonts w:ascii="IBM Plex Sans" w:hAnsi="IBM Plex Sans" w:cs="IBM Plex Sans"/>
          <w:b/>
          <w:color w:val="1F3A5F"/>
          <w:sz w:val="18"/>
        </w:rPr>
        <w:t>§ 1</w:t>
      </w:r>
    </w:p>
    <w:p>
      <w:pPr>
        <w:spacing w:after="160" w:line="240" w:lineRule="auto"/>
      </w:pPr>
      <w:r>
        <w:rPr>
          <w:rFonts w:ascii="Newsreader" w:hAnsi="Newsreader" w:cs="Newsreader"/>
          <w:color w:val="161412"/>
          <w:sz w:val="38"/>
        </w:rPr>
        <w:t>Dónde se sitúa el actor delegado</w:t>
      </w:r>
    </w:p>
    <w:p>
      <w:pPr>
        <w:spacing w:after="120" w:line="320" w:lineRule="auto"/>
        <w:jc w:val="both"/>
      </w:pPr>
      <w:r>
        <w:rPr>
          <w:rFonts w:ascii="Newsreader" w:hAnsi="Newsreader" w:cs="Newsreader"/>
          <w:b w:val="0"/>
          <w:i w:val="0"/>
          <w:color w:val="161412"/>
        </w:rPr>
        <w:t>Antes de describir cómo se expresa delegate, hay que responder una pregunta que las otras siete familias no necesitaban plantear: cuando el sistema actúa por el usuario, ¿dónde queda ese actor? ¿Es parte del sistema? ¿Una capa entre el sistema y la interfaz? ¿El motor que la genera?</w:t>
      </w:r>
    </w:p>
    <w:p>
      <w:pPr>
        <w:spacing w:after="120" w:line="320" w:lineRule="auto"/>
        <w:jc w:val="both"/>
      </w:pPr>
      <w:r>
        <w:rPr>
          <w:rFonts w:ascii="Newsreader" w:hAnsi="Newsreader" w:cs="Newsreader"/>
          <w:b w:val="0"/>
          <w:i w:val="0"/>
          <w:color w:val="161412"/>
        </w:rPr>
        <w:t>La respuesta de este libro es deliberadamente conservadora, y por eso mismo sólida: el actor delegado es un actor más dentro del contexto operativo. No introduce un nivel nuevo en la arquitectura. Introduce una nueva clase de actor dentro del nivel que ya existe.</w:t>
      </w:r>
    </w:p>
    <w:p>
      <w:pPr>
        <w:spacing w:after="120" w:line="320" w:lineRule="auto"/>
        <w:jc w:val="both"/>
      </w:pPr>
      <w:r>
        <w:rPr>
          <w:rFonts w:ascii="Newsreader" w:hAnsi="Newsreader" w:cs="Newsreader"/>
          <w:b w:val="0"/>
          <w:i w:val="0"/>
          <w:color w:val="161412"/>
        </w:rPr>
        <w:t xml:space="preserve">Conviene recordar qué es el contexto operativo. No es solo el usuario frente a la interfaz: es todo lo que rodea a la acción y le da sentido. Y ese contexto ya contenía, desde antes de la IA, actores que no son el usuario. El servidor que responde a una petición; otro usuario que edita el mismo documento; una regla programada que archiva correos a medianoche. El usuario nunca fue el único que producía cambios en el contexto. Solo era el único que los producía deliberadamente desde la interfaz.</w:t>
      </w:r>
    </w:p>
    <w:p>
      <w:pPr>
        <w:spacing w:after="120" w:line="320" w:lineRule="auto"/>
        <w:jc w:val="both"/>
      </w:pPr>
      <w:r>
        <w:rPr>
          <w:rFonts w:ascii="Newsreader" w:hAnsi="Newsreader" w:cs="Newsreader"/>
          <w:b w:val="0"/>
          <w:i w:val="0"/>
          <w:color w:val="161412"/>
        </w:rPr>
        <w:t>Un actor delegado —un asistente, un agente, una automatización— es otro de esos productores de cambio. Lo que lo distingue no es su naturaleza, sino su grado: actúa con más iniciativa que un servidor, con más alcance que una regla y, a menudo, con más opacidad que otro usuario. Pero son diferencias de grado, no de ontología. La interfaz sigue siendo lo que siempre fue: la dimensión perceptible del contexto. Lo único que ha cambiado es que ese contexto ahora contiene acciones cuya autoría no es del usuario.</w:t>
      </w:r>
    </w:p>
    <w:p>
      <w:pPr>
        <w:spacing w:before="160" w:after="40"/>
        <w:pBdr>
          <w:left w:val="single" w:sz="18" w:space="12" w:color="1F3A5F"/>
        </w:pBdr>
      </w:pPr>
      <w:r>
        <w:rPr>
          <w:rFonts w:ascii="IBM Plex Sans" w:hAnsi="IBM Plex Sans" w:cs="IBM Plex Sans"/>
          <w:b/>
          <w:color w:val="1F3A5F"/>
          <w:sz w:val="16"/>
        </w:rPr>
        <w:t>DISTINCIÓN</w:t>
      </w:r>
    </w:p>
    <w:p>
      <w:pPr>
        <w:spacing w:after="120" w:line="312" w:lineRule="auto"/>
        <w:pBdr>
          <w:left w:val="single" w:sz="18" w:space="12" w:color="1F3A5F"/>
        </w:pBdr>
      </w:pPr>
      <w:r>
        <w:rPr>
          <w:rFonts w:ascii="Newsreader" w:hAnsi="Newsreader" w:cs="Newsreader"/>
          <w:b w:val="0"/>
          <w:i/>
          <w:color w:val="3A352F"/>
        </w:rPr>
        <w:t>La IA no es una capa nueva entre el sistema y la interfaz. Es un actor nuevo dentro del contexto que la interfaz hace perceptible.</w:t>
      </w:r>
    </w:p>
    <w:p>
      <w:pPr>
        <w:spacing w:after="120" w:line="320" w:lineRule="auto"/>
        <w:jc w:val="both"/>
      </w:pPr>
      <w:r>
        <w:rPr>
          <w:rFonts w:ascii="Newsreader" w:hAnsi="Newsreader" w:cs="Newsreader"/>
          <w:b w:val="0"/>
          <w:i w:val="0"/>
          <w:color w:val="161412"/>
        </w:rPr>
        <w:t>Esto tiene una consecuencia directa. Si el actor delegado vive en el contexto, lo que delegate debe hacer perceptible es exactamente lo que se vuelve incierto cuando alguien que no es el usuario actúa en su nombre: la autoría (¿lo hice yo o el sistema?), la actividad (¿está actuando ahora?), el alcance (¿bajo qué autorización, hasta dónde puede llegar?) y el resultado (¿qué cambió, y puedo revisarlo o revertirlo?).</w:t>
      </w:r>
    </w:p>
    <w:p>
      <w:pPr>
        <w:spacing w:before="200" w:after="60"/>
        <w:jc w:val="center"/>
      </w:pPr>
      <w:r>
        <w:drawing>
          <wp:inline xmlns:a="http://schemas.openxmlformats.org/drawingml/2006/main" xmlns:pic="http://schemas.openxmlformats.org/drawingml/2006/picture">
            <wp:extent cx="5029200" cy="2376297"/>
            <wp:docPr id="65" name="Picture 65"/>
            <wp:cNvGraphicFramePr>
              <a:graphicFrameLocks noChangeAspect="1"/>
            </wp:cNvGraphicFramePr>
            <a:graphic>
              <a:graphicData uri="http://schemas.openxmlformats.org/drawingml/2006/picture">
                <pic:pic>
                  <pic:nvPicPr>
                    <pic:cNvPr id="0" name="figura-29-3.png"/>
                    <pic:cNvPicPr/>
                  </pic:nvPicPr>
                  <pic:blipFill>
                    <a:blip r:embed="rId73"/>
                    <a:stretch>
                      <a:fillRect/>
                    </a:stretch>
                  </pic:blipFill>
                  <pic:spPr>
                    <a:xfrm>
                      <a:off x="0" y="0"/>
                      <a:ext cx="5029200" cy="2376297"/>
                    </a:xfrm>
                    <a:prstGeom prst="rect"/>
                  </pic:spPr>
                </pic:pic>
              </a:graphicData>
            </a:graphic>
          </wp:inline>
        </w:drawing>
      </w:r>
    </w:p>
    <w:p>
      <w:pPr>
        <w:spacing w:after="120" w:line="320" w:lineRule="auto"/>
        <w:jc w:val="both"/>
      </w:pPr>
      <w:r>
        <w:rPr>
          <w:rFonts w:ascii="Newsreader" w:hAnsi="Newsreader" w:cs="Newsreader"/>
          <w:b w:val="0"/>
          <w:i w:val="0"/>
          <w:color w:val="161412"/>
        </w:rPr>
        <w:t>Estas cuatro preguntas no exigen una gramática nueva. Las familias que ya tenemos saben responderlas: la actividad se sostiene (sustain), el resultado se fija y deja huella (commit), lo que aparece para revisión emerge (emerge). delegate no sustituye a esas familias: organiza el reparto de iniciativa que las precede. Sus verbos —offer, authorize, act, review, return— no nombran efectos perceptivos nuevos, sino quién tiene el turno de actuar en cada momento.</w:t>
      </w:r>
    </w:p>
    <w:p>
      <w:pPr>
        <w:spacing w:after="120" w:line="320" w:lineRule="auto"/>
        <w:jc w:val="both"/>
      </w:pPr>
      <w:r>
        <w:rPr>
          <w:rFonts w:ascii="Newsreader" w:hAnsi="Newsreader" w:cs="Newsreader"/>
          <w:b w:val="0"/>
          <w:i w:val="0"/>
          <w:color w:val="161412"/>
        </w:rPr>
        <w:t>Ahora bien: situar al actor delegado en el contexto es una decisión, y conviene nombrar las posiciones que un actor automático puede ocupar, porque no todas caen igual respecto a la interfaz. Hay tres, en una progresión ordenada. La del actor, que actúa dentro del contexto y produce cambios: es la posición que este capítulo desarrolla como núcleo, la más tratable, porque la autoría de una acción todavía puede señalarse. La del intérprete, que ya no solo actúa, sino que lee el contexto por el usuario —resume, filtra, decide qué merece volverse perceptible—; ahí la interfaz deja de ser la dimensión perceptible del contexto y pasa a serlo de una lectura del contexto. Y la del autor, que genera la propia dimensión perceptible: interfaces compuestas en tiempo de ejecución.</w:t>
      </w:r>
    </w:p>
    <w:p>
      <w:pPr>
        <w:spacing w:after="120" w:line="320" w:lineRule="auto"/>
        <w:jc w:val="both"/>
      </w:pPr>
      <w:r>
        <w:rPr>
          <w:rFonts w:ascii="Newsreader" w:hAnsi="Newsreader" w:cs="Newsreader"/>
          <w:b w:val="0"/>
          <w:i w:val="0"/>
          <w:color w:val="161412"/>
        </w:rPr>
        <w:t xml:space="preserve">De estas tres posiciones, solo la del autor queda fuera de este libro, y por una razón precisa: generar la interfaz es un paso previo a la interacción, no parte de ella. Genere quien genere la superficie —un equipo, una plantilla o un modelo—, lo que llega al usuario sigue siendo una interfaz con la que tiene que interactuar y que debe ser legible; respecto a ella, esta gramática no cambia de objeto, cambia de papel: se vuelve el contrato que ese generador debe respetar para que el resultado siga siéndolo. El actor y el intérprete, en cambio, actúan sobre la interfaz con la que el usuario ya opera, y por eso ambos pertenecen a este capítulo: el actor como su núcleo, que las próximas secciones desarrollan; el intérprete como su frontera, que abordaremos al final, cuando lleguemos a lo que un agente decide </w:t>
      </w:r>
      <w:r>
        <w:rPr>
          <w:rFonts w:ascii="Newsreader" w:hAnsi="Newsreader" w:cs="Newsreader"/>
          <w:b w:val="0"/>
          <w:i/>
          <w:color w:val="161412"/>
        </w:rPr>
        <w:t>no</w:t>
      </w:r>
      <w:r>
        <w:rPr>
          <w:rFonts w:ascii="Newsreader" w:hAnsi="Newsreader" w:cs="Newsreader"/>
          <w:b w:val="0"/>
          <w:i w:val="0"/>
          <w:color w:val="161412"/>
        </w:rPr>
        <w:t xml:space="preserve"> mostrar.</w:t>
      </w:r>
    </w:p>
    <w:p>
      <w:pPr>
        <w:spacing w:before="200" w:after="60"/>
        <w:jc w:val="center"/>
      </w:pPr>
      <w:r>
        <w:drawing>
          <wp:inline xmlns:a="http://schemas.openxmlformats.org/drawingml/2006/main" xmlns:pic="http://schemas.openxmlformats.org/drawingml/2006/picture">
            <wp:extent cx="5029200" cy="2514600"/>
            <wp:docPr id="66" name="Picture 66"/>
            <wp:cNvGraphicFramePr>
              <a:graphicFrameLocks noChangeAspect="1"/>
            </wp:cNvGraphicFramePr>
            <a:graphic>
              <a:graphicData uri="http://schemas.openxmlformats.org/drawingml/2006/picture">
                <pic:pic>
                  <pic:nvPicPr>
                    <pic:cNvPr id="0" name="figura-29-1.png"/>
                    <pic:cNvPicPr/>
                  </pic:nvPicPr>
                  <pic:blipFill>
                    <a:blip r:embed="rId74"/>
                    <a:stretch>
                      <a:fillRect/>
                    </a:stretch>
                  </pic:blipFill>
                  <pic:spPr>
                    <a:xfrm>
                      <a:off x="0" y="0"/>
                      <a:ext cx="5029200" cy="2514600"/>
                    </a:xfrm>
                    <a:prstGeom prst="rect"/>
                  </pic:spPr>
                </pic:pic>
              </a:graphicData>
            </a:graphic>
          </wp:inline>
        </w:drawing>
      </w:r>
    </w:p>
    <w:p>
      <w:pPr>
        <w:spacing w:before="320" w:after="40"/>
      </w:pPr>
      <w:r>
        <w:rPr>
          <w:rFonts w:ascii="IBM Plex Sans" w:hAnsi="IBM Plex Sans" w:cs="IBM Plex Sans"/>
          <w:b/>
          <w:color w:val="1F3A5F"/>
          <w:sz w:val="18"/>
        </w:rPr>
        <w:t>§ 2</w:t>
      </w:r>
    </w:p>
    <w:p>
      <w:pPr>
        <w:spacing w:after="160" w:line="240" w:lineRule="auto"/>
      </w:pPr>
      <w:r>
        <w:rPr>
          <w:rFonts w:ascii="Newsreader" w:hAnsi="Newsreader" w:cs="Newsreader"/>
          <w:color w:val="161412"/>
          <w:sz w:val="38"/>
        </w:rPr>
        <w:t>Fundamento psicoperceptivo: atribución de agencia y autoría</w:t>
      </w:r>
    </w:p>
    <w:p>
      <w:pPr>
        <w:spacing w:after="120" w:line="320" w:lineRule="auto"/>
        <w:jc w:val="both"/>
      </w:pPr>
      <w:r>
        <w:rPr>
          <w:rFonts w:ascii="Newsreader" w:hAnsi="Newsreader" w:cs="Newsreader"/>
          <w:b w:val="0"/>
          <w:i w:val="0"/>
          <w:color w:val="161412"/>
        </w:rPr>
        <w:t>Cada familia de este libro se apoya en algo que la percepción humana hace de forma espontánea: contact, en la percepción de causalidad; signal, en la captura de la atención; emerge, en la organización de figura y fondo. delegate se apoya en un fenómeno igual de básico y menos evidente: atribuimos agencia. Percibir que algo actúa por sí mismo, con iniciativa propia, no es una inferencia deliberada, sino una lectura perceptiva inmediata, anterior al razonamiento.</w:t>
      </w:r>
    </w:p>
    <w:p>
      <w:pPr>
        <w:spacing w:after="120" w:line="320" w:lineRule="auto"/>
        <w:jc w:val="both"/>
      </w:pPr>
      <w:r>
        <w:rPr>
          <w:rFonts w:ascii="Newsreader" w:hAnsi="Newsreader" w:cs="Newsreader"/>
          <w:b w:val="0"/>
          <w:i w:val="0"/>
          <w:color w:val="161412"/>
        </w:rPr>
        <w:t xml:space="preserve">Conviene situar la palabra. </w:t>
      </w:r>
      <w:r>
        <w:rPr>
          <w:rFonts w:ascii="Newsreader" w:hAnsi="Newsreader" w:cs="Newsreader"/>
          <w:b w:val="0"/>
          <w:i/>
          <w:color w:val="161412"/>
        </w:rPr>
        <w:t>Agencia</w:t>
      </w:r>
      <w:r>
        <w:rPr>
          <w:rFonts w:ascii="Newsreader" w:hAnsi="Newsreader" w:cs="Newsreader"/>
          <w:b w:val="0"/>
          <w:i w:val="0"/>
          <w:color w:val="161412"/>
        </w:rPr>
        <w:t xml:space="preserve"> viene del latín </w:t>
      </w:r>
      <w:r>
        <w:rPr>
          <w:rFonts w:ascii="Newsreader" w:hAnsi="Newsreader" w:cs="Newsreader"/>
          <w:b w:val="0"/>
          <w:i/>
          <w:color w:val="161412"/>
        </w:rPr>
        <w:t>agere</w:t>
      </w:r>
      <w:r>
        <w:rPr>
          <w:rFonts w:ascii="Newsreader" w:hAnsi="Newsreader" w:cs="Newsreader"/>
          <w:b w:val="0"/>
          <w:i w:val="0"/>
          <w:color w:val="161412"/>
        </w:rPr>
        <w:t xml:space="preserve"> —hacer, actuar, poner en movimiento—, de donde deriva </w:t>
      </w:r>
      <w:r>
        <w:rPr>
          <w:rFonts w:ascii="Newsreader" w:hAnsi="Newsreader" w:cs="Newsreader"/>
          <w:b w:val="0"/>
          <w:i/>
          <w:color w:val="161412"/>
        </w:rPr>
        <w:t>agens</w:t>
      </w:r>
      <w:r>
        <w:rPr>
          <w:rFonts w:ascii="Newsreader" w:hAnsi="Newsreader" w:cs="Newsreader"/>
          <w:b w:val="0"/>
          <w:i w:val="0"/>
          <w:color w:val="161412"/>
        </w:rPr>
        <w:t xml:space="preserve">, «el que actúa»; pero su acepción moderna añade lo decisivo: una agencia es la entidad que actúa </w:t>
      </w:r>
      <w:r>
        <w:rPr>
          <w:rFonts w:ascii="Newsreader" w:hAnsi="Newsreader" w:cs="Newsreader"/>
          <w:b/>
          <w:i w:val="0"/>
          <w:color w:val="161412"/>
        </w:rPr>
        <w:t>en nombre de otro</w:t>
      </w:r>
      <w:r>
        <w:rPr>
          <w:rFonts w:ascii="Newsreader" w:hAnsi="Newsreader" w:cs="Newsreader"/>
          <w:b w:val="0"/>
          <w:i w:val="0"/>
          <w:color w:val="161412"/>
        </w:rPr>
        <w:t xml:space="preserve">, la relación entre un principal y un agente facultado para operar en su representación. Ese segundo sentido es el que importa aquí. La interfaz no actúa: es la dimensión perceptible donde la acción se vuelve legible. Quien actúa es un agente —el usuario, el sistema o un actor delegado— que opera sobre ella, y cuando no es el propio usuario, actúa siempre </w:t>
      </w:r>
      <w:r>
        <w:rPr>
          <w:rFonts w:ascii="Newsreader" w:hAnsi="Newsreader" w:cs="Newsreader"/>
          <w:b w:val="0"/>
          <w:i/>
          <w:color w:val="161412"/>
        </w:rPr>
        <w:t>por cuenta de</w:t>
      </w:r>
      <w:r>
        <w:rPr>
          <w:rFonts w:ascii="Newsreader" w:hAnsi="Newsreader" w:cs="Newsreader"/>
          <w:b w:val="0"/>
          <w:i w:val="0"/>
          <w:color w:val="161412"/>
        </w:rPr>
        <w:t xml:space="preserve"> alguien. Una interfaz </w:t>
      </w:r>
      <w:r>
        <w:rPr>
          <w:rFonts w:ascii="Newsreader" w:hAnsi="Newsreader" w:cs="Newsreader"/>
          <w:b w:val="0"/>
          <w:i/>
          <w:color w:val="161412"/>
        </w:rPr>
        <w:t>agentiva</w:t>
      </w:r>
      <w:r>
        <w:rPr>
          <w:rFonts w:ascii="Newsreader" w:hAnsi="Newsreader" w:cs="Newsreader"/>
          <w:b w:val="0"/>
          <w:i w:val="0"/>
          <w:color w:val="161412"/>
        </w:rPr>
        <w:t xml:space="preserve"> es, en este sentido adjetival, una interfaz formada y dirigida por esa relación de agencia, no una interfaz que sea ella misma el agente. Por eso la pregunta de delegate tiene dos caras y no una: no solo «¿quién actúa?», sino «¿por cuenta de quién?».</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La agencia no se declara, se percibe. La interfaz no actúa: hace legible quién actúa sobre ella y por cuenta de quién.</w:t>
      </w:r>
    </w:p>
    <w:p>
      <w:pPr>
        <w:spacing w:before="240" w:after="100"/>
      </w:pPr>
      <w:r>
        <w:rPr>
          <w:rFonts w:ascii="Newsreader" w:hAnsi="Newsreader" w:cs="Newsreader"/>
          <w:i/>
          <w:color w:val="1F3A5F"/>
          <w:sz w:val="28"/>
        </w:rPr>
        <w:t>Vemos intención en el movimiento</w:t>
      </w:r>
    </w:p>
    <w:p>
      <w:pPr>
        <w:spacing w:after="120" w:line="320" w:lineRule="auto"/>
        <w:jc w:val="both"/>
      </w:pPr>
      <w:r>
        <w:rPr>
          <w:rFonts w:ascii="Newsreader" w:hAnsi="Newsreader" w:cs="Newsreader"/>
          <w:b w:val="0"/>
          <w:i w:val="0"/>
          <w:color w:val="161412"/>
        </w:rPr>
        <w:t>En 1944, Fritz Heider y Marianne Simmel mostraron a varios observadores una breve animación de tres figuras geométricas —dos triángulos y un círculo— moviéndose por la pantalla. Casi todos la describieron en términos de intenciones: un triángulo perseguía, otro protegía, el círculo intentaba escapar. No había personajes; había timing y trayectoria. Bastaron el ritmo y la dirección del movimiento para que la percepción asignara propósito.</w:t>
      </w:r>
    </w:p>
    <w:p>
      <w:pPr>
        <w:spacing w:after="120" w:line="320" w:lineRule="auto"/>
        <w:jc w:val="both"/>
      </w:pPr>
      <w:r>
        <w:rPr>
          <w:rFonts w:ascii="Newsreader" w:hAnsi="Newsreader" w:cs="Newsreader"/>
          <w:b w:val="0"/>
          <w:i w:val="0"/>
          <w:color w:val="161412"/>
        </w:rPr>
        <w:t>Esto conecta con algo que el libro ya usó. Michotte, al estudiar la percepción de la causalidad, mostró que vemos a un objeto causar el movimiento de otro por su contigüidad en espacio y tiempo. La atribución de agencia es el paso siguiente: cuando el patrón de movimiento no se explica por una causa externa visible —cuando algo se mueve como si decidiera—, la percepción le atribuye iniciativa propia.</w:t>
      </w:r>
    </w:p>
    <w:p>
      <w:pPr>
        <w:spacing w:after="120" w:line="320" w:lineRule="auto"/>
        <w:jc w:val="both"/>
      </w:pPr>
      <w:r>
        <w:rPr>
          <w:rFonts w:ascii="Newsreader" w:hAnsi="Newsreader" w:cs="Newsreader"/>
          <w:b w:val="0"/>
          <w:i w:val="0"/>
          <w:color w:val="161412"/>
        </w:rPr>
        <w:t>La consecuencia para delegate es directa: el usuario no percibe dónde está el sistema; percibe pistas de agencia. No le llega un dato técnico sobre qué proceso ejecutó qué. Le llegan señales —timing, autonomía aparente del movimiento, presencia o ausencia de un gesto suyo previo— y a partir de ellas su percepción decide, automáticamente, quién actuó. Una fila de una tabla que se reordena sola un segundo después de que el usuario deje de teclear se lee como decisión del sistema, aunque nadie lo haya anunciado. La interfaz que no gobierna esas pistas deja la autoría librada a la interpretación espontánea —y a menudo errónea— del usuario.</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La pregunta de diseño no es dónde situar al sistema, sino qué pistas perceptivas asignan la autoría de cada cambio.</w:t>
      </w:r>
    </w:p>
    <w:p>
      <w:pPr>
        <w:spacing w:before="240" w:after="100"/>
      </w:pPr>
      <w:r>
        <w:rPr>
          <w:rFonts w:ascii="Newsreader" w:hAnsi="Newsreader" w:cs="Newsreader"/>
          <w:i/>
          <w:color w:val="1F3A5F"/>
          <w:sz w:val="28"/>
        </w:rPr>
        <w:t>La autoría propia se siente, y se puede romper</w:t>
      </w:r>
    </w:p>
    <w:p>
      <w:pPr>
        <w:spacing w:after="120" w:line="320" w:lineRule="auto"/>
        <w:jc w:val="both"/>
      </w:pPr>
      <w:r>
        <w:rPr>
          <w:rFonts w:ascii="Newsreader" w:hAnsi="Newsreader" w:cs="Newsreader"/>
          <w:b w:val="0"/>
          <w:i w:val="0"/>
          <w:color w:val="161412"/>
        </w:rPr>
        <w:t>Existe una sensación, normalmente silenciosa, de ser uno el autor de las propias acciones: el sentido de agencia. La investigación sobre cómo se forma —el modelo del comparador y sus revisiones posteriores— converge en una idea aprovechable: sentimos que una acción es nuestra cuando su resultado coincide con lo que anticipábamos; muevo el cursor y algo se mueve conmigo, cuando y como esperaba. Cuando esa correspondencia falla —cuando ocurre algo que no predije—, la sensación de autoría se debilita.</w:t>
      </w:r>
    </w:p>
    <w:p>
      <w:pPr>
        <w:spacing w:after="120" w:line="320" w:lineRule="auto"/>
        <w:jc w:val="both"/>
      </w:pPr>
      <w:r>
        <w:rPr>
          <w:rFonts w:ascii="Newsreader" w:hAnsi="Newsreader" w:cs="Newsreader"/>
          <w:b w:val="0"/>
          <w:i w:val="0"/>
          <w:color w:val="161412"/>
        </w:rPr>
        <w:t xml:space="preserve">Cuentas más recientes del sentido de agencia (Synofzik, Vosgerau y Newen) matizan que esa sensación no se construye de una sola fuente, sino integrando varias pistas según su fiabilidad: la predicción sensoriomotora, sí, pero también el contexto, las claves previas a la acción y el resultado observado. Para una interfaz esto es una buena noticia: significa que la autoría es diseñable, porque se apoya en pistas que la interfaz controla.</w:t>
      </w:r>
    </w:p>
    <w:p>
      <w:pPr>
        <w:spacing w:after="120" w:line="320" w:lineRule="auto"/>
        <w:jc w:val="both"/>
      </w:pPr>
      <w:r>
        <w:rPr>
          <w:rFonts w:ascii="Newsreader" w:hAnsi="Newsreader" w:cs="Newsreader"/>
          <w:b w:val="0"/>
          <w:i w:val="0"/>
          <w:color w:val="161412"/>
        </w:rPr>
        <w:t>Cuando el sistema actúa por el usuario, esa correspondencia se rompe por diseño: ocurre algo que el usuario no hizo. Ese es, exactamente, el momento que delegate debe hacer legible. Compárense dos correos:</w:t>
      </w:r>
    </w:p>
    <w:p>
      <w:pPr>
        <w:spacing w:after="120" w:line="320" w:lineRule="auto"/>
        <w:jc w:val="both"/>
      </w:pPr>
      <w:r>
        <w:rPr>
          <w:rFonts w:ascii="Newsreader" w:hAnsi="Newsreader" w:cs="Newsreader"/>
          <w:b w:val="0"/>
          <w:i w:val="0"/>
          <w:color w:val="161412"/>
        </w:rPr>
        <w:t>Un asistente que mueve un correo a una carpeta sin más: el mensaje desaparece de la bandeja. El usuario, que no hizo ese gesto, percibe una ausencia inexplicable. ¿Lo archivé yo y no recuerdo? ¿Un fallo? La autoría quedó muda, y con ella el control.</w:t>
      </w:r>
    </w:p>
    <w:p>
      <w:pPr>
        <w:spacing w:after="120" w:line="320" w:lineRule="auto"/>
        <w:jc w:val="both"/>
      </w:pPr>
      <w:r>
        <w:rPr>
          <w:rFonts w:ascii="Newsreader" w:hAnsi="Newsreader" w:cs="Newsreader"/>
          <w:b w:val="0"/>
          <w:i w:val="0"/>
          <w:color w:val="161412"/>
        </w:rPr>
        <w:t>El mismo archivado, pero con una breve presencia que declara «Archivado por tu asistente · Deshacer»: el evento se atribuye a su actor, queda revisable y reversible. La acción fue la misma; lo que cambia es que la autoría se hizo perceptible.</w:t>
      </w:r>
    </w:p>
    <w:p>
      <w:pPr>
        <w:spacing w:before="160" w:after="40"/>
        <w:pBdr>
          <w:left w:val="single" w:sz="18" w:space="12" w:color="1F3A5F"/>
        </w:pBdr>
      </w:pPr>
      <w:r>
        <w:rPr>
          <w:rFonts w:ascii="IBM Plex Sans" w:hAnsi="IBM Plex Sans" w:cs="IBM Plex Sans"/>
          <w:b/>
          <w:color w:val="1F3A5F"/>
          <w:sz w:val="16"/>
        </w:rPr>
        <w:t>DISTINCIÓN</w:t>
      </w:r>
    </w:p>
    <w:p>
      <w:pPr>
        <w:spacing w:after="120" w:line="312" w:lineRule="auto"/>
        <w:pBdr>
          <w:left w:val="single" w:sz="18" w:space="12" w:color="1F3A5F"/>
        </w:pBdr>
      </w:pPr>
      <w:r>
        <w:rPr>
          <w:rFonts w:ascii="Newsreader" w:hAnsi="Newsreader" w:cs="Newsreader"/>
          <w:b w:val="0"/>
          <w:i/>
          <w:color w:val="3A352F"/>
        </w:rPr>
        <w:t>Cuando el sistema actúa, no basta con mostrar qué cambió. Hay que hacer perceptible quién lo cambió.</w:t>
      </w:r>
    </w:p>
    <w:p>
      <w:pPr>
        <w:spacing w:before="240" w:after="100"/>
      </w:pPr>
      <w:r>
        <w:rPr>
          <w:rFonts w:ascii="Newsreader" w:hAnsi="Newsreader" w:cs="Newsreader"/>
          <w:i/>
          <w:color w:val="1F3A5F"/>
          <w:sz w:val="28"/>
        </w:rPr>
        <w:t>Cuanto mejor funciona, menos se vigila</w:t>
      </w:r>
    </w:p>
    <w:p>
      <w:pPr>
        <w:spacing w:after="120" w:line="320" w:lineRule="auto"/>
        <w:jc w:val="both"/>
      </w:pPr>
      <w:r>
        <w:rPr>
          <w:rFonts w:ascii="Newsreader" w:hAnsi="Newsreader" w:cs="Newsreader"/>
          <w:b w:val="0"/>
          <w:i w:val="0"/>
          <w:color w:val="161412"/>
        </w:rPr>
        <w:t>Hay una asimetría que delegate no puede ignorar. Parasuraman y Manzey, revisando décadas de estudios sobre uso de automatización, describieron lo que llamaron complacencia inducida por automatización: cuando un sistema automático funciona bien de forma sostenida, el operador le presta cada vez menos atención y tarda más en detectar sus fallos. No es pereza ni falta de formación —aparece igual en novatos y en expertos, y no se corrige con práctica simple—: es una consecuencia estructural de cómo repartimos una atención limitada. Confiamos en lo que rara vez falla, y dejamos de mirarlo.</w:t>
      </w:r>
    </w:p>
    <w:p>
      <w:pPr>
        <w:spacing w:after="120" w:line="320" w:lineRule="auto"/>
        <w:jc w:val="both"/>
      </w:pPr>
      <w:r>
        <w:rPr>
          <w:rFonts w:ascii="Newsreader" w:hAnsi="Newsreader" w:cs="Newsreader"/>
          <w:b w:val="0"/>
          <w:i w:val="0"/>
          <w:color w:val="161412"/>
        </w:rPr>
        <w:t>El problema es que el error de un agente fiable llega justo cuando el usuario ha bajado la guardia. Y en la era de los agentes generativos, ese patrón se ha trasladado de las cabinas y las salas de control al trabajo de conocimiento cotidiano: el asistente que acierta noventa y nueve veces educa al usuario para no revisar la número cien.</w:t>
      </w:r>
    </w:p>
    <w:p>
      <w:pPr>
        <w:spacing w:after="120" w:line="320" w:lineRule="auto"/>
        <w:jc w:val="both"/>
      </w:pPr>
      <w:r>
        <w:rPr>
          <w:rFonts w:ascii="Newsreader" w:hAnsi="Newsreader" w:cs="Newsreader"/>
          <w:b w:val="0"/>
          <w:i w:val="0"/>
          <w:color w:val="161412"/>
        </w:rPr>
        <w:t>De aquí sale una exigencia de diseño que distingue a delegate de las demás familias: la legibilidad de la acción delegada no puede decaer con la confianza. Un commit que el usuario hizo puede confirmarse y desvanecerse, porque él sabe que ocurrió. Una acción que hizo el sistema necesita dejar rastro revisable aunque —sobre todo porque— el usuario ya no la esté vigilando. El historial de acciones del agente, la posibilidad de revisar en lote lo que hizo mientras el usuario no miraba, el deshacer que sobrevive al momento: no son cortesías, son lo que mantiene al usuario en posición de intervenir.</w:t>
      </w:r>
    </w:p>
    <w:p>
      <w:pPr>
        <w:spacing w:after="120" w:line="320" w:lineRule="auto"/>
        <w:jc w:val="both"/>
      </w:pPr>
      <w:r>
        <w:rPr>
          <w:rFonts w:ascii="Newsreader" w:hAnsi="Newsreader" w:cs="Newsreader"/>
          <w:b w:val="0"/>
          <w:i w:val="0"/>
          <w:color w:val="161412"/>
        </w:rPr>
        <w:t>Cuándo el usuario confía de más o de menos —la calibración de la confianza— es un problema por derecho propio que excede esta gramática. Aquí basta retener que la interfaz es la principal herramienta para mantener esa confianza ajustada a lo que el sistema realmente hace.</w:t>
      </w:r>
    </w:p>
    <w:p>
      <w:pPr>
        <w:spacing w:before="240" w:after="100"/>
      </w:pPr>
      <w:r>
        <w:rPr>
          <w:rFonts w:ascii="Newsreader" w:hAnsi="Newsreader" w:cs="Newsreader"/>
          <w:i/>
          <w:color w:val="1F3A5F"/>
          <w:sz w:val="28"/>
        </w:rPr>
        <w:t>De la psicología a la práctica</w:t>
      </w:r>
    </w:p>
    <w:p>
      <w:pPr>
        <w:spacing w:after="120" w:line="320" w:lineRule="auto"/>
        <w:jc w:val="both"/>
      </w:pPr>
      <w:r>
        <w:rPr>
          <w:rFonts w:ascii="Newsreader" w:hAnsi="Newsreader" w:cs="Newsreader"/>
          <w:b w:val="0"/>
          <w:i w:val="0"/>
          <w:color w:val="161412"/>
        </w:rPr>
        <w:t>Las directrices de interacción humano-IA recogidas por Amershi y colaboradores formulan, desde la práctica, lo mismo que la percepción exige: dejar claro qué puede hacer el sistema y con qué fiabilidad, mostrar cuándo está actuando, permitir corregir y deshacer, y escalar al usuario cuando la confianza es baja. Traducidas a esta gramática, no son consejos sueltos: son afirmaciones sobre qué eventos de delegate deben hacerse perceptibles, y con qué intent. El resto de este capítulo las desarrolla como lo que son —eventos, canales y composiciones—, no como buenas intenciones.</w:t>
      </w:r>
    </w:p>
    <w:p>
      <w:pPr>
        <w:spacing w:before="320" w:after="40"/>
      </w:pPr>
      <w:r>
        <w:rPr>
          <w:rFonts w:ascii="IBM Plex Sans" w:hAnsi="IBM Plex Sans" w:cs="IBM Plex Sans"/>
          <w:b/>
          <w:color w:val="1F3A5F"/>
          <w:sz w:val="18"/>
        </w:rPr>
        <w:t>§ 3</w:t>
      </w:r>
    </w:p>
    <w:p>
      <w:pPr>
        <w:spacing w:after="160" w:line="240" w:lineRule="auto"/>
      </w:pPr>
      <w:r>
        <w:rPr>
          <w:rFonts w:ascii="Newsreader" w:hAnsi="Newsreader" w:cs="Newsreader"/>
          <w:color w:val="161412"/>
          <w:sz w:val="38"/>
        </w:rPr>
        <w:t>Qué es delegate</w:t>
      </w:r>
    </w:p>
    <w:p>
      <w:pPr>
        <w:spacing w:after="120" w:line="320" w:lineRule="auto"/>
        <w:jc w:val="both"/>
      </w:pPr>
      <w:r>
        <w:rPr>
          <w:rFonts w:ascii="Newsreader" w:hAnsi="Newsreader" w:cs="Newsreader"/>
          <w:b w:val="0"/>
          <w:i w:val="0"/>
          <w:color w:val="161412"/>
        </w:rPr>
        <w:t>delegate es la familia de los eventos donde cambia quién lleva la iniciativa o quién ejecuta parte de la acción.</w:t>
      </w:r>
    </w:p>
    <w:p>
      <w:pPr>
        <w:spacing w:after="120" w:line="320" w:lineRule="auto"/>
        <w:jc w:val="both"/>
      </w:pPr>
      <w:r>
        <w:rPr>
          <w:rFonts w:ascii="Newsreader" w:hAnsi="Newsreader" w:cs="Newsreader"/>
          <w:b w:val="0"/>
          <w:i w:val="0"/>
          <w:color w:val="161412"/>
        </w:rPr>
        <w:t>No es una familia de IA. Una IA puede producir eventos delegate, pero no todo evento delegate requiere IA. Una macro, un flujo automatizado, una regla programada, una aprobación delegada o un sistema de workflow también pueden producir delegate.</w:t>
      </w:r>
    </w:p>
    <w:p>
      <w:pPr>
        <w:spacing w:after="120" w:line="320" w:lineRule="auto"/>
        <w:jc w:val="both"/>
      </w:pPr>
      <w:r>
        <w:rPr>
          <w:rFonts w:ascii="Newsreader" w:hAnsi="Newsreader" w:cs="Newsreader"/>
          <w:b w:val="0"/>
          <w:i w:val="0"/>
          <w:color w:val="161412"/>
        </w:rPr>
        <w:t>La pregunta de delegate es:</w:t>
      </w:r>
    </w:p>
    <w:p>
      <w:pPr>
        <w:spacing w:after="120" w:line="320" w:lineRule="auto"/>
        <w:jc w:val="both"/>
      </w:pPr>
      <w:r>
        <w:rPr>
          <w:rFonts w:ascii="Newsreader" w:hAnsi="Newsreader" w:cs="Newsreader"/>
          <w:b w:val="0"/>
          <w:i w:val="0"/>
          <w:color w:val="161412"/>
        </w:rPr>
        <w:t>¿el usuario actúa directamente, el sistema actúa por él, o ambos comparten la acción?</w:t>
      </w:r>
    </w:p>
    <w:p>
      <w:pPr>
        <w:spacing w:before="320" w:after="40"/>
      </w:pPr>
      <w:r>
        <w:rPr>
          <w:rFonts w:ascii="IBM Plex Sans" w:hAnsi="IBM Plex Sans" w:cs="IBM Plex Sans"/>
          <w:b/>
          <w:color w:val="1F3A5F"/>
          <w:sz w:val="18"/>
        </w:rPr>
        <w:t>§ 4</w:t>
      </w:r>
    </w:p>
    <w:p>
      <w:pPr>
        <w:spacing w:after="160" w:line="240" w:lineRule="auto"/>
      </w:pPr>
      <w:r>
        <w:rPr>
          <w:rFonts w:ascii="Newsreader" w:hAnsi="Newsreader" w:cs="Newsreader"/>
          <w:color w:val="161412"/>
          <w:sz w:val="38"/>
        </w:rPr>
        <w:t>Verbos principales</w:t>
      </w:r>
    </w:p>
    <w:p>
      <w:pPr>
        <w:spacing w:after="120" w:line="320" w:lineRule="auto"/>
        <w:jc w:val="both"/>
      </w:pPr>
      <w:r>
        <w:rPr>
          <w:rFonts w:ascii="Newsreader" w:hAnsi="Newsreader" w:cs="Newsreader"/>
          <w:b w:val="0"/>
          <w:i w:val="0"/>
          <w:color w:val="161412"/>
        </w:rPr>
        <w:t>Los verbos de delegate describen momentos distintos del reparto de control:</w:t>
      </w:r>
    </w:p>
    <w:p>
      <w:pPr>
        <w:spacing w:after="120" w:line="320" w:lineRule="auto"/>
        <w:jc w:val="both"/>
      </w:pPr>
      <w:r>
        <w:rPr>
          <w:rFonts w:ascii="Newsreader" w:hAnsi="Newsreader" w:cs="Newsreader"/>
          <w:b w:val="0"/>
          <w:i w:val="0"/>
          <w:color w:val="161412"/>
        </w:rPr>
        <w:t>delegate.offer      → el sistema ofrece encargarse de algo</w:t>
      </w:r>
    </w:p>
    <w:p>
      <w:pPr>
        <w:spacing w:after="120" w:line="320" w:lineRule="auto"/>
        <w:jc w:val="both"/>
      </w:pPr>
      <w:r>
        <w:rPr>
          <w:rFonts w:ascii="Newsreader" w:hAnsi="Newsreader" w:cs="Newsreader"/>
          <w:b w:val="0"/>
          <w:i w:val="0"/>
          <w:color w:val="161412"/>
        </w:rPr>
        <w:t>delegate.plan       → el sistema propone un plan o curso de acción</w:t>
      </w:r>
    </w:p>
    <w:p>
      <w:pPr>
        <w:spacing w:after="120" w:line="320" w:lineRule="auto"/>
        <w:jc w:val="both"/>
      </w:pPr>
      <w:r>
        <w:rPr>
          <w:rFonts w:ascii="Newsreader" w:hAnsi="Newsreader" w:cs="Newsreader"/>
          <w:b w:val="0"/>
          <w:i w:val="0"/>
          <w:color w:val="161412"/>
        </w:rPr>
        <w:t>delegate.authorize  → el usuario concede permiso o alcance</w:t>
      </w:r>
    </w:p>
    <w:p>
      <w:pPr>
        <w:spacing w:after="120" w:line="320" w:lineRule="auto"/>
        <w:jc w:val="both"/>
      </w:pPr>
      <w:r>
        <w:rPr>
          <w:rFonts w:ascii="Newsreader" w:hAnsi="Newsreader" w:cs="Newsreader"/>
          <w:b w:val="0"/>
          <w:i w:val="0"/>
          <w:color w:val="161412"/>
        </w:rPr>
        <w:t>delegate.act        → el sistema actúa por el usuario</w:t>
      </w:r>
    </w:p>
    <w:p>
      <w:pPr>
        <w:spacing w:after="120" w:line="320" w:lineRule="auto"/>
        <w:jc w:val="both"/>
      </w:pPr>
      <w:r>
        <w:rPr>
          <w:rFonts w:ascii="Newsreader" w:hAnsi="Newsreader" w:cs="Newsreader"/>
          <w:b w:val="0"/>
          <w:i w:val="0"/>
          <w:color w:val="161412"/>
        </w:rPr>
        <w:t>delegate.review     → el sistema espera revisión antes de aplicar</w:t>
      </w:r>
    </w:p>
    <w:p>
      <w:pPr>
        <w:spacing w:after="120" w:line="320" w:lineRule="auto"/>
        <w:jc w:val="both"/>
      </w:pPr>
      <w:r>
        <w:rPr>
          <w:rFonts w:ascii="Newsreader" w:hAnsi="Newsreader" w:cs="Newsreader"/>
          <w:b w:val="0"/>
          <w:i w:val="0"/>
          <w:color w:val="161412"/>
        </w:rPr>
        <w:t>delegate.escalate   → el sistema pide intervención humana</w:t>
      </w:r>
    </w:p>
    <w:p>
      <w:pPr>
        <w:spacing w:after="120" w:line="320" w:lineRule="auto"/>
        <w:jc w:val="both"/>
      </w:pPr>
      <w:r>
        <w:rPr>
          <w:rFonts w:ascii="Newsreader" w:hAnsi="Newsreader" w:cs="Newsreader"/>
          <w:b w:val="0"/>
          <w:i w:val="0"/>
          <w:color w:val="161412"/>
        </w:rPr>
        <w:t>delegate.return     → el control vuelve al usuario</w:t>
      </w:r>
    </w:p>
    <w:p>
      <w:pPr>
        <w:spacing w:after="120" w:line="320" w:lineRule="auto"/>
        <w:jc w:val="both"/>
      </w:pPr>
      <w:r>
        <w:rPr>
          <w:rFonts w:ascii="Newsreader" w:hAnsi="Newsreader" w:cs="Newsreader"/>
          <w:b w:val="0"/>
          <w:i w:val="0"/>
          <w:color w:val="161412"/>
        </w:rPr>
        <w:t>Vistos sobre un caso —un asistente que ordena facturas en el correo—, dejan de ser abstractos:</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val="0"/>
          <w:i/>
          <w:color w:val="161412"/>
        </w:rPr>
        <w:t>delegate.offer</w:t>
      </w:r>
      <w:r>
        <w:rPr>
          <w:rFonts w:ascii="Newsreader" w:hAnsi="Newsreader" w:cs="Newsreader"/>
          <w:b w:val="0"/>
          <w:i w:val="0"/>
          <w:color w:val="161412"/>
        </w:rPr>
        <w:t xml:space="preserve"> → «He encontrado 3 facturas sin archivar. ¿Quieres que me encargue?»</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val="0"/>
          <w:i/>
          <w:color w:val="161412"/>
        </w:rPr>
        <w:t>delegate.plan</w:t>
      </w:r>
      <w:r>
        <w:rPr>
          <w:rFonts w:ascii="Newsreader" w:hAnsi="Newsreader" w:cs="Newsreader"/>
          <w:b w:val="0"/>
          <w:i w:val="0"/>
          <w:color w:val="161412"/>
        </w:rPr>
        <w:t xml:space="preserve"> → «Voy a crear la carpeta </w:t>
      </w:r>
      <w:r>
        <w:rPr>
          <w:rFonts w:ascii="Newsreader" w:hAnsi="Newsreader" w:cs="Newsreader"/>
          <w:b w:val="0"/>
          <w:i/>
          <w:color w:val="161412"/>
        </w:rPr>
        <w:t>Facturas 2026</w:t>
      </w:r>
      <w:r>
        <w:rPr>
          <w:rFonts w:ascii="Newsreader" w:hAnsi="Newsreader" w:cs="Newsreader"/>
          <w:b w:val="0"/>
          <w:i w:val="0"/>
          <w:color w:val="161412"/>
        </w:rPr>
        <w:t xml:space="preserve"> y mover las tres ahí.» (hace legible su intención antes de tocar nada)</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val="0"/>
          <w:i/>
          <w:color w:val="161412"/>
        </w:rPr>
        <w:t>delegate.authorize</w:t>
      </w:r>
      <w:r>
        <w:rPr>
          <w:rFonts w:ascii="Newsreader" w:hAnsi="Newsreader" w:cs="Newsreader"/>
          <w:b w:val="0"/>
          <w:i w:val="0"/>
          <w:color w:val="161412"/>
        </w:rPr>
        <w:t xml:space="preserve"> → el usuario acepta ese plan concreto, no una autorización en abstracto</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val="0"/>
          <w:i/>
          <w:color w:val="161412"/>
        </w:rPr>
        <w:t>delegate.act</w:t>
      </w:r>
      <w:r>
        <w:rPr>
          <w:rFonts w:ascii="Newsreader" w:hAnsi="Newsreader" w:cs="Newsreader"/>
          <w:b w:val="0"/>
          <w:i w:val="0"/>
          <w:color w:val="161412"/>
        </w:rPr>
        <w:t xml:space="preserve"> → el agente mueve las facturas</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val="0"/>
          <w:i/>
          <w:color w:val="161412"/>
        </w:rPr>
        <w:t>delegate.review</w:t>
      </w:r>
      <w:r>
        <w:rPr>
          <w:rFonts w:ascii="Newsreader" w:hAnsi="Newsreader" w:cs="Newsreader"/>
          <w:b w:val="0"/>
          <w:i w:val="0"/>
          <w:color w:val="161412"/>
        </w:rPr>
        <w:t xml:space="preserve"> → «Hecho. ¿Reviso el resultado antes de vaciar la bandeja?»</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val="0"/>
          <w:i/>
          <w:color w:val="161412"/>
        </w:rPr>
        <w:t>delegate.escalate</w:t>
      </w:r>
      <w:r>
        <w:rPr>
          <w:rFonts w:ascii="Newsreader" w:hAnsi="Newsreader" w:cs="Newsreader"/>
          <w:b w:val="0"/>
          <w:i w:val="0"/>
          <w:color w:val="161412"/>
        </w:rPr>
        <w:t xml:space="preserve"> → «Una factura tiene un importe anómalo; decide tú.»</w:t>
      </w:r>
    </w:p>
    <w:p>
      <w:pPr>
        <w:spacing w:after="100" w:line="312" w:lineRule="auto"/>
        <w:ind w:left="403" w:hanging="259"/>
        <w:jc w:val="both"/>
      </w:pPr>
      <w:r>
        <w:rPr>
          <w:rFonts w:ascii="IBM Plex Sans" w:hAnsi="IBM Plex Sans" w:cs="IBM Plex Sans"/>
          <w:b/>
          <w:color w:val="1F3A5F"/>
          <w:sz w:val="20"/>
        </w:rPr>
        <w:t xml:space="preserve">•  </w:t>
      </w:r>
      <w:r>
        <w:rPr>
          <w:rFonts w:ascii="Newsreader" w:hAnsi="Newsreader" w:cs="Newsreader"/>
          <w:b w:val="0"/>
          <w:i/>
          <w:color w:val="161412"/>
        </w:rPr>
        <w:t>delegate.return</w:t>
      </w:r>
      <w:r>
        <w:rPr>
          <w:rFonts w:ascii="Newsreader" w:hAnsi="Newsreader" w:cs="Newsreader"/>
          <w:b w:val="0"/>
          <w:i w:val="0"/>
          <w:color w:val="161412"/>
        </w:rPr>
        <w:t xml:space="preserve"> → el control vuelve al usuario</w:t>
      </w:r>
    </w:p>
    <w:p>
      <w:pPr>
        <w:spacing w:after="120" w:line="320" w:lineRule="auto"/>
        <w:jc w:val="both"/>
      </w:pPr>
      <w:r>
        <w:rPr>
          <w:rFonts w:ascii="Newsreader" w:hAnsi="Newsreader" w:cs="Newsreader"/>
          <w:b w:val="0"/>
          <w:i w:val="0"/>
          <w:color w:val="161412"/>
        </w:rPr>
        <w:t xml:space="preserve">Seis de estos verbos reparten el turno de actuar; </w:t>
      </w:r>
      <w:r>
        <w:rPr>
          <w:rFonts w:ascii="Newsreader" w:hAnsi="Newsreader" w:cs="Newsreader"/>
          <w:b w:val="0"/>
          <w:i/>
          <w:color w:val="161412"/>
        </w:rPr>
        <w:t>plan</w:t>
      </w:r>
      <w:r>
        <w:rPr>
          <w:rFonts w:ascii="Newsreader" w:hAnsi="Newsreader" w:cs="Newsreader"/>
          <w:b w:val="0"/>
          <w:i w:val="0"/>
          <w:color w:val="161412"/>
        </w:rPr>
        <w:t xml:space="preserve"> hace otra cosa, y por eso conviene no confundirlo con los demás: no dice quién actúa, sino qué se va a hacer antes de hacerlo. Es el verbo de la legibilidad anticipada —lo que convierte una autorización en una decisión informada en lugar de un cheque en blanco—.</w:t>
      </w:r>
    </w:p>
    <w:p>
      <w:pPr>
        <w:spacing w:before="200" w:after="60"/>
        <w:jc w:val="center"/>
      </w:pPr>
      <w:r>
        <w:drawing>
          <wp:inline xmlns:a="http://schemas.openxmlformats.org/drawingml/2006/main" xmlns:pic="http://schemas.openxmlformats.org/drawingml/2006/picture">
            <wp:extent cx="5029200" cy="2652903"/>
            <wp:docPr id="67" name="Picture 67"/>
            <wp:cNvGraphicFramePr>
              <a:graphicFrameLocks noChangeAspect="1"/>
            </wp:cNvGraphicFramePr>
            <a:graphic>
              <a:graphicData uri="http://schemas.openxmlformats.org/drawingml/2006/picture">
                <pic:pic>
                  <pic:nvPicPr>
                    <pic:cNvPr id="0" name="figura-29-2.png"/>
                    <pic:cNvPicPr/>
                  </pic:nvPicPr>
                  <pic:blipFill>
                    <a:blip r:embed="rId75"/>
                    <a:stretch>
                      <a:fillRect/>
                    </a:stretch>
                  </pic:blipFill>
                  <pic:spPr>
                    <a:xfrm>
                      <a:off x="0" y="0"/>
                      <a:ext cx="5029200" cy="2652903"/>
                    </a:xfrm>
                    <a:prstGeom prst="rect"/>
                  </pic:spPr>
                </pic:pic>
              </a:graphicData>
            </a:graphic>
          </wp:inline>
        </w:drawing>
      </w:r>
    </w:p>
    <w:p>
      <w:pPr>
        <w:spacing w:before="320" w:after="40"/>
      </w:pPr>
      <w:r>
        <w:rPr>
          <w:rFonts w:ascii="IBM Plex Sans" w:hAnsi="IBM Plex Sans" w:cs="IBM Plex Sans"/>
          <w:b/>
          <w:color w:val="1F3A5F"/>
          <w:sz w:val="18"/>
        </w:rPr>
        <w:t>§ 5</w:t>
      </w:r>
    </w:p>
    <w:p>
      <w:pPr>
        <w:spacing w:after="160" w:line="240" w:lineRule="auto"/>
      </w:pPr>
      <w:r>
        <w:rPr>
          <w:rFonts w:ascii="Newsreader" w:hAnsi="Newsreader" w:cs="Newsreader"/>
          <w:color w:val="161412"/>
          <w:sz w:val="38"/>
        </w:rPr>
        <w:t>Qué no es delegate</w:t>
      </w:r>
    </w:p>
    <w:p>
      <w:pPr>
        <w:spacing w:after="120" w:line="320" w:lineRule="auto"/>
        <w:jc w:val="both"/>
      </w:pPr>
      <w:r>
        <w:rPr>
          <w:rFonts w:ascii="Newsreader" w:hAnsi="Newsreader" w:cs="Newsreader"/>
          <w:b w:val="0"/>
          <w:i w:val="0"/>
          <w:color w:val="161412"/>
        </w:rPr>
        <w:t>delegate no es sustain. sustain comunica que algo sigue ocurriendo. delegate comunica quién actúa o bajo qué autorización.</w:t>
      </w:r>
    </w:p>
    <w:p>
      <w:pPr>
        <w:spacing w:after="120" w:line="320" w:lineRule="auto"/>
        <w:jc w:val="both"/>
      </w:pPr>
      <w:r>
        <w:rPr>
          <w:rFonts w:ascii="Newsreader" w:hAnsi="Newsreader" w:cs="Newsreader"/>
          <w:b w:val="0"/>
          <w:i w:val="0"/>
          <w:color w:val="161412"/>
        </w:rPr>
        <w:t>delegate no es signal. signal reclama atención. delegate puede pedir revisión, pero la reclamación de atención pertenece a signal.</w:t>
      </w:r>
    </w:p>
    <w:p>
      <w:pPr>
        <w:spacing w:after="120" w:line="320" w:lineRule="auto"/>
        <w:jc w:val="both"/>
      </w:pPr>
      <w:r>
        <w:rPr>
          <w:rFonts w:ascii="Newsreader" w:hAnsi="Newsreader" w:cs="Newsreader"/>
          <w:b w:val="0"/>
          <w:i w:val="0"/>
          <w:color w:val="161412"/>
        </w:rPr>
        <w:t>delegate no es commit. commit comunica resultado. delegate puede terminar en commit, pero no es el resultado.</w:t>
      </w:r>
    </w:p>
    <w:p>
      <w:pPr>
        <w:spacing w:after="120" w:line="320" w:lineRule="auto"/>
        <w:jc w:val="both"/>
      </w:pPr>
      <w:r>
        <w:rPr>
          <w:rFonts w:ascii="Newsreader" w:hAnsi="Newsreader" w:cs="Newsreader"/>
          <w:b w:val="0"/>
          <w:i w:val="0"/>
          <w:color w:val="161412"/>
        </w:rPr>
        <w:t>delegate no es shift. shift cambia el contexto. delegate cambia el reparto de acción dentro de ese contexto.</w:t>
      </w:r>
    </w:p>
    <w:p>
      <w:pPr>
        <w:spacing w:before="320" w:after="40"/>
      </w:pPr>
      <w:r>
        <w:rPr>
          <w:rFonts w:ascii="IBM Plex Sans" w:hAnsi="IBM Plex Sans" w:cs="IBM Plex Sans"/>
          <w:b/>
          <w:color w:val="1F3A5F"/>
          <w:sz w:val="18"/>
        </w:rPr>
        <w:t>§ 6</w:t>
      </w:r>
    </w:p>
    <w:p>
      <w:pPr>
        <w:spacing w:after="160" w:line="240" w:lineRule="auto"/>
      </w:pPr>
      <w:r>
        <w:rPr>
          <w:rFonts w:ascii="Newsreader" w:hAnsi="Newsreader" w:cs="Newsreader"/>
          <w:color w:val="161412"/>
          <w:sz w:val="38"/>
        </w:rPr>
        <w:t>delegate e intent</w:t>
      </w:r>
    </w:p>
    <w:p>
      <w:pPr>
        <w:spacing w:after="120" w:line="320" w:lineRule="auto"/>
        <w:jc w:val="both"/>
      </w:pPr>
      <w:r>
        <w:rPr>
          <w:rFonts w:ascii="Newsreader" w:hAnsi="Newsreader" w:cs="Newsreader"/>
          <w:b w:val="0"/>
          <w:i w:val="0"/>
          <w:color w:val="161412"/>
        </w:rPr>
        <w:t>delegate no tiene intent por defecto. Que el sistema actúe por el usuario no significa automáticamente que algo sea positivo, negativo, urgente o perdido.</w:t>
      </w:r>
    </w:p>
    <w:p>
      <w:pPr>
        <w:spacing w:after="120" w:line="320" w:lineRule="auto"/>
        <w:jc w:val="both"/>
      </w:pPr>
      <w:r>
        <w:rPr>
          <w:rFonts w:ascii="Newsreader" w:hAnsi="Newsreader" w:cs="Newsreader"/>
          <w:b w:val="0"/>
          <w:i w:val="0"/>
          <w:color w:val="161412"/>
        </w:rPr>
        <w:t>El intent aparece cuando la acción delegada produce una señal, un resultado, un riesgo, una amenaza o una pérdida.</w:t>
      </w:r>
    </w:p>
    <w:p>
      <w:pPr>
        <w:spacing w:after="120" w:line="320" w:lineRule="auto"/>
        <w:jc w:val="both"/>
      </w:pPr>
      <w:r>
        <w:rPr>
          <w:rFonts w:ascii="Newsreader" w:hAnsi="Newsreader" w:cs="Newsreader"/>
          <w:b w:val="0"/>
          <w:i w:val="0"/>
          <w:color w:val="161412"/>
        </w:rPr>
        <w:t>Ejemplos:</w:t>
      </w:r>
    </w:p>
    <w:p>
      <w:pPr>
        <w:spacing w:after="120" w:line="320" w:lineRule="auto"/>
        <w:jc w:val="both"/>
      </w:pPr>
      <w:r>
        <w:rPr>
          <w:rFonts w:ascii="Newsreader" w:hAnsi="Newsreader" w:cs="Newsreader"/>
          <w:b w:val="0"/>
          <w:i w:val="0"/>
          <w:color w:val="161412"/>
        </w:rPr>
        <w:t>delegate.act</w:t>
      </w:r>
    </w:p>
    <w:p>
      <w:pPr>
        <w:spacing w:after="120" w:line="320" w:lineRule="auto"/>
        <w:jc w:val="both"/>
      </w:pPr>
      <w:r>
        <w:rPr>
          <w:rFonts w:ascii="Newsreader" w:hAnsi="Newsreader" w:cs="Newsreader"/>
          <w:b w:val="0"/>
          <w:i w:val="0"/>
          <w:color w:val="161412"/>
        </w:rPr>
        <w:t>→ sustain.processing</w:t>
      </w:r>
    </w:p>
    <w:p>
      <w:pPr>
        <w:spacing w:after="120" w:line="320" w:lineRule="auto"/>
        <w:jc w:val="both"/>
      </w:pPr>
      <w:r>
        <w:rPr>
          <w:rFonts w:ascii="Newsreader" w:hAnsi="Newsreader" w:cs="Newsreader"/>
          <w:b w:val="0"/>
          <w:i w:val="0"/>
          <w:color w:val="161412"/>
        </w:rPr>
        <w:t>→ commit.apply + affirm</w:t>
      </w:r>
    </w:p>
    <w:p>
      <w:pPr>
        <w:spacing w:after="120" w:line="320" w:lineRule="auto"/>
        <w:jc w:val="both"/>
      </w:pPr>
      <w:r>
        <w:rPr>
          <w:rFonts w:ascii="Newsreader" w:hAnsi="Newsreader" w:cs="Newsreader"/>
          <w:b w:val="0"/>
          <w:i w:val="0"/>
          <w:color w:val="161412"/>
        </w:rPr>
        <w:t>delegate.review</w:t>
      </w:r>
    </w:p>
    <w:p>
      <w:pPr>
        <w:spacing w:after="120" w:line="320" w:lineRule="auto"/>
        <w:jc w:val="both"/>
      </w:pPr>
      <w:r>
        <w:rPr>
          <w:rFonts w:ascii="Newsreader" w:hAnsi="Newsreader" w:cs="Newsreader"/>
          <w:b w:val="0"/>
          <w:i w:val="0"/>
          <w:color w:val="161412"/>
        </w:rPr>
        <w:t>→ signal.warn + risk</w:t>
      </w:r>
    </w:p>
    <w:p>
      <w:pPr>
        <w:spacing w:after="120" w:line="320" w:lineRule="auto"/>
        <w:jc w:val="both"/>
      </w:pPr>
      <w:r>
        <w:rPr>
          <w:rFonts w:ascii="Newsreader" w:hAnsi="Newsreader" w:cs="Newsreader"/>
          <w:b w:val="0"/>
          <w:i w:val="0"/>
          <w:color w:val="161412"/>
        </w:rPr>
        <w:t>delegate.act</w:t>
      </w:r>
    </w:p>
    <w:p>
      <w:pPr>
        <w:spacing w:after="120" w:line="320" w:lineRule="auto"/>
        <w:jc w:val="both"/>
      </w:pPr>
      <w:r>
        <w:rPr>
          <w:rFonts w:ascii="Newsreader" w:hAnsi="Newsreader" w:cs="Newsreader"/>
          <w:b w:val="0"/>
          <w:i w:val="0"/>
          <w:color w:val="161412"/>
        </w:rPr>
        <w:t>→ commit.fail + risk</w:t>
      </w:r>
    </w:p>
    <w:p>
      <w:pPr>
        <w:spacing w:after="120" w:line="320" w:lineRule="auto"/>
        <w:jc w:val="both"/>
      </w:pPr>
      <w:r>
        <w:rPr>
          <w:rFonts w:ascii="Newsreader" w:hAnsi="Newsreader" w:cs="Newsreader"/>
          <w:b w:val="0"/>
          <w:i w:val="0"/>
          <w:color w:val="161412"/>
        </w:rPr>
        <w:t>delegate.act</w:t>
      </w:r>
    </w:p>
    <w:p>
      <w:pPr>
        <w:spacing w:after="120" w:line="320" w:lineRule="auto"/>
        <w:jc w:val="both"/>
      </w:pPr>
      <w:r>
        <w:rPr>
          <w:rFonts w:ascii="Newsreader" w:hAnsi="Newsreader" w:cs="Newsreader"/>
          <w:b w:val="0"/>
          <w:i w:val="0"/>
          <w:color w:val="161412"/>
        </w:rPr>
        <w:t>→ commit.delete + loss</w:t>
      </w:r>
    </w:p>
    <w:p>
      <w:pPr>
        <w:spacing w:before="320" w:after="40"/>
      </w:pPr>
      <w:r>
        <w:rPr>
          <w:rFonts w:ascii="IBM Plex Sans" w:hAnsi="IBM Plex Sans" w:cs="IBM Plex Sans"/>
          <w:b/>
          <w:color w:val="1F3A5F"/>
          <w:sz w:val="18"/>
        </w:rPr>
        <w:t>§ 7</w:t>
      </w:r>
    </w:p>
    <w:p>
      <w:pPr>
        <w:spacing w:after="160" w:line="240" w:lineRule="auto"/>
      </w:pPr>
      <w:r>
        <w:rPr>
          <w:rFonts w:ascii="Newsreader" w:hAnsi="Newsreader" w:cs="Newsreader"/>
          <w:color w:val="161412"/>
          <w:sz w:val="38"/>
        </w:rPr>
        <w:t>Canales de delegate</w:t>
      </w:r>
    </w:p>
    <w:p>
      <w:pPr>
        <w:spacing w:after="120" w:line="320" w:lineRule="auto"/>
        <w:jc w:val="both"/>
      </w:pPr>
      <w:r>
        <w:rPr>
          <w:rFonts w:ascii="Newsreader" w:hAnsi="Newsreader" w:cs="Newsreader"/>
          <w:b w:val="0"/>
          <w:i w:val="0"/>
          <w:color w:val="161412"/>
        </w:rPr>
        <w:t>delegate casi no tiene canales propios. Los toma prestados de las familias que desencadena: la actividad se expresa como sustain, el resultado como commit, lo que aparece para revisión como emerge. Pero delegate añade sobre todos ellos una capa que ninguna otra familia necesita y que ningún canal sensorial transporta por sí solo: la atribución. Decir quién actúa no es cuestión de color ni de movimiento. Es, antes que nada, una cuestión de lenguaje.</w:t>
      </w:r>
    </w:p>
    <w:p>
      <w:pPr>
        <w:spacing w:after="120" w:line="320" w:lineRule="auto"/>
        <w:jc w:val="both"/>
      </w:pPr>
      <w:r>
        <w:rPr>
          <w:rFonts w:ascii="Newsreader" w:hAnsi="Newsreader" w:cs="Newsreader"/>
          <w:b/>
          <w:i w:val="0"/>
          <w:color w:val="161412"/>
        </w:rPr>
        <w:t>Texto.</w:t>
      </w:r>
      <w:r>
        <w:rPr>
          <w:rFonts w:ascii="Newsreader" w:hAnsi="Newsreader" w:cs="Newsreader"/>
          <w:b w:val="0"/>
          <w:i w:val="0"/>
          <w:color w:val="161412"/>
        </w:rPr>
        <w:t xml:space="preserve"> Es el canal primario de delegate, más que en ninguna otra familia. La autoría y el alcance son proposicionales: «tu asistente», «3 correos», «puedes deshacerlo» son cosas que se afirman, no que se insinúan. Un icono indica que algo automático ocurre; solo el texto dice qué, de quién y hasta dónde. Por eso un evento de autorización —«Puedo enviar esta respuesta a 3 personas. ¿Autorizas?»— vive o muere en su redacción: el alcance que no se enuncia, no se percibe.</w:t>
      </w:r>
    </w:p>
    <w:p>
      <w:pPr>
        <w:spacing w:after="120" w:line="320" w:lineRule="auto"/>
        <w:jc w:val="both"/>
      </w:pPr>
      <w:r>
        <w:rPr>
          <w:rFonts w:ascii="Newsreader" w:hAnsi="Newsreader" w:cs="Newsreader"/>
          <w:b/>
          <w:i w:val="0"/>
          <w:color w:val="161412"/>
        </w:rPr>
        <w:t>Presencia.</w:t>
      </w:r>
      <w:r>
        <w:rPr>
          <w:rFonts w:ascii="Newsreader" w:hAnsi="Newsreader" w:cs="Newsreader"/>
          <w:b w:val="0"/>
          <w:i w:val="0"/>
          <w:color w:val="161412"/>
        </w:rPr>
        <w:t xml:space="preserve"> Delegate necesita una presencia de dos tiempos. Una momentánea, que acompaña la acción mientras ocurre. Y otra persistente —un historial, un registro revisable— que sobrevive a la acción. Esta segunda no es un lujo: es la consecuencia directa del fundamento. Si la vigilancia del usuario decae con la confianza, el rastro de lo que el sistema hizo mientras nadie miraba es lo único que le devuelve el control. La presencia persistente de delegate es la memoria de la autoría.</w:t>
      </w:r>
    </w:p>
    <w:p>
      <w:pPr>
        <w:spacing w:after="120" w:line="320" w:lineRule="auto"/>
        <w:jc w:val="both"/>
      </w:pPr>
      <w:r>
        <w:rPr>
          <w:rFonts w:ascii="Newsreader" w:hAnsi="Newsreader" w:cs="Newsreader"/>
          <w:b/>
          <w:i w:val="0"/>
          <w:color w:val="161412"/>
        </w:rPr>
        <w:t>Tiempo.</w:t>
      </w:r>
      <w:r>
        <w:rPr>
          <w:rFonts w:ascii="Newsreader" w:hAnsi="Newsreader" w:cs="Newsreader"/>
          <w:b w:val="0"/>
          <w:i w:val="0"/>
          <w:color w:val="161412"/>
        </w:rPr>
        <w:t xml:space="preserve"> El ritmo declara agencia. Una acción que se ejecuta en el mismo instante en que el usuario la roza se percibe como suya; la misma acción precedida de un breve compás —«Voy a archivar esto…»— se percibe como del sistema. Ese compás no es lentitud: es el espacio donde la autoría se vuelve legible y donde cabe la cancelación. La secuencia entera de delegate —ofrecer, actuar, devolver— es una figura temporal, y su legibilidad depende de que esos tres momentos no se colapsen en uno.</w:t>
      </w:r>
    </w:p>
    <w:p>
      <w:pPr>
        <w:spacing w:after="120" w:line="320" w:lineRule="auto"/>
        <w:jc w:val="both"/>
      </w:pPr>
      <w:r>
        <w:rPr>
          <w:rFonts w:ascii="Newsreader" w:hAnsi="Newsreader" w:cs="Newsreader"/>
          <w:b/>
          <w:i w:val="0"/>
          <w:color w:val="161412"/>
        </w:rPr>
        <w:t>Motion.</w:t>
      </w:r>
      <w:r>
        <w:rPr>
          <w:rFonts w:ascii="Newsreader" w:hAnsi="Newsreader" w:cs="Newsreader"/>
          <w:b w:val="0"/>
          <w:i w:val="0"/>
          <w:color w:val="161412"/>
        </w:rPr>
        <w:t xml:space="preserve"> Secundario y delicado. El movimiento puede señalar el lugar donde el sistema está actuando —dónde mira, qué toca—, pero es justo el canal que dispara la atribución de agencia espontánea: algo que se mueve solo se lee como decidido por alguien. Usado sin atribución explícita, motion produce la inquietud que delegate venía a resolver. Acompaña; no sustituye al texto.</w:t>
      </w:r>
    </w:p>
    <w:p>
      <w:pPr>
        <w:spacing w:after="120" w:line="320" w:lineRule="auto"/>
        <w:jc w:val="both"/>
      </w:pPr>
      <w:r>
        <w:rPr>
          <w:rFonts w:ascii="Newsreader" w:hAnsi="Newsreader" w:cs="Newsreader"/>
          <w:b/>
          <w:i w:val="0"/>
          <w:color w:val="161412"/>
        </w:rPr>
        <w:t>Lo que delegate no debe usar para sí.</w:t>
      </w:r>
      <w:r>
        <w:rPr>
          <w:rFonts w:ascii="Newsreader" w:hAnsi="Newsreader" w:cs="Newsreader"/>
          <w:b w:val="0"/>
          <w:i w:val="0"/>
          <w:color w:val="161412"/>
        </w:rPr>
        <w:t xml:space="preserve"> Color, sonido y háptica pertenecen a las consecuencias, no al reparto de iniciativa. delegate no tiene intent por defecto; teñir de verde o de rojo el hecho de que el sistema actúe es cargar valencia donde todavía no la hay. Si la acción delegada produce un riesgo o una pérdida, son signal y commit —no delegate— quienes lo expresan, con sus canales.</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delegate toma prestados los canales de las familias que desencadena, y les añade una capa irreducible: la atribución. Un indicador de actividad que no dice quién actúa no es delegate; es solo sustain.</w:t>
      </w:r>
    </w:p>
    <w:p>
      <w:pPr>
        <w:spacing w:before="320" w:after="40"/>
      </w:pPr>
      <w:r>
        <w:rPr>
          <w:rFonts w:ascii="IBM Plex Sans" w:hAnsi="IBM Plex Sans" w:cs="IBM Plex Sans"/>
          <w:b/>
          <w:color w:val="1F3A5F"/>
          <w:sz w:val="18"/>
        </w:rPr>
        <w:t>§ 8</w:t>
      </w:r>
    </w:p>
    <w:p>
      <w:pPr>
        <w:spacing w:after="160" w:line="240" w:lineRule="auto"/>
      </w:pPr>
      <w:r>
        <w:rPr>
          <w:rFonts w:ascii="Newsreader" w:hAnsi="Newsreader" w:cs="Newsreader"/>
          <w:color w:val="161412"/>
          <w:sz w:val="38"/>
        </w:rPr>
        <w:t>Casos no basados en IA</w:t>
      </w:r>
    </w:p>
    <w:p>
      <w:pPr>
        <w:spacing w:after="120" w:line="320" w:lineRule="auto"/>
        <w:jc w:val="both"/>
      </w:pPr>
      <w:r>
        <w:rPr>
          <w:rFonts w:ascii="Newsreader" w:hAnsi="Newsreader" w:cs="Newsreader"/>
          <w:b w:val="0"/>
          <w:i w:val="0"/>
          <w:color w:val="161412"/>
        </w:rPr>
        <w:t>Un sistema de aprobación puede delegar una acción en otro usuario o rol.</w:t>
      </w:r>
    </w:p>
    <w:p>
      <w:pPr>
        <w:spacing w:after="120" w:line="320" w:lineRule="auto"/>
        <w:jc w:val="both"/>
      </w:pPr>
      <w:r>
        <w:rPr>
          <w:rFonts w:ascii="Newsreader" w:hAnsi="Newsreader" w:cs="Newsreader"/>
          <w:b w:val="0"/>
          <w:i w:val="0"/>
          <w:color w:val="161412"/>
        </w:rPr>
        <w:t>Una regla automática puede archivar mensajes bajo condiciones definidas.</w:t>
      </w:r>
    </w:p>
    <w:p>
      <w:pPr>
        <w:spacing w:after="120" w:line="320" w:lineRule="auto"/>
        <w:jc w:val="both"/>
      </w:pPr>
      <w:r>
        <w:rPr>
          <w:rFonts w:ascii="Newsreader" w:hAnsi="Newsreader" w:cs="Newsreader"/>
          <w:b w:val="0"/>
          <w:i w:val="0"/>
          <w:color w:val="161412"/>
        </w:rPr>
        <w:t>Una macro puede aplicar una secuencia de cambios en una herramienta profesional.</w:t>
      </w:r>
    </w:p>
    <w:p>
      <w:pPr>
        <w:spacing w:after="120" w:line="320" w:lineRule="auto"/>
        <w:jc w:val="both"/>
      </w:pPr>
      <w:r>
        <w:rPr>
          <w:rFonts w:ascii="Newsreader" w:hAnsi="Newsreader" w:cs="Newsreader"/>
          <w:b w:val="0"/>
          <w:i w:val="0"/>
          <w:color w:val="161412"/>
        </w:rPr>
        <w:t>Un workflow puede ejecutar pasos cuando una tarea cambia de estado.</w:t>
      </w:r>
    </w:p>
    <w:p>
      <w:pPr>
        <w:spacing w:after="120" w:line="320" w:lineRule="auto"/>
        <w:jc w:val="both"/>
      </w:pPr>
      <w:r>
        <w:rPr>
          <w:rFonts w:ascii="Newsreader" w:hAnsi="Newsreader" w:cs="Newsreader"/>
          <w:b w:val="0"/>
          <w:i w:val="0"/>
          <w:color w:val="161412"/>
        </w:rPr>
        <w:t>En todos esos casos lo importante no es la inteligencia del sistema. Lo importante es que la acción ya no está completamente en manos del usuario en ese instante.</w:t>
      </w:r>
    </w:p>
    <w:p>
      <w:pPr>
        <w:spacing w:before="320" w:after="40"/>
      </w:pPr>
      <w:r>
        <w:rPr>
          <w:rFonts w:ascii="IBM Plex Sans" w:hAnsi="IBM Plex Sans" w:cs="IBM Plex Sans"/>
          <w:b/>
          <w:color w:val="1F3A5F"/>
          <w:sz w:val="18"/>
        </w:rPr>
        <w:t>§ 9</w:t>
      </w:r>
    </w:p>
    <w:p>
      <w:pPr>
        <w:spacing w:after="160" w:line="240" w:lineRule="auto"/>
      </w:pPr>
      <w:r>
        <w:rPr>
          <w:rFonts w:ascii="Newsreader" w:hAnsi="Newsreader" w:cs="Newsreader"/>
          <w:color w:val="161412"/>
          <w:sz w:val="38"/>
        </w:rPr>
        <w:t>Riesgos de diseño</w:t>
      </w:r>
    </w:p>
    <w:p>
      <w:pPr>
        <w:spacing w:after="120" w:line="320" w:lineRule="auto"/>
        <w:jc w:val="both"/>
      </w:pPr>
      <w:r>
        <w:rPr>
          <w:rFonts w:ascii="Newsreader" w:hAnsi="Newsreader" w:cs="Newsreader"/>
          <w:b w:val="0"/>
          <w:i w:val="0"/>
          <w:color w:val="161412"/>
        </w:rPr>
        <w:t>delegate es una familia delicada porque afecta control y responsabilidad. Si se expresa mal, el usuario puede no saber si el sistema solo sugiere, si ya está actuando, si espera autorización o si el resultado ya se aplicó.</w:t>
      </w:r>
    </w:p>
    <w:p>
      <w:pPr>
        <w:spacing w:after="120" w:line="320" w:lineRule="auto"/>
        <w:jc w:val="both"/>
      </w:pPr>
      <w:r>
        <w:rPr>
          <w:rFonts w:ascii="Newsreader" w:hAnsi="Newsreader" w:cs="Newsreader"/>
          <w:b w:val="0"/>
          <w:i w:val="0"/>
          <w:color w:val="161412"/>
        </w:rPr>
        <w:t>Los errores más comunes son:</w:t>
      </w:r>
    </w:p>
    <w:p>
      <w:pPr>
        <w:spacing w:after="120" w:line="320" w:lineRule="auto"/>
        <w:jc w:val="both"/>
      </w:pPr>
      <w:r>
        <w:rPr>
          <w:rFonts w:ascii="Newsreader" w:hAnsi="Newsreader" w:cs="Newsreader"/>
          <w:b w:val="0"/>
          <w:i w:val="0"/>
          <w:color w:val="161412"/>
        </w:rPr>
        <w:t>mostrar un loader genérico cuando el sistema está actuando por el usuario;</w:t>
      </w:r>
    </w:p>
    <w:p>
      <w:pPr>
        <w:spacing w:after="120" w:line="320" w:lineRule="auto"/>
        <w:jc w:val="both"/>
      </w:pPr>
      <w:r>
        <w:rPr>
          <w:rFonts w:ascii="Newsreader" w:hAnsi="Newsreader" w:cs="Newsreader"/>
          <w:b w:val="0"/>
          <w:i w:val="0"/>
          <w:color w:val="161412"/>
        </w:rPr>
        <w:t>no explicar el alcance de la acción;</w:t>
      </w:r>
    </w:p>
    <w:p>
      <w:pPr>
        <w:spacing w:after="120" w:line="320" w:lineRule="auto"/>
        <w:jc w:val="both"/>
      </w:pPr>
      <w:r>
        <w:rPr>
          <w:rFonts w:ascii="Newsreader" w:hAnsi="Newsreader" w:cs="Newsreader"/>
          <w:b w:val="0"/>
          <w:i w:val="0"/>
          <w:color w:val="161412"/>
        </w:rPr>
        <w:t>no ofrecer salida o cancelación;</w:t>
      </w:r>
    </w:p>
    <w:p>
      <w:pPr>
        <w:spacing w:after="120" w:line="320" w:lineRule="auto"/>
        <w:jc w:val="both"/>
      </w:pPr>
      <w:r>
        <w:rPr>
          <w:rFonts w:ascii="Newsreader" w:hAnsi="Newsreader" w:cs="Newsreader"/>
          <w:b w:val="0"/>
          <w:i w:val="0"/>
          <w:color w:val="161412"/>
        </w:rPr>
        <w:t>no diferenciar sugerencia, plan, autorización y ejecución;</w:t>
      </w:r>
    </w:p>
    <w:p>
      <w:pPr>
        <w:spacing w:after="120" w:line="320" w:lineRule="auto"/>
        <w:jc w:val="both"/>
      </w:pPr>
      <w:r>
        <w:rPr>
          <w:rFonts w:ascii="Newsreader" w:hAnsi="Newsreader" w:cs="Newsreader"/>
          <w:b w:val="0"/>
          <w:i w:val="0"/>
          <w:color w:val="161412"/>
        </w:rPr>
        <w:t>no dejar claro cuándo el control vuelve al usuario.</w:t>
      </w:r>
    </w:p>
    <w:p>
      <w:pPr>
        <w:spacing w:before="320" w:after="40"/>
      </w:pPr>
      <w:r>
        <w:rPr>
          <w:rFonts w:ascii="IBM Plex Sans" w:hAnsi="IBM Plex Sans" w:cs="IBM Plex Sans"/>
          <w:b/>
          <w:color w:val="1F3A5F"/>
          <w:sz w:val="18"/>
        </w:rPr>
        <w:t>§ 10</w:t>
      </w:r>
    </w:p>
    <w:p>
      <w:pPr>
        <w:spacing w:after="160" w:line="240" w:lineRule="auto"/>
      </w:pPr>
      <w:r>
        <w:rPr>
          <w:rFonts w:ascii="Newsreader" w:hAnsi="Newsreader" w:cs="Newsreader"/>
          <w:color w:val="161412"/>
          <w:sz w:val="38"/>
        </w:rPr>
        <w:t>Accesibilidad de delegate</w:t>
      </w:r>
    </w:p>
    <w:p>
      <w:pPr>
        <w:spacing w:after="120" w:line="320" w:lineRule="auto"/>
        <w:jc w:val="both"/>
      </w:pPr>
      <w:r>
        <w:rPr>
          <w:rFonts w:ascii="Newsreader" w:hAnsi="Newsreader" w:cs="Newsreader"/>
          <w:b w:val="0"/>
          <w:i w:val="0"/>
          <w:color w:val="161412"/>
        </w:rPr>
        <w:t>La accesibilidad de delegate sigue la regla del libro —cuando un canal falla, migra el significado, no el adorno—, pero parte de una desventaja propia. Buena parte de la atribución que un usuario vidente recibe gratis —el movimiento autónomo, el compás antes de actuar, el cambio que aparece «solo»— son pistas visuales y temporales que no tienen equivalente para quien no ve la pantalla. La agencia que la vista infiere, el resto de los sentidos necesita que se la declaren.</w:t>
      </w:r>
    </w:p>
    <w:p>
      <w:pPr>
        <w:spacing w:before="160" w:after="40"/>
        <w:pBdr>
          <w:left w:val="single" w:sz="18" w:space="12" w:color="1F3A5F"/>
        </w:pBdr>
      </w:pPr>
      <w:r>
        <w:rPr>
          <w:rFonts w:ascii="IBM Plex Sans" w:hAnsi="IBM Plex Sans" w:cs="IBM Plex Sans"/>
          <w:b/>
          <w:color w:val="1F3A5F"/>
          <w:sz w:val="16"/>
        </w:rPr>
        <w:t>DISTINCIÓN</w:t>
      </w:r>
    </w:p>
    <w:p>
      <w:pPr>
        <w:spacing w:after="120" w:line="312" w:lineRule="auto"/>
        <w:pBdr>
          <w:left w:val="single" w:sz="18" w:space="12" w:color="1F3A5F"/>
        </w:pBdr>
      </w:pPr>
      <w:r>
        <w:rPr>
          <w:rFonts w:ascii="Newsreader" w:hAnsi="Newsreader" w:cs="Newsreader"/>
          <w:b w:val="0"/>
          <w:i/>
          <w:color w:val="3A352F"/>
        </w:rPr>
        <w:t>La pista de agencia que el usuario vidente percibe en el movimiento no existe sin la vista. Por eso, en delegate, la autoría no se muestra: se enuncia.</w:t>
      </w:r>
    </w:p>
    <w:p>
      <w:pPr>
        <w:spacing w:after="120" w:line="320" w:lineRule="auto"/>
        <w:jc w:val="both"/>
      </w:pPr>
      <w:r>
        <w:rPr>
          <w:rFonts w:ascii="Newsreader" w:hAnsi="Newsreader" w:cs="Newsreader"/>
          <w:b w:val="0"/>
          <w:i w:val="0"/>
          <w:color w:val="161412"/>
        </w:rPr>
        <w:t>Esto convierte las cuatro preguntas de delegate en cuatro exigencias concretas.</w:t>
      </w:r>
    </w:p>
    <w:p>
      <w:pPr>
        <w:spacing w:after="120" w:line="320" w:lineRule="auto"/>
        <w:jc w:val="both"/>
      </w:pPr>
      <w:r>
        <w:rPr>
          <w:rFonts w:ascii="Newsreader" w:hAnsi="Newsreader" w:cs="Newsreader"/>
          <w:b/>
          <w:i w:val="0"/>
          <w:color w:val="161412"/>
        </w:rPr>
        <w:t>Autoría.</w:t>
      </w:r>
      <w:r>
        <w:rPr>
          <w:rFonts w:ascii="Newsreader" w:hAnsi="Newsreader" w:cs="Newsreader"/>
          <w:b w:val="0"/>
          <w:i w:val="0"/>
          <w:color w:val="161412"/>
        </w:rPr>
        <w:t xml:space="preserve"> Que el sistema ha actuado debe anunciarse, no quedar confiado a un icono o a un color. Para quien navega sin ver, un cambio de estado no atribuido es aún más desorientador: algo cambió en el documento y nada dice que no fue él. La atribución viaja en el texto accesible del evento, no en su apariencia.</w:t>
      </w:r>
    </w:p>
    <w:p>
      <w:pPr>
        <w:spacing w:after="120" w:line="320" w:lineRule="auto"/>
        <w:jc w:val="both"/>
      </w:pPr>
      <w:r>
        <w:rPr>
          <w:rFonts w:ascii="Newsreader" w:hAnsi="Newsreader" w:cs="Newsreader"/>
          <w:b/>
          <w:i w:val="0"/>
          <w:color w:val="161412"/>
        </w:rPr>
        <w:t>Actividad.</w:t>
      </w:r>
      <w:r>
        <w:rPr>
          <w:rFonts w:ascii="Newsreader" w:hAnsi="Newsreader" w:cs="Newsreader"/>
          <w:b w:val="0"/>
          <w:i w:val="0"/>
          <w:color w:val="161412"/>
        </w:rPr>
        <w:t xml:space="preserve"> Que el sistema está actuando ahora se comunica mediante regiones activas, pero dosificadas: el antipatrón del anuncio incesante de sustain se aplica igual aquí. Se anuncia el inicio, los hitos relevantes y el cierre; no cada microestado.</w:t>
      </w:r>
    </w:p>
    <w:p>
      <w:pPr>
        <w:spacing w:after="120" w:line="320" w:lineRule="auto"/>
        <w:jc w:val="both"/>
      </w:pPr>
      <w:r>
        <w:rPr>
          <w:rFonts w:ascii="Newsreader" w:hAnsi="Newsreader" w:cs="Newsreader"/>
          <w:b/>
          <w:i w:val="0"/>
          <w:color w:val="161412"/>
        </w:rPr>
        <w:t>Alcance.</w:t>
      </w:r>
      <w:r>
        <w:rPr>
          <w:rFonts w:ascii="Newsreader" w:hAnsi="Newsreader" w:cs="Newsreader"/>
          <w:b w:val="0"/>
          <w:i w:val="0"/>
          <w:color w:val="161412"/>
        </w:rPr>
        <w:t xml:space="preserve"> El punto de autorización debe ser alcanzable y operable sin vista antes de que la acción se consume. Una acción que se ejecuta «salvo que la detengas» dentro de una ventana de tiempo solo captable visualmente no es autorización: es una trampa para quien no llega a verla. El alcance se enuncia y la decisión se ofrece como un control real, no como un plazo.</w:t>
      </w:r>
    </w:p>
    <w:p>
      <w:pPr>
        <w:spacing w:after="120" w:line="320" w:lineRule="auto"/>
        <w:jc w:val="both"/>
      </w:pPr>
      <w:r>
        <w:rPr>
          <w:rFonts w:ascii="Newsreader" w:hAnsi="Newsreader" w:cs="Newsreader"/>
          <w:b/>
          <w:i w:val="0"/>
          <w:color w:val="161412"/>
        </w:rPr>
        <w:t>Resultado y reversibilidad.</w:t>
      </w:r>
      <w:r>
        <w:rPr>
          <w:rFonts w:ascii="Newsreader" w:hAnsi="Newsreader" w:cs="Newsreader"/>
          <w:b w:val="0"/>
          <w:i w:val="0"/>
          <w:color w:val="161412"/>
        </w:rPr>
        <w:t xml:space="preserve"> El rastro revisable y el deshacer deben sobrevivir y ser alcanzables sin vista. Aquí el argumento de la confianza se duplica: si para el usuario vidente el registro es lo que le permite recuperar el control cuando ha dejado de vigilar, para el usuario no visual ese registro es, a menudo, la única vía de acceso a lo que ocurrió. No puede depender de una notificación efímera.</w:t>
      </w:r>
    </w:p>
    <w:p>
      <w:pPr>
        <w:spacing w:after="120" w:line="320" w:lineRule="auto"/>
        <w:jc w:val="both"/>
      </w:pPr>
      <w:r>
        <w:rPr>
          <w:rFonts w:ascii="Newsreader" w:hAnsi="Newsreader" w:cs="Newsreader"/>
          <w:b w:val="0"/>
          <w:i w:val="0"/>
          <w:color w:val="161412"/>
        </w:rPr>
        <w:t>Hay además una dimensión cognitiva. delegate toca control y responsabilidad, y la automatización sin alcance claro es, en sí misma, una barrera: abruma y arrebata la sensación de control. Por eso delegate.escalate —el momento en que el sistema devuelve la decisión a la persona— tiene que ser perceptible y no quedar enterrado: pedir intervención humana solo sirve si la petición se percibe.</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En delegate, accesibilidad y legibilidad de la autoría son el mismo problema: hacer que quien no ve la pantalla sepa, en todo momento, quién acaba de actuar y qué puede hacer al respecto.</w:t>
      </w:r>
    </w:p>
    <w:p>
      <w:pPr>
        <w:spacing w:before="320" w:after="40"/>
      </w:pPr>
      <w:r>
        <w:rPr>
          <w:rFonts w:ascii="IBM Plex Sans" w:hAnsi="IBM Plex Sans" w:cs="IBM Plex Sans"/>
          <w:b/>
          <w:color w:val="1F3A5F"/>
          <w:sz w:val="18"/>
        </w:rPr>
        <w:t>§ 11</w:t>
      </w:r>
    </w:p>
    <w:p>
      <w:pPr>
        <w:spacing w:after="160" w:line="240" w:lineRule="auto"/>
      </w:pPr>
      <w:r>
        <w:rPr>
          <w:rFonts w:ascii="Newsreader" w:hAnsi="Newsreader" w:cs="Newsreader"/>
          <w:color w:val="161412"/>
          <w:sz w:val="38"/>
        </w:rPr>
        <w:t>El agente que interpreta: una frontera</w:t>
      </w:r>
    </w:p>
    <w:p>
      <w:pPr>
        <w:spacing w:after="120" w:line="320" w:lineRule="auto"/>
        <w:jc w:val="both"/>
      </w:pPr>
      <w:r>
        <w:rPr>
          <w:rFonts w:ascii="Newsreader" w:hAnsi="Newsreader" w:cs="Newsreader"/>
          <w:b w:val="0"/>
          <w:i w:val="0"/>
          <w:color w:val="161412"/>
        </w:rPr>
        <w:t xml:space="preserve">El fundamento de esta familia dejó planteada una pregunta —no solo «¿quién actúa?», sino «¿por cuenta de quién?»—. Una acción delegada tiene una dirección: el agente puede actuar por cuenta del sistema —una fila que se reordena sola— o por cuenta del usuario —un asistente que rellena un formulario en su nombre—. «El sistema hizo algo sobre mi espacio» y «mi agente hizo algo por mí» son atribuciones distintas, y delegate debe hacer perceptible de qué lado viene la iniciativa. La tensión no es nueva. Pattie Maes defendió que la sobrecarga vuelve inevitable delegar en agentes que actúan por el usuario; Ben Shneiderman, la manipulación directa que mantiene al usuario en control. Eric Horvitz mostró que la oposición era falsa: en la iniciativa mixta, usuario y agente negocian quién actúa en cada momento. La dirección de la acción es, precisamente, lo que esa negociación reparte.</w:t>
      </w:r>
    </w:p>
    <w:p>
      <w:pPr>
        <w:spacing w:after="120" w:line="320" w:lineRule="auto"/>
        <w:jc w:val="both"/>
      </w:pPr>
      <w:r>
        <w:rPr>
          <w:rFonts w:ascii="Newsreader" w:hAnsi="Newsreader" w:cs="Newsreader"/>
          <w:b w:val="0"/>
          <w:i w:val="0"/>
          <w:color w:val="161412"/>
        </w:rPr>
        <w:t xml:space="preserve">Hay un punto en que esa dirección se complica, y marca la frontera de este libro. Cuando el agente actúa por cuenta del usuario, a menudo no se limita a actuar: lee el contexto por él y selecciona qué merece volverse perceptible. Un agente que compra por ti recorre las tres posiciones de un tirón. Lee el catálogo y descarta la mayoría sin mostrarla. Decide y actúa. Y al presentar «esto es lo que te conviene» entrega una vista que ha construido, no la tienda tal cual. La selección final la gramática ya sabe describirla: hay un commit, puede haber delegate.act o delegate.review. Lo que las familias todavía no saben nombrar es el paso previo: el recorte del campo. No hay una familia para «esto que ves es un subconjunto que alguien eligió por ti».</w:t>
      </w:r>
    </w:p>
    <w:p>
      <w:pPr>
        <w:spacing w:after="120" w:line="320" w:lineRule="auto"/>
        <w:jc w:val="both"/>
      </w:pPr>
      <w:r>
        <w:rPr>
          <w:rFonts w:ascii="Newsreader" w:hAnsi="Newsreader" w:cs="Newsreader"/>
          <w:b w:val="0"/>
          <w:i w:val="0"/>
          <w:color w:val="161412"/>
        </w:rPr>
        <w:t xml:space="preserve">Y ahí aparece lo más difícil de hacer legible: lo que el agente descarta no se ve. La omisión es invisible por definición — un producto más barato que encajaba, una marca no considerada, un sesgo en «acorde a tus gustos». No es una hipótesis. Eli Pariser lo describió en 2011 como la burbuja de filtro: la personalización aísla al usuario de lo que no encaja con su perfil, y sin mecanismos transparentes. Y los estudios de Motahhare Eslami y Karrie Karahalios sobre los muros de noticias encontraron algo aún más revelador: la mayoría de los usuarios ni siquiera sabía que había una curación operando.</w:t>
      </w:r>
    </w:p>
    <w:p>
      <w:pPr>
        <w:spacing w:after="120" w:line="320" w:lineRule="auto"/>
        <w:jc w:val="both"/>
      </w:pPr>
      <w:r>
        <w:rPr>
          <w:rFonts w:ascii="Newsreader" w:hAnsi="Newsreader" w:cs="Newsreader"/>
          <w:b w:val="0"/>
          <w:i w:val="0"/>
          <w:color w:val="161412"/>
        </w:rPr>
        <w:t xml:space="preserve">Frente a esto, una línea de la investigación ofrece una dirección de diseño, y este libro la suscribe. Es lo que Mark Weiser llamó diseño con costuras —seamful, frente a seamless—: en lugar de ocultar las junturas del sistema, mostrarlas. Esconderlas deja al usuario incapaz de corregir los fallos de la máquina. Matthew Chalmers lo formuló para los sistemas ubicuos. Eslami demostró que exponer el razonamiento del algoritmo mejora la comprensión y a veces cambia la conducta. Y Nava Tintarev y Judith Masthoff nombraron la propiedad que aquí importa, la escrutabilidad: que el usuario pueda decirle al sistema que se ha equivocado. Trasladado a delegate, esto da un principio.</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El filtrado debe ser legible y reversible. Cuando un agente recorta el campo por el usuario, la interfaz debe hacer perceptible que hubo recorte y permitir ver lo que quedó fuera.</w:t>
      </w:r>
    </w:p>
    <w:p>
      <w:pPr>
        <w:spacing w:before="200" w:after="60"/>
        <w:jc w:val="center"/>
      </w:pPr>
      <w:r>
        <w:drawing>
          <wp:inline xmlns:a="http://schemas.openxmlformats.org/drawingml/2006/main" xmlns:pic="http://schemas.openxmlformats.org/drawingml/2006/picture">
            <wp:extent cx="5029200" cy="2794349"/>
            <wp:docPr id="68" name="Picture 68"/>
            <wp:cNvGraphicFramePr>
              <a:graphicFrameLocks noChangeAspect="1"/>
            </wp:cNvGraphicFramePr>
            <a:graphic>
              <a:graphicData uri="http://schemas.openxmlformats.org/drawingml/2006/picture">
                <pic:pic>
                  <pic:nvPicPr>
                    <pic:cNvPr id="0" name="figura-29-4.png"/>
                    <pic:cNvPicPr/>
                  </pic:nvPicPr>
                  <pic:blipFill>
                    <a:blip r:embed="rId76"/>
                    <a:stretch>
                      <a:fillRect/>
                    </a:stretch>
                  </pic:blipFill>
                  <pic:spPr>
                    <a:xfrm>
                      <a:off x="0" y="0"/>
                      <a:ext cx="5029200" cy="2794349"/>
                    </a:xfrm>
                    <a:prstGeom prst="rect"/>
                  </pic:spPr>
                </pic:pic>
              </a:graphicData>
            </a:graphic>
          </wp:inline>
        </w:drawing>
      </w:r>
    </w:p>
    <w:p>
      <w:pPr>
        <w:spacing w:after="120" w:line="320" w:lineRule="auto"/>
        <w:jc w:val="both"/>
      </w:pPr>
      <w:r>
        <w:rPr>
          <w:rFonts w:ascii="Newsreader" w:hAnsi="Newsreader" w:cs="Newsreader"/>
          <w:b w:val="0"/>
          <w:i w:val="0"/>
          <w:color w:val="161412"/>
        </w:rPr>
        <w:t xml:space="preserve">Queda una pregunta que este libro no puede cerrar todavía, y prefiere dejarla abierta antes que fingir que la resuelve. Una omisión, ¿tiene intent? ¿Qué tono porta un evento que no aparece, algo que el agente decidió no mostrar? La investigación se ha acercado por dos lados sin llegar del todo. Bilgic y Mooney distinguieron en 2005 entre explicaciones que informan y explicaciones que promueven — el intent de la omisión en embrión, tratado como problema de honestidad, no de percepción. Y el trabajo sobre seamful XAI de Upol Ehsan y sus colaboradores introdujo la pregunta del «por qué no» como vía hacia la contestabilidad. Pero ninguno trata la omisión como un evento que el usuario deba percibir, con su propio tono. Esa es la frontera que esta gramática alcanza y no cruza: nombrar la omisión como evento es posible; asignarle un intent estable, todavía no.</w:t>
      </w:r>
    </w:p>
    <w:p>
      <w:pPr>
        <w:spacing w:after="120" w:line="320" w:lineRule="auto"/>
        <w:jc w:val="both"/>
      </w:pPr>
      <w:r>
        <w:rPr>
          <w:rFonts w:ascii="Newsreader" w:hAnsi="Newsreader" w:cs="Newsreader"/>
          <w:b w:val="0"/>
          <w:i w:val="0"/>
          <w:color w:val="161412"/>
        </w:rPr>
        <w:t xml:space="preserve">Vale la pena decirlo sin rodeos: el intérprete da para mucho más de lo que cabe en una sección. Filtrado, personalización, curación, explicabilidad: un campo entero al que aquí solo nos asomamos para marcar dónde termina el actor. Tratarlo a fondo pediría su propia gramática — la de la omisión. Queda como semilla declarada, no como deuda saldada.</w:t>
      </w:r>
    </w:p>
    <w:p>
      <w:pPr>
        <w:spacing w:before="320" w:after="40"/>
      </w:pPr>
      <w:r>
        <w:rPr>
          <w:rFonts w:ascii="IBM Plex Sans" w:hAnsi="IBM Plex Sans" w:cs="IBM Plex Sans"/>
          <w:b/>
          <w:color w:val="1F3A5F"/>
          <w:sz w:val="18"/>
        </w:rPr>
        <w:t>§ 12</w:t>
      </w:r>
    </w:p>
    <w:p>
      <w:pPr>
        <w:spacing w:after="160" w:line="240" w:lineRule="auto"/>
      </w:pPr>
      <w:r>
        <w:rPr>
          <w:rFonts w:ascii="Newsreader" w:hAnsi="Newsreader" w:cs="Newsreader"/>
          <w:color w:val="161412"/>
          <w:sz w:val="38"/>
        </w:rPr>
        <w:t>Resumen operativo</w:t>
      </w:r>
    </w:p>
    <w:p>
      <w:pPr>
        <w:spacing w:after="120" w:line="320" w:lineRule="auto"/>
        <w:jc w:val="both"/>
      </w:pPr>
      <w:r>
        <w:rPr>
          <w:rFonts w:ascii="Newsreader" w:hAnsi="Newsreader" w:cs="Newsreader"/>
          <w:b w:val="0"/>
          <w:i w:val="0"/>
          <w:color w:val="161412"/>
        </w:rPr>
        <w:t>Qué es: delegate nombra los eventos donde cambia quién lleva la iniciativa o quién ejecuta parte de la acción.</w:t>
      </w:r>
    </w:p>
    <w:p>
      <w:pPr>
        <w:spacing w:after="120" w:line="320" w:lineRule="auto"/>
        <w:jc w:val="both"/>
      </w:pPr>
      <w:r>
        <w:rPr>
          <w:rFonts w:ascii="Newsreader" w:hAnsi="Newsreader" w:cs="Newsreader"/>
          <w:b w:val="0"/>
          <w:i w:val="0"/>
          <w:color w:val="161412"/>
        </w:rPr>
        <w:t>Qué no es: no es IA, no es proceso, no es señal y no es resultado.</w:t>
      </w:r>
    </w:p>
    <w:p>
      <w:pPr>
        <w:spacing w:after="120" w:line="320" w:lineRule="auto"/>
        <w:jc w:val="both"/>
      </w:pPr>
      <w:r>
        <w:rPr>
          <w:rFonts w:ascii="Newsreader" w:hAnsi="Newsreader" w:cs="Newsreader"/>
          <w:b w:val="0"/>
          <w:i w:val="0"/>
          <w:color w:val="161412"/>
        </w:rPr>
        <w:t>Para qué sirve: sirve para que el usuario entienda si actúa él, el sistema o ambos, y bajo qué autorización.</w:t>
      </w:r>
    </w:p>
    <w:p>
      <w:pPr>
        <w:spacing w:after="120" w:line="320" w:lineRule="auto"/>
        <w:jc w:val="both"/>
      </w:pPr>
      <w:r>
        <w:rPr>
          <w:rFonts w:ascii="Newsreader" w:hAnsi="Newsreader" w:cs="Newsreader"/>
          <w:b w:val="0"/>
          <w:i w:val="0"/>
          <w:color w:val="161412"/>
        </w:rPr>
        <w:t>Regla de uso: usa delegate cuando el problema principal sea quién actúa, no simplemente qué se muestra o qué resultado se produjo.</w:t>
      </w:r>
    </w:p>
    <w:p>
      <w:pPr>
        <w:spacing w:before="320" w:after="40"/>
      </w:pPr>
    </w:p>
    <w:p>
      <w:pPr>
        <w:spacing w:before="320" w:after="40"/>
      </w:pPr>
      <w:r>
        <w:rPr>
          <w:rFonts w:ascii="IBM Plex Sans" w:hAnsi="IBM Plex Sans" w:cs="IBM Plex Sans"/>
          <w:b/>
          <w:color w:val="1F3A5F"/>
          <w:sz w:val="18"/>
        </w:rPr>
        <w:t xml:space="preserve">§ 13</w:t>
      </w:r>
    </w:p>
    <w:p>
      <w:pPr>
        <w:spacing w:after="160" w:line="240" w:lineRule="auto"/>
      </w:pPr>
      <w:r>
        <w:rPr>
          <w:rFonts w:ascii="Newsreader" w:hAnsi="Newsreader" w:cs="Newsreader"/>
          <w:color w:val="161412"/>
          <w:sz w:val="38"/>
        </w:rPr>
        <w:t>Síntesis</w:t>
      </w:r>
    </w:p>
    <w:p>
      <w:pPr>
        <w:spacing w:after="120" w:line="320" w:lineRule="auto"/>
        <w:jc w:val="both"/>
      </w:pPr>
      <w:r>
        <w:rPr>
          <w:rFonts w:ascii="Newsreader" w:hAnsi="Newsreader" w:cs="Newsreader"/>
          <w:b w:val="0"/>
          <w:i w:val="0"/>
          <w:color w:val="161412"/>
        </w:rPr>
        <w:t>delegate completa el sistema de familias al cubrir una región cada vez más importante: el reparto de acción entre usuario y sistema.</w:t>
      </w:r>
    </w:p>
    <w:p>
      <w:pPr>
        <w:spacing w:after="120" w:line="320" w:lineRule="auto"/>
        <w:jc w:val="both"/>
      </w:pPr>
      <w:r>
        <w:rPr>
          <w:rFonts w:ascii="Newsreader" w:hAnsi="Newsreader" w:cs="Newsreader"/>
          <w:b w:val="0"/>
          <w:i w:val="0"/>
          <w:color w:val="161412"/>
        </w:rPr>
        <w:t>No aparece porque la IA esté de moda. Aparece porque muchas interfaces ya no solo esperan órdenes; también sugieren, planifican, ejecutan, escalan o devuelven control.</w:t>
      </w:r>
    </w:p>
    <w:p>
      <w:pPr>
        <w:spacing w:after="120" w:line="320" w:lineRule="auto"/>
        <w:jc w:val="both"/>
      </w:pPr>
      <w:r>
        <w:rPr>
          <w:rFonts w:ascii="Newsreader" w:hAnsi="Newsreader" w:cs="Newsreader"/>
          <w:b w:val="0"/>
          <w:i w:val="0"/>
          <w:color w:val="161412"/>
        </w:rPr>
        <w:t>La gramática necesita hacer visible ese reparto.</w:t>
      </w:r>
    </w:p>
    <w:p>
      <w:pPr>
        <w:spacing w:before="240" w:after="100"/>
      </w:pPr>
      <w:r>
        <w:rPr>
          <w:rFonts w:ascii="Newsreader" w:hAnsi="Newsreader" w:cs="Newsreader"/>
          <w:i/>
          <w:color w:val="1F3A5F"/>
          <w:sz w:val="28"/>
        </w:rPr>
        <w:t xml:space="preserve">Cierre de la Parte III</w:t>
      </w:r>
    </w:p>
    <w:p>
      <w:pPr>
        <w:spacing w:after="120" w:line="320" w:lineRule="auto"/>
        <w:jc w:val="both"/>
      </w:pPr>
      <w:r>
        <w:rPr>
          <w:rFonts w:ascii="Newsreader" w:hAnsi="Newsreader" w:cs="Newsreader"/>
          <w:b w:val="0"/>
          <w:i w:val="0"/>
          <w:color w:val="161412"/>
        </w:rPr>
        <w:t xml:space="preserve">Con este capítulo se cierra la Parte III. Las ocho familias han quedado descritas una a una: qué pregunta perceptiva responde cada una, con qué verbos y canales se expresa, dónde están sus fronteras y cuáles son sus antipatrones capitales. El recorrido termina con delegate, la familia que la era de los agentes vuelve urgente: la que hace legible quién actúa.</w:t>
      </w:r>
    </w:p>
    <w:p>
      <w:pPr>
        <w:spacing w:after="120" w:line="320" w:lineRule="auto"/>
        <w:jc w:val="both"/>
      </w:pPr>
      <w:r>
        <w:rPr>
          <w:rFonts w:ascii="Newsreader" w:hAnsi="Newsreader" w:cs="Newsreader"/>
          <w:b w:val="0"/>
          <w:i w:val="0"/>
          <w:color w:val="161412"/>
        </w:rPr>
        <w:t xml:space="preserve">Conocer las familias por separado no basta. Una interfaz real las compone: encadena contact con sustain, resuelve en commit, interrumpe con signal. La Parte IV convierte la gramática en herramienta: composición, matrices, rangos, accesibilidad aplicada, antipatrones, validación y, finalmente, sistema.</w:t>
      </w:r>
    </w:p>
    <w:p>
      <w:r>
        <w:br w:type="page"/>
      </w:r>
    </w:p>
    <w:p>
      <w:pPr>
        <w:spacing w:before="1800" w:after="120"/>
      </w:pPr>
      <w:r>
        <w:rPr>
          <w:rFonts w:ascii="IBM Plex Sans" w:hAnsi="IBM Plex Sans" w:cs="IBM Plex Sans"/>
          <w:b/>
          <w:color w:val="1F3A5F"/>
          <w:sz w:val="18"/>
        </w:rPr>
        <w:t xml:space="preserve">PARTE IV</w:t>
      </w:r>
    </w:p>
    <w:p>
      <w:pPr>
        <w:spacing w:after="80" w:line="240" w:lineRule="auto"/>
      </w:pPr>
      <w:r>
        <w:rPr>
          <w:rFonts w:ascii="IBM Plex Sans" w:hAnsi="IBM Plex Sans" w:cs="IBM Plex Sans"/>
          <w:color w:val="1F3A5F"/>
          <w:sz w:val="220"/>
        </w:rPr>
        <w:t>IV</w:t>
      </w:r>
    </w:p>
    <w:p>
      <w:pPr>
        <w:spacing w:after="60" w:line="240" w:lineRule="auto"/>
      </w:pPr>
      <w:r>
        <w:rPr>
          <w:rFonts w:ascii="Newsreader" w:hAnsi="Newsreader" w:cs="Newsreader"/>
          <w:color w:val="161412"/>
          <w:sz w:val="72"/>
        </w:rPr>
        <w:t>Sistema</w:t>
      </w:r>
    </w:p>
    <w:p>
      <w:pPr>
        <w:spacing w:after="200"/>
      </w:pPr>
      <w:r>
        <w:rPr>
          <w:rFonts w:ascii="Newsreader" w:hAnsi="Newsreader" w:cs="Newsreader"/>
          <w:i/>
          <w:color w:val="6A635A"/>
          <w:sz w:val="30"/>
        </w:rPr>
        <w:t>System</w:t>
      </w:r>
    </w:p>
    <w:p>
      <w:pPr>
        <w:spacing w:after="120" w:line="320" w:lineRule="auto"/>
      </w:pPr>
      <w:r>
        <w:rPr>
          <w:rFonts w:ascii="Newsreader" w:hAnsi="Newsreader" w:cs="Newsreader"/>
          <w:color w:val="161412"/>
          <w:sz w:val="26"/>
        </w:rPr>
        <w:t>De la gramática a la práctica: composición, matrices, rangos, accesibilidad aplicada, antipatrones, validación y sistema de diseño.</w:t>
      </w:r>
    </w:p>
    <w:p>
      <w:r>
        <w:br w:type="page"/>
      </w:r>
    </w:p>
    <w:p>
      <w:pPr>
        <w:spacing w:after="40"/>
      </w:pPr>
      <w:r>
        <w:rPr>
          <w:rFonts w:ascii="IBM Plex Sans" w:hAnsi="IBM Plex Sans" w:cs="IBM Plex Sans"/>
          <w:b/>
          <w:color w:val="1F3A5F"/>
          <w:sz w:val="18"/>
        </w:rPr>
        <w:t>CAPÍTULO 30</w:t>
      </w:r>
    </w:p>
    <w:p>
      <w:pPr>
        <w:spacing w:after="80" w:line="240" w:lineRule="auto"/>
      </w:pPr>
      <w:r>
        <w:rPr>
          <w:rFonts w:ascii="IBM Plex Sans" w:hAnsi="IBM Plex Sans" w:cs="IBM Plex Sans"/>
          <w:color w:val="161412"/>
          <w:sz w:val="220"/>
        </w:rPr>
        <w:t>30</w:t>
      </w:r>
    </w:p>
    <w:p>
      <w:pPr>
        <w:spacing w:after="60" w:line="240" w:lineRule="auto"/>
      </w:pPr>
      <w:r>
        <w:rPr>
          <w:rFonts w:ascii="Newsreader" w:hAnsi="Newsreader" w:cs="Newsreader"/>
          <w:color w:val="161412"/>
          <w:sz w:val="60"/>
        </w:rPr>
        <w:t>Composición de eventos semánticos</w:t>
      </w:r>
    </w:p>
    <w:p>
      <w:pPr>
        <w:spacing w:after="280"/>
      </w:pPr>
      <w:r>
        <w:rPr>
          <w:rFonts w:ascii="IBM Plex Sans" w:hAnsi="IBM Plex Sans" w:cs="IBM Plex Sans"/>
          <w:color w:val="6A635A"/>
          <w:sz w:val="26"/>
        </w:rPr>
        <w:t>Secuencias, reglas y solapamientos</w:t>
      </w:r>
    </w:p>
    <w:p>
      <w:pPr>
        <w:pBdr>
          <w:bottom w:val="single" w:sz="4" w:space="4" w:color="1F3A5F"/>
        </w:pBdr>
      </w:pPr>
    </w:p>
    <w:p>
      <w:pPr>
        <w:spacing w:after="120" w:line="320" w:lineRule="auto"/>
        <w:jc w:val="both"/>
      </w:pPr>
      <w:r>
        <w:rPr>
          <w:rFonts w:ascii="Newsreader" w:hAnsi="Newsreader" w:cs="Newsreader"/>
          <w:b w:val="0"/>
          <w:i w:val="0"/>
          <w:color w:val="161412"/>
        </w:rPr>
        <w:t xml:space="preserve">Hasta ahora hemos separado. Hemos separado las familias semánticas —contact, commit, signal, handle, emerge, shift, sustain y delegate—, los intents —neutral, affirm, fulfill, risk, threat, loss— y los canales: tiempo, motion, presencia, profundidad, forma, color, sonido y háptica. Esa separación era necesaria: sin ella todo se mezcla, y un click parece éxito, un modal parece amenaza, un spinner parece error, una desaparición parece pérdida.</w:t>
      </w:r>
    </w:p>
    <w:p>
      <w:pPr>
        <w:spacing w:after="120" w:line="320" w:lineRule="auto"/>
        <w:jc w:val="both"/>
      </w:pPr>
      <w:r>
        <w:rPr>
          <w:rFonts w:ascii="Newsreader" w:hAnsi="Newsreader" w:cs="Newsreader"/>
          <w:b w:val="0"/>
          <w:i w:val="0"/>
          <w:color w:val="161412"/>
        </w:rPr>
        <w:t xml:space="preserve">Pero una interfaz real no ocurre por piezas aisladas. El usuario no vive una familia semántica cada vez: vive flujos. Pulsa, espera, recibe una señal, corrige, confirma; el sistema procesa, algo queda fijado, algo se pierde, algo aparece como reparación, algo cambia de marco. Una interacción real suele ser una composición temporal de eventos semánticos, y la pregunta de este capítulo es cómo se construye esa composición sin perder claridad.</w:t>
      </w: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¿Cómo se combinan las familias semánticas sin que la interfaz pierda claridad?</w:t>
      </w:r>
    </w:p>
    <w:p>
      <w:pPr>
        <w:spacing w:before="200" w:after="60"/>
        <w:jc w:val="center"/>
      </w:pPr>
      <w:r>
        <w:drawing>
          <wp:inline xmlns:a="http://schemas.openxmlformats.org/drawingml/2006/main" xmlns:pic="http://schemas.openxmlformats.org/drawingml/2006/picture">
            <wp:extent cx="5029200" cy="2514600"/>
            <wp:docPr id="69" name="Picture 69"/>
            <wp:cNvGraphicFramePr>
              <a:graphicFrameLocks noChangeAspect="1"/>
            </wp:cNvGraphicFramePr>
            <a:graphic>
              <a:graphicData uri="http://schemas.openxmlformats.org/drawingml/2006/picture">
                <pic:pic>
                  <pic:nvPicPr>
                    <pic:cNvPr id="0" name="figura-30-1.png"/>
                    <pic:cNvPicPr/>
                  </pic:nvPicPr>
                  <pic:blipFill>
                    <a:blip r:embed="rId77"/>
                    <a:stretch>
                      <a:fillRect/>
                    </a:stretch>
                  </pic:blipFill>
                  <pic:spPr>
                    <a:xfrm>
                      <a:off x="0" y="0"/>
                      <a:ext cx="5029200" cy="2514600"/>
                    </a:xfrm>
                    <a:prstGeom prst="rect"/>
                  </pic:spPr>
                </pic:pic>
              </a:graphicData>
            </a:graphic>
          </wp:inline>
        </w:drawing>
      </w:r>
    </w:p>
    <w:p>
      <w:pPr>
        <w:spacing w:before="320" w:after="40"/>
      </w:pPr>
      <w:r>
        <w:rPr>
          <w:rFonts w:ascii="IBM Plex Sans" w:hAnsi="IBM Plex Sans" w:cs="IBM Plex Sans"/>
          <w:b/>
          <w:color w:val="1F3A5F"/>
          <w:sz w:val="18"/>
        </w:rPr>
        <w:t xml:space="preserve">§ 1</w:t>
      </w:r>
    </w:p>
    <w:p>
      <w:pPr>
        <w:spacing w:after="160" w:line="240" w:lineRule="auto"/>
      </w:pPr>
      <w:r>
        <w:rPr>
          <w:rFonts w:ascii="Newsreader" w:hAnsi="Newsreader" w:cs="Newsreader"/>
          <w:color w:val="161412"/>
          <w:sz w:val="38"/>
        </w:rPr>
        <w:t xml:space="preserve">Por qué necesitamos composición</w:t>
      </w:r>
    </w:p>
    <w:p>
      <w:pPr>
        <w:spacing w:after="120" w:line="320" w:lineRule="auto"/>
        <w:jc w:val="both"/>
      </w:pPr>
      <w:r>
        <w:rPr>
          <w:rFonts w:ascii="Newsreader" w:hAnsi="Newsreader" w:cs="Newsreader"/>
          <w:b w:val="0"/>
          <w:i w:val="0"/>
          <w:color w:val="161412"/>
        </w:rPr>
        <w:t xml:space="preserve">Una familia semántica aislada explica un tipo de evento, pero una operación de interfaz casi nunca es un solo evento. Guardar no es solo commit.save; eliminar no es solo commit.delete; arrastrar no es solo handle.carry; abrir un modal no es solo shift.enter-mode. Cada operación contiene fases. Guardar un documento remoto, por ejemplo, puede componerse así:</w:t>
      </w:r>
    </w:p>
    <w:p>
      <w:pPr>
        <w:spacing w:after="120" w:line="320" w:lineRule="auto"/>
        <w:jc w:val="both"/>
      </w:pPr>
      <w:r>
        <w:rPr>
          <w:rFonts w:ascii="Newsreader" w:hAnsi="Newsreader" w:cs="Newsreader"/>
          <w:b w:val="0"/>
          <w:i/>
          <w:color w:val="161412"/>
        </w:rPr>
        <w:t xml:space="preserve">contact.press → sustain.progress → commit.save + affirm</w:t>
      </w:r>
    </w:p>
    <w:p>
      <w:pPr>
        <w:spacing w:after="120" w:line="320" w:lineRule="auto"/>
        <w:jc w:val="both"/>
      </w:pPr>
      <w:r>
        <w:rPr>
          <w:rFonts w:ascii="Newsreader" w:hAnsi="Newsreader" w:cs="Newsreader"/>
          <w:b w:val="0"/>
          <w:i w:val="0"/>
          <w:color w:val="161412"/>
        </w:rPr>
        <w:t xml:space="preserve">La pulsación fue recibida, el sistema trabajó, el resultado quedó guardado. Si omitimos contact, el usuario duda de si actuó; si omitimos sustain, la espera parece bloqueo; si omitimos commit, no hay cierre. La operación no se entiende por un único efecto, sino por la relación entre eventos.</w:t>
      </w:r>
    </w:p>
    <w:p>
      <w:pPr>
        <w:spacing w:before="160" w:after="40"/>
        <w:pBdr>
          <w:left w:val="single" w:sz="18" w:space="12" w:color="1F3A5F"/>
        </w:pBdr>
      </w:pPr>
      <w:r>
        <w:rPr>
          <w:rFonts w:ascii="IBM Plex Sans" w:hAnsi="IBM Plex Sans" w:cs="IBM Plex Sans"/>
          <w:b/>
          <w:color w:val="1F3A5F"/>
          <w:sz w:val="16"/>
        </w:rPr>
        <w:t xml:space="preserve">DISTINCIÓN</w:t>
      </w:r>
    </w:p>
    <w:p>
      <w:pPr>
        <w:spacing w:after="120" w:line="312" w:lineRule="auto"/>
        <w:pBdr>
          <w:left w:val="single" w:sz="18" w:space="12" w:color="1F3A5F"/>
        </w:pBdr>
      </w:pPr>
      <w:r>
        <w:rPr>
          <w:rFonts w:ascii="Newsreader" w:hAnsi="Newsreader" w:cs="Newsreader"/>
          <w:b w:val="0"/>
          <w:i/>
          <w:color w:val="3A352F"/>
        </w:rPr>
        <w:t xml:space="preserve">Una interacción real no es una familia aislada. Es una composición temporal de eventos.</w:t>
      </w:r>
    </w:p>
    <w:p>
      <w:pPr>
        <w:spacing w:before="320" w:after="40"/>
      </w:pPr>
      <w:r>
        <w:rPr>
          <w:rFonts w:ascii="IBM Plex Sans" w:hAnsi="IBM Plex Sans" w:cs="IBM Plex Sans"/>
          <w:b/>
          <w:color w:val="1F3A5F"/>
          <w:sz w:val="18"/>
        </w:rPr>
        <w:t xml:space="preserve">§ 2</w:t>
      </w:r>
    </w:p>
    <w:p>
      <w:pPr>
        <w:spacing w:after="160" w:line="240" w:lineRule="auto"/>
      </w:pPr>
      <w:r>
        <w:rPr>
          <w:rFonts w:ascii="Newsreader" w:hAnsi="Newsreader" w:cs="Newsreader"/>
          <w:color w:val="161412"/>
          <w:sz w:val="38"/>
        </w:rPr>
        <w:t xml:space="preserve">Secuencias básicas</w:t>
      </w:r>
    </w:p>
    <w:p>
      <w:pPr>
        <w:spacing w:after="120" w:line="320" w:lineRule="auto"/>
        <w:jc w:val="both"/>
      </w:pPr>
      <w:r>
        <w:rPr>
          <w:rFonts w:ascii="Newsreader" w:hAnsi="Newsreader" w:cs="Newsreader"/>
          <w:b w:val="0"/>
          <w:i w:val="0"/>
          <w:color w:val="161412"/>
        </w:rPr>
        <w:t xml:space="preserve">Algunas composiciones son tan frecuentes que conviene tenerlas como repertorio de partida.</w:t>
      </w:r>
    </w:p>
    <w:p>
      <w:pPr>
        <w:spacing w:before="240" w:after="100"/>
      </w:pPr>
      <w:r>
        <w:rPr>
          <w:rFonts w:ascii="Newsreader" w:hAnsi="Newsreader" w:cs="Newsreader"/>
          <w:i/>
          <w:color w:val="1F3A5F"/>
          <w:sz w:val="28"/>
        </w:rPr>
        <w:t xml:space="preserve">Acción inmediata con resultado simple</w:t>
      </w:r>
    </w:p>
    <w:p>
      <w:pPr>
        <w:spacing w:after="120" w:line="320" w:lineRule="auto"/>
        <w:jc w:val="both"/>
      </w:pPr>
      <w:r>
        <w:rPr>
          <w:rFonts w:ascii="Newsreader" w:hAnsi="Newsreader" w:cs="Newsreader"/>
          <w:b w:val="0"/>
          <w:i/>
          <w:color w:val="161412"/>
        </w:rPr>
        <w:t xml:space="preserve">contact.press → commit.toggle + affirm</w:t>
      </w:r>
    </w:p>
    <w:p>
      <w:pPr>
        <w:spacing w:after="120" w:line="320" w:lineRule="auto"/>
        <w:jc w:val="both"/>
      </w:pPr>
      <w:r>
        <w:rPr>
          <w:rFonts w:ascii="Newsreader" w:hAnsi="Newsreader" w:cs="Newsreader"/>
          <w:b w:val="0"/>
          <w:i w:val="0"/>
          <w:color w:val="161412"/>
        </w:rPr>
        <w:t xml:space="preserve">El usuario activa un switch y la lectura es doble y casi simultánea: «me ha sentido» y «el estado quedó aplicado». Cuando la operación es inmediata no hace falta sustain: introducir una espera visible donde no hay espera real solo añade ruido.</w:t>
      </w:r>
    </w:p>
    <w:p>
      <w:pPr>
        <w:spacing w:before="240" w:after="100"/>
      </w:pPr>
      <w:r>
        <w:rPr>
          <w:rFonts w:ascii="Newsreader" w:hAnsi="Newsreader" w:cs="Newsreader"/>
          <w:i/>
          <w:color w:val="1F3A5F"/>
          <w:sz w:val="28"/>
        </w:rPr>
        <w:t xml:space="preserve">Acción con proceso intermedio</w:t>
      </w:r>
    </w:p>
    <w:p>
      <w:pPr>
        <w:spacing w:after="120" w:line="320" w:lineRule="auto"/>
        <w:jc w:val="both"/>
      </w:pPr>
      <w:r>
        <w:rPr>
          <w:rFonts w:ascii="Newsreader" w:hAnsi="Newsreader" w:cs="Newsreader"/>
          <w:b w:val="0"/>
          <w:i/>
          <w:color w:val="161412"/>
        </w:rPr>
        <w:t xml:space="preserve">contact.press → sustain.progress → commit.save + affirm</w:t>
      </w:r>
    </w:p>
    <w:p>
      <w:pPr>
        <w:spacing w:after="120" w:line="320" w:lineRule="auto"/>
        <w:jc w:val="both"/>
      </w:pPr>
      <w:r>
        <w:rPr>
          <w:rFonts w:ascii="Newsreader" w:hAnsi="Newsreader" w:cs="Newsreader"/>
          <w:b w:val="0"/>
          <w:i w:val="0"/>
          <w:color w:val="161412"/>
        </w:rPr>
        <w:t xml:space="preserve">El usuario guarda cambios en un servidor. La lectura se despliega en tres tiempos: «me ha sentido», «sigue trabajando», «quedó guardado». Cada evento responde una duda distinta, y por eso ninguno puede sustituir a los otros.</w:t>
      </w:r>
    </w:p>
    <w:p>
      <w:pPr>
        <w:spacing w:before="240" w:after="100"/>
      </w:pPr>
      <w:r>
        <w:rPr>
          <w:rFonts w:ascii="Newsreader" w:hAnsi="Newsreader" w:cs="Newsreader"/>
          <w:i/>
          <w:color w:val="1F3A5F"/>
          <w:sz w:val="28"/>
        </w:rPr>
        <w:t xml:space="preserve">Acción con culminación</w:t>
      </w:r>
    </w:p>
    <w:p>
      <w:pPr>
        <w:spacing w:after="120" w:line="320" w:lineRule="auto"/>
        <w:jc w:val="both"/>
      </w:pPr>
      <w:r>
        <w:rPr>
          <w:rFonts w:ascii="Newsreader" w:hAnsi="Newsreader" w:cs="Newsreader"/>
          <w:b w:val="0"/>
          <w:i/>
          <w:color w:val="161412"/>
        </w:rPr>
        <w:t xml:space="preserve">contact.press → sustain.progress → commit.complete + fulfill</w:t>
      </w:r>
    </w:p>
    <w:p>
      <w:pPr>
        <w:spacing w:after="120" w:line="320" w:lineRule="auto"/>
        <w:jc w:val="both"/>
      </w:pPr>
      <w:r>
        <w:rPr>
          <w:rFonts w:ascii="Newsreader" w:hAnsi="Newsreader" w:cs="Newsreader"/>
          <w:b w:val="0"/>
          <w:i w:val="0"/>
          <w:color w:val="161412"/>
        </w:rPr>
        <w:t xml:space="preserve">El usuario exporta un vídeo, sube un archivo o completa un flujo importante. Aquí fulfill tiene más sentido que affirm, porque no se aplica simplemente un estado: se resuelve una tensión que venía acumulándose durante la espera.</w:t>
      </w:r>
    </w:p>
    <w:p>
      <w:pPr>
        <w:spacing w:before="240" w:after="100"/>
      </w:pPr>
      <w:r>
        <w:rPr>
          <w:rFonts w:ascii="Newsreader" w:hAnsi="Newsreader" w:cs="Newsreader"/>
          <w:i/>
          <w:color w:val="1F3A5F"/>
          <w:sz w:val="28"/>
        </w:rPr>
        <w:t xml:space="preserve">Acción destructiva con advertencia</w:t>
      </w:r>
    </w:p>
    <w:p>
      <w:pPr>
        <w:spacing w:after="120" w:line="320" w:lineRule="auto"/>
        <w:jc w:val="both"/>
      </w:pPr>
      <w:r>
        <w:rPr>
          <w:rFonts w:ascii="Newsreader" w:hAnsi="Newsreader" w:cs="Newsreader"/>
          <w:b w:val="0"/>
          <w:i/>
          <w:color w:val="161412"/>
        </w:rPr>
        <w:t xml:space="preserve">contact.press → signal.warn + threat → commit.delete + loss</w:t>
      </w:r>
    </w:p>
    <w:p>
      <w:pPr>
        <w:spacing w:after="120" w:line="320" w:lineRule="auto"/>
        <w:jc w:val="both"/>
      </w:pPr>
      <w:r>
        <w:rPr>
          <w:rFonts w:ascii="Newsreader" w:hAnsi="Newsreader" w:cs="Newsreader"/>
          <w:b w:val="0"/>
          <w:i w:val="0"/>
          <w:color w:val="161412"/>
        </w:rPr>
        <w:t xml:space="preserve">El usuario elimina un proyecto. La amenaza vive antes de la consecuencia —todavía puede evitarse—; la pérdida vive después, cuando ya solo cabe registrarla. Si la secuencia respeta ese orden, cada intent aparece en el único momento en el que tiene sentido.</w:t>
      </w:r>
    </w:p>
    <w:p>
      <w:pPr>
        <w:spacing w:before="240" w:after="100"/>
      </w:pPr>
      <w:r>
        <w:rPr>
          <w:rFonts w:ascii="Newsreader" w:hAnsi="Newsreader" w:cs="Newsreader"/>
          <w:i/>
          <w:color w:val="1F3A5F"/>
          <w:sz w:val="28"/>
        </w:rPr>
        <w:t xml:space="preserve">Eliminación con reparación</w:t>
      </w:r>
    </w:p>
    <w:p>
      <w:pPr>
        <w:spacing w:after="120" w:line="320" w:lineRule="auto"/>
        <w:jc w:val="both"/>
      </w:pPr>
      <w:r>
        <w:rPr>
          <w:rFonts w:ascii="Newsreader" w:hAnsi="Newsreader" w:cs="Newsreader"/>
          <w:b w:val="0"/>
          <w:i/>
          <w:color w:val="161412"/>
        </w:rPr>
        <w:t xml:space="preserve">signal.warn + threat → commit.delete + loss → emerge.present undo</w:t>
      </w:r>
    </w:p>
    <w:p>
      <w:pPr>
        <w:spacing w:after="120" w:line="320" w:lineRule="auto"/>
        <w:jc w:val="both"/>
      </w:pPr>
      <w:r>
        <w:rPr>
          <w:rFonts w:ascii="Newsreader" w:hAnsi="Newsreader" w:cs="Newsreader"/>
          <w:b w:val="0"/>
          <w:i w:val="0"/>
          <w:color w:val="161412"/>
        </w:rPr>
        <w:t xml:space="preserve">El usuario confirma la eliminación de una tarjeta y aparece una barra de deshacer. El undo no borra la pérdida: la recontextualiza como parcialmente reversible. Por eso su aparición debe leerse como reparación disponible, no como una segunda alarma.</w:t>
      </w:r>
    </w:p>
    <w:p>
      <w:pPr>
        <w:spacing w:before="240" w:after="100"/>
      </w:pPr>
      <w:r>
        <w:rPr>
          <w:rFonts w:ascii="Newsreader" w:hAnsi="Newsreader" w:cs="Newsreader"/>
          <w:i/>
          <w:color w:val="1F3A5F"/>
          <w:sz w:val="28"/>
        </w:rPr>
        <w:t xml:space="preserve">Manipulación directa</w:t>
      </w:r>
    </w:p>
    <w:p>
      <w:pPr>
        <w:spacing w:after="120" w:line="320" w:lineRule="auto"/>
        <w:jc w:val="both"/>
      </w:pPr>
      <w:r>
        <w:rPr>
          <w:rFonts w:ascii="Newsreader" w:hAnsi="Newsreader" w:cs="Newsreader"/>
          <w:b w:val="0"/>
          <w:i/>
          <w:color w:val="161412"/>
        </w:rPr>
        <w:t xml:space="preserve">contact.press → handle.pick → handle.carry → handle.drop → commit.reorder + affirm</w:t>
      </w:r>
    </w:p>
    <w:p>
      <w:pPr>
        <w:spacing w:after="120" w:line="320" w:lineRule="auto"/>
        <w:jc w:val="both"/>
      </w:pPr>
      <w:r>
        <w:rPr>
          <w:rFonts w:ascii="Newsreader" w:hAnsi="Newsreader" w:cs="Newsreader"/>
          <w:b w:val="0"/>
          <w:i w:val="0"/>
          <w:color w:val="161412"/>
        </w:rPr>
        <w:t xml:space="preserve">El usuario reordena una lista. La lectura encadena cinco momentos: «me ha sentido», «lo agarro», «lo controlo», «lo suelto», «quedó reordenado». La evaluación se concentra al final; durante el trayecto, lo que importa es la sensación de control.</w:t>
      </w:r>
    </w:p>
    <w:p>
      <w:pPr>
        <w:spacing w:before="320" w:after="40"/>
      </w:pPr>
      <w:r>
        <w:rPr>
          <w:rFonts w:ascii="IBM Plex Sans" w:hAnsi="IBM Plex Sans" w:cs="IBM Plex Sans"/>
          <w:b/>
          <w:color w:val="1F3A5F"/>
          <w:sz w:val="18"/>
        </w:rPr>
        <w:t xml:space="preserve">§ 3</w:t>
      </w:r>
    </w:p>
    <w:p>
      <w:pPr>
        <w:spacing w:after="160" w:line="240" w:lineRule="auto"/>
      </w:pPr>
      <w:r>
        <w:rPr>
          <w:rFonts w:ascii="Newsreader" w:hAnsi="Newsreader" w:cs="Newsreader"/>
          <w:color w:val="161412"/>
          <w:sz w:val="38"/>
        </w:rPr>
        <w:t xml:space="preserve">Las reglas no son dogmas</w:t>
      </w:r>
    </w:p>
    <w:p>
      <w:pPr>
        <w:spacing w:after="120" w:line="320" w:lineRule="auto"/>
        <w:jc w:val="both"/>
      </w:pPr>
      <w:r>
        <w:rPr>
          <w:rFonts w:ascii="Newsreader" w:hAnsi="Newsreader" w:cs="Newsreader"/>
          <w:b w:val="0"/>
          <w:i w:val="0"/>
          <w:color w:val="161412"/>
        </w:rPr>
        <w:t xml:space="preserve">Las reglas de composición que siguen no deberían parecer mandamientos arbitrarios. No decimos que contact va antes de commit porque sí: decimos que, si el usuario actúa, necesita percibir que su acción fue recibida antes de poder interpretar el resultado. No decimos que threat debe ir antes de loss porque lo dicte la taxonomía: decimos que una amenaza convoca acción antes de la consecuencia, mientras que una pérdida registra la consecuencia después. No decimos que todo sustain debe terminar en commit por afán de simetría: decimos que un proceso abierto necesita algún tipo de cierre —resultado, cancelación, fallo o persistencia explicada—.</w:t>
      </w:r>
    </w:p>
    <w:p>
      <w:pPr>
        <w:spacing w:after="120" w:line="320" w:lineRule="auto"/>
        <w:jc w:val="both"/>
      </w:pPr>
      <w:r>
        <w:rPr>
          <w:rFonts w:ascii="Newsreader" w:hAnsi="Newsreader" w:cs="Newsreader"/>
          <w:b w:val="0"/>
          <w:i w:val="0"/>
          <w:color w:val="161412"/>
        </w:rPr>
        <w:t xml:space="preserve">Cada regla, en definitiva, debe poder derivarse de una necesidad perceptiva. Cuando no puede, no es una regla de la gramática: es una costumbre.</w:t>
      </w:r>
    </w:p>
    <w:p>
      <w:pPr>
        <w:spacing w:before="320" w:after="40"/>
      </w:pPr>
      <w:r>
        <w:rPr>
          <w:rFonts w:ascii="IBM Plex Sans" w:hAnsi="IBM Plex Sans" w:cs="IBM Plex Sans"/>
          <w:b/>
          <w:color w:val="1F3A5F"/>
          <w:sz w:val="18"/>
        </w:rPr>
        <w:t xml:space="preserve">§ 4</w:t>
      </w:r>
    </w:p>
    <w:p>
      <w:pPr>
        <w:spacing w:after="160" w:line="240" w:lineRule="auto"/>
      </w:pPr>
      <w:r>
        <w:rPr>
          <w:rFonts w:ascii="Newsreader" w:hAnsi="Newsreader" w:cs="Newsreader"/>
          <w:color w:val="161412"/>
          <w:sz w:val="38"/>
        </w:rPr>
        <w:t xml:space="preserve">Reglas de composición</w:t>
      </w:r>
    </w:p>
    <w:p>
      <w:pPr>
        <w:spacing w:before="240" w:after="100"/>
      </w:pPr>
      <w:r>
        <w:rPr>
          <w:rFonts w:ascii="Newsreader" w:hAnsi="Newsreader" w:cs="Newsreader"/>
          <w:i/>
          <w:color w:val="1F3A5F"/>
          <w:sz w:val="28"/>
        </w:rPr>
        <w:t xml:space="preserve">Regla 1 — Contact precede al resultado cuando hay acción directa</w:t>
      </w:r>
    </w:p>
    <w:p>
      <w:pPr>
        <w:spacing w:after="120" w:line="320" w:lineRule="auto"/>
        <w:jc w:val="both"/>
      </w:pPr>
      <w:r>
        <w:rPr>
          <w:rFonts w:ascii="Newsreader" w:hAnsi="Newsreader" w:cs="Newsreader"/>
          <w:b w:val="0"/>
          <w:i w:val="0"/>
          <w:color w:val="161412"/>
        </w:rPr>
        <w:t xml:space="preserve">Si el usuario actúa directamente, la interfaz debe comunicar recepción antes de comunicar consecuencia: </w:t>
      </w:r>
      <w:r>
        <w:rPr>
          <w:rFonts w:ascii="Newsreader" w:hAnsi="Newsreader" w:cs="Newsreader"/>
          <w:b w:val="0"/>
          <w:i/>
          <w:color w:val="161412"/>
        </w:rPr>
        <w:t xml:space="preserve">contact.press → commit.save + affirm</w:t>
      </w:r>
      <w:r>
        <w:rPr>
          <w:rFonts w:ascii="Newsreader" w:hAnsi="Newsreader" w:cs="Newsreader"/>
          <w:b w:val="0"/>
          <w:i w:val="0"/>
          <w:color w:val="161412"/>
        </w:rPr>
        <w:t xml:space="preserve">. El fundamento es la agencia y la causalidad acción-respuesta. El error correspondiente es un commit.save + affirm sin contacto perceptible: el usuario no sabe si su acción fue registrada o si el estado cambió por otra razón.</w:t>
      </w:r>
    </w:p>
    <w:p>
      <w:pPr>
        <w:spacing w:before="240" w:after="100"/>
      </w:pPr>
      <w:r>
        <w:rPr>
          <w:rFonts w:ascii="Newsreader" w:hAnsi="Newsreader" w:cs="Newsreader"/>
          <w:i/>
          <w:color w:val="1F3A5F"/>
          <w:sz w:val="28"/>
        </w:rPr>
        <w:t xml:space="preserve">Regla 2 — Sustain precede al commit cuando hay espera</w:t>
      </w:r>
    </w:p>
    <w:p>
      <w:pPr>
        <w:spacing w:after="120" w:line="320" w:lineRule="auto"/>
        <w:jc w:val="both"/>
      </w:pPr>
      <w:r>
        <w:rPr>
          <w:rFonts w:ascii="Newsreader" w:hAnsi="Newsreader" w:cs="Newsreader"/>
          <w:b w:val="0"/>
          <w:i w:val="0"/>
          <w:color w:val="161412"/>
        </w:rPr>
        <w:t xml:space="preserve">Si la operación no termina de inmediato, debe sostenerse antes de resolverse: </w:t>
      </w:r>
      <w:r>
        <w:rPr>
          <w:rFonts w:ascii="Newsreader" w:hAnsi="Newsreader" w:cs="Newsreader"/>
          <w:b w:val="0"/>
          <w:i/>
          <w:color w:val="161412"/>
        </w:rPr>
        <w:t xml:space="preserve">contact.press → sustain.progress → commit.complete + fulfill</w:t>
      </w:r>
      <w:r>
        <w:rPr>
          <w:rFonts w:ascii="Newsreader" w:hAnsi="Newsreader" w:cs="Newsreader"/>
          <w:b w:val="0"/>
          <w:i w:val="0"/>
          <w:color w:val="161412"/>
        </w:rPr>
        <w:t xml:space="preserve">. El fundamento es la continuidad temporal y el mantenimiento de la confianza. El error es el silencio intermedio —contact, nada, resultado—: la operación puede funcionar técnicamente, pero la espera se percibe como bloqueo.</w:t>
      </w:r>
    </w:p>
    <w:p>
      <w:pPr>
        <w:spacing w:before="240" w:after="100"/>
      </w:pPr>
      <w:r>
        <w:rPr>
          <w:rFonts w:ascii="Newsreader" w:hAnsi="Newsreader" w:cs="Newsreader"/>
          <w:i/>
          <w:color w:val="1F3A5F"/>
          <w:sz w:val="28"/>
        </w:rPr>
        <w:t xml:space="preserve">Regla 3 — Threat precede a loss</w:t>
      </w:r>
    </w:p>
    <w:p>
      <w:pPr>
        <w:spacing w:after="120" w:line="320" w:lineRule="auto"/>
        <w:jc w:val="both"/>
      </w:pPr>
      <w:r>
        <w:rPr>
          <w:rFonts w:ascii="Newsreader" w:hAnsi="Newsreader" w:cs="Newsreader"/>
          <w:b w:val="0"/>
          <w:i w:val="0"/>
          <w:color w:val="161412"/>
        </w:rPr>
        <w:t xml:space="preserve">Threat vive antes o durante una posible consecuencia; loss vive después: </w:t>
      </w:r>
      <w:r>
        <w:rPr>
          <w:rFonts w:ascii="Newsreader" w:hAnsi="Newsreader" w:cs="Newsreader"/>
          <w:b w:val="0"/>
          <w:i/>
          <w:color w:val="161412"/>
        </w:rPr>
        <w:t xml:space="preserve">signal.warn + threat → commit.delete + loss</w:t>
      </w:r>
      <w:r>
        <w:rPr>
          <w:rFonts w:ascii="Newsreader" w:hAnsi="Newsreader" w:cs="Newsreader"/>
          <w:b w:val="0"/>
          <w:i w:val="0"/>
          <w:color w:val="161412"/>
        </w:rPr>
        <w:t xml:space="preserve">. El fundamento quedó argumentado en el Capítulo 10: prevenir y registrar son actos distintos. El error es </w:t>
      </w:r>
      <w:r>
        <w:rPr>
          <w:rFonts w:ascii="Newsreader" w:hAnsi="Newsreader" w:cs="Newsreader"/>
          <w:b w:val="0"/>
          <w:i/>
          <w:color w:val="161412"/>
        </w:rPr>
        <w:t xml:space="preserve">commit.delete + threat</w:t>
      </w:r>
      <w:r>
        <w:rPr>
          <w:rFonts w:ascii="Newsreader" w:hAnsi="Newsreader" w:cs="Newsreader"/>
          <w:b w:val="0"/>
          <w:i w:val="0"/>
          <w:color w:val="161412"/>
        </w:rPr>
        <w:t xml:space="preserve">: amenaza cuando ya no hay nada que evitar.</w:t>
      </w:r>
    </w:p>
    <w:p>
      <w:pPr>
        <w:spacing w:before="240" w:after="100"/>
      </w:pPr>
      <w:r>
        <w:rPr>
          <w:rFonts w:ascii="Newsreader" w:hAnsi="Newsreader" w:cs="Newsreader"/>
          <w:i/>
          <w:color w:val="1F3A5F"/>
          <w:sz w:val="28"/>
        </w:rPr>
        <w:t xml:space="preserve">Regla 4 — Emerge no debe absorber el intent del contenido</w:t>
      </w:r>
    </w:p>
    <w:p>
      <w:pPr>
        <w:spacing w:after="120" w:line="320" w:lineRule="auto"/>
        <w:jc w:val="both"/>
      </w:pPr>
      <w:r>
        <w:rPr>
          <w:rFonts w:ascii="Newsreader" w:hAnsi="Newsreader" w:cs="Newsreader"/>
          <w:b w:val="0"/>
          <w:i w:val="0"/>
          <w:color w:val="161412"/>
        </w:rPr>
        <w:t xml:space="preserve">Una superficie puede aparecer sin ser evaluable: </w:t>
      </w:r>
      <w:r>
        <w:rPr>
          <w:rFonts w:ascii="Newsreader" w:hAnsi="Newsreader" w:cs="Newsreader"/>
          <w:b w:val="0"/>
          <w:i/>
          <w:color w:val="161412"/>
        </w:rPr>
        <w:t xml:space="preserve">emerge.open → signal.warn + risk</w:t>
      </w:r>
      <w:r>
        <w:rPr>
          <w:rFonts w:ascii="Newsreader" w:hAnsi="Newsreader" w:cs="Newsreader"/>
          <w:b w:val="0"/>
          <w:i w:val="0"/>
          <w:color w:val="161412"/>
        </w:rPr>
        <w:t xml:space="preserve">. El fundamento es la distinción figura/fondo entre evento estructural y evento evaluable: el marco no es el mensaje. El error es emerge.open + risk: la apertura no es el riesgo; el riesgo está en lo que aparece dentro. La excepción, heredada del Capítulo 9, es la aparición-que-advierte: cuando la única razón de la superficie es hacer perceptible la situación evaluable, puede portar el tono — declarado y justificado.</w:t>
      </w:r>
    </w:p>
    <w:p>
      <w:pPr>
        <w:spacing w:before="240" w:after="100"/>
      </w:pPr>
      <w:r>
        <w:rPr>
          <w:rFonts w:ascii="Newsreader" w:hAnsi="Newsreader" w:cs="Newsreader"/>
          <w:i/>
          <w:color w:val="1F3A5F"/>
          <w:sz w:val="28"/>
        </w:rPr>
        <w:t xml:space="preserve">Regla 5 — Shift debe orientar el cambio de contexto</w:t>
      </w:r>
    </w:p>
    <w:p>
      <w:pPr>
        <w:spacing w:after="120" w:line="320" w:lineRule="auto"/>
        <w:jc w:val="both"/>
      </w:pPr>
      <w:r>
        <w:rPr>
          <w:rFonts w:ascii="Newsreader" w:hAnsi="Newsreader" w:cs="Newsreader"/>
          <w:b w:val="0"/>
          <w:i w:val="0"/>
          <w:color w:val="161412"/>
        </w:rPr>
        <w:t xml:space="preserve">Cuando cambia el contexto, el usuario necesita orientación: shift.enter-mode debe acompañarse de foco, título, profundidad, estructura y salida clara. El fundamento es el cambio de modelo operativo: al cruzar un marco, las reglas de acción son otras. El error típico es el modal que aparece visualmente mientras el foco permanece detrás.</w:t>
      </w:r>
    </w:p>
    <w:p>
      <w:pPr>
        <w:spacing w:before="240" w:after="100"/>
      </w:pPr>
      <w:r>
        <w:rPr>
          <w:rFonts w:ascii="Newsreader" w:hAnsi="Newsreader" w:cs="Newsreader"/>
          <w:i/>
          <w:color w:val="1F3A5F"/>
          <w:sz w:val="28"/>
        </w:rPr>
        <w:t xml:space="preserve">Regla 6 — Handle concentra la evaluación en el drop</w:t>
      </w:r>
    </w:p>
    <w:p>
      <w:pPr>
        <w:spacing w:after="120" w:line="320" w:lineRule="auto"/>
        <w:jc w:val="both"/>
      </w:pPr>
      <w:r>
        <w:rPr>
          <w:rFonts w:ascii="Newsreader" w:hAnsi="Newsreader" w:cs="Newsreader"/>
          <w:b w:val="0"/>
          <w:i w:val="0"/>
          <w:color w:val="161412"/>
        </w:rPr>
        <w:t xml:space="preserve">Durante handle.carry el usuario está controlando; la evaluación aparece sobre todo al soltar: </w:t>
      </w:r>
      <w:r>
        <w:rPr>
          <w:rFonts w:ascii="Newsreader" w:hAnsi="Newsreader" w:cs="Newsreader"/>
          <w:b w:val="0"/>
          <w:i/>
          <w:color w:val="161412"/>
        </w:rPr>
        <w:t xml:space="preserve">handle.pick → handle.carry → handle.drop + risk</w:t>
      </w:r>
      <w:r>
        <w:rPr>
          <w:rFonts w:ascii="Newsreader" w:hAnsi="Newsreader" w:cs="Newsreader"/>
          <w:b w:val="0"/>
          <w:i w:val="0"/>
          <w:color w:val="161412"/>
        </w:rPr>
        <w:t xml:space="preserve">. El fundamento es el control motor continuo y la economía atencional. El error es teñir todo el arrastre de amenaza porque el usuario pasa cerca de una zona destructiva; mejor reservar signal.warn + threat para cuando esa zona se vuelve destino probable.</w:t>
      </w:r>
    </w:p>
    <w:p>
      <w:pPr>
        <w:spacing w:before="240" w:after="100"/>
      </w:pPr>
      <w:r>
        <w:rPr>
          <w:rFonts w:ascii="Newsreader" w:hAnsi="Newsreader" w:cs="Newsreader"/>
          <w:i/>
          <w:color w:val="1F3A5F"/>
          <w:sz w:val="28"/>
        </w:rPr>
        <w:t xml:space="preserve">Regla 7 — Todo proceso abierto necesita salida</w:t>
      </w:r>
    </w:p>
    <w:p>
      <w:pPr>
        <w:spacing w:after="120" w:line="320" w:lineRule="auto"/>
        <w:jc w:val="both"/>
      </w:pPr>
      <w:r>
        <w:rPr>
          <w:rFonts w:ascii="Newsreader" w:hAnsi="Newsreader" w:cs="Newsreader"/>
          <w:b w:val="0"/>
          <w:i w:val="0"/>
          <w:color w:val="161412"/>
        </w:rPr>
        <w:t xml:space="preserve">Un sustain no puede quedar suspendido indefinidamente. Sus salidas posibles son conocidas: commit.complete + fulfill, commit.save + affirm, commit.fail + risk, signal.warn + risk o commit.cancel + neutral. El fundamento es el cierre cognitivo: la memoria necesita saber cómo terminó lo que estaba abierto. El error tiene nombre propio: el spinner eterno.</w:t>
      </w:r>
    </w:p>
    <w:p>
      <w:pPr>
        <w:spacing w:before="240" w:after="100"/>
      </w:pPr>
      <w:r>
        <w:rPr>
          <w:rFonts w:ascii="Newsreader" w:hAnsi="Newsreader" w:cs="Newsreader"/>
          <w:i/>
          <w:color w:val="1F3A5F"/>
          <w:sz w:val="28"/>
        </w:rPr>
        <w:t xml:space="preserve">El orden dentro del evento: señal, mutación y ventana</w:t>
      </w:r>
    </w:p>
    <w:p>
      <w:pPr>
        <w:spacing w:after="120" w:line="320" w:lineRule="auto"/>
        <w:jc w:val="both"/>
      </w:pPr>
      <w:r>
        <w:rPr>
          <w:rFonts w:ascii="Newsreader" w:hAnsi="Newsreader" w:cs="Newsreader"/>
          <w:b w:val="0"/>
          <w:i w:val="0"/>
          <w:color w:val="161412"/>
        </w:rPr>
        <w:t xml:space="preserve">Las siete reglas ordenan eventos entre sí. Queda un orden más fino, dentro de cada evento: el de su señal perceptiva respecto de la mutación que la acompaña. Ese orden tiene tres valores. </w:t>
      </w:r>
      <w:r>
        <w:rPr>
          <w:rFonts w:ascii="Newsreader" w:hAnsi="Newsreader" w:cs="Newsreader"/>
          <w:b w:val="0"/>
          <w:i/>
          <w:color w:val="161412"/>
        </w:rPr>
        <w:t xml:space="preserve">Anticipado</w:t>
      </w:r>
      <w:r>
        <w:rPr>
          <w:rFonts w:ascii="Newsreader" w:hAnsi="Newsreader" w:cs="Newsreader"/>
          <w:b w:val="0"/>
          <w:i w:val="0"/>
          <w:color w:val="161412"/>
        </w:rPr>
        <w:t xml:space="preserve">: la señal precede a la mutación — la retirada de una superficie se anuncia antes de desaparecer, porque después ya no habría dónde percibirla. </w:t>
      </w:r>
      <w:r>
        <w:rPr>
          <w:rFonts w:ascii="Newsreader" w:hAnsi="Newsreader" w:cs="Newsreader"/>
          <w:b w:val="0"/>
          <w:i/>
          <w:color w:val="161412"/>
        </w:rPr>
        <w:t xml:space="preserve">Posterior</w:t>
      </w:r>
      <w:r>
        <w:rPr>
          <w:rFonts w:ascii="Newsreader" w:hAnsi="Newsreader" w:cs="Newsreader"/>
          <w:b w:val="0"/>
          <w:i w:val="0"/>
          <w:color w:val="161412"/>
        </w:rPr>
        <w:t xml:space="preserve">: la mutación se asienta primero y la señal la sigue — el resultado de un gesto se fija y luego se celebra; una superficie que aparece primero existe y luego se siente. </w:t>
      </w:r>
      <w:r>
        <w:rPr>
          <w:rFonts w:ascii="Newsreader" w:hAnsi="Newsreader" w:cs="Newsreader"/>
          <w:b w:val="0"/>
          <w:i/>
          <w:color w:val="161412"/>
        </w:rPr>
        <w:t xml:space="preserve">Indivisible</w:t>
      </w:r>
      <w:r>
        <w:rPr>
          <w:rFonts w:ascii="Newsreader" w:hAnsi="Newsreader" w:cs="Newsreader"/>
          <w:b w:val="0"/>
          <w:i w:val="0"/>
          <w:color w:val="161412"/>
        </w:rPr>
        <w:t xml:space="preserve">: señal y mutación son un solo momento — la manipulación continua, donde el usuario es el valor cambiando.</w:t>
      </w:r>
    </w:p>
    <w:p>
      <w:pPr>
        <w:spacing w:after="120" w:line="320" w:lineRule="auto"/>
        <w:jc w:val="both"/>
      </w:pPr>
      <w:r>
        <w:rPr>
          <w:rFonts w:ascii="Newsreader" w:hAnsi="Newsreader" w:cs="Newsreader"/>
          <w:b w:val="0"/>
          <w:i w:val="0"/>
          <w:color w:val="161412"/>
        </w:rPr>
        <w:t xml:space="preserve">Elegir mal el orden produce dos fallos simétricos: anticipar la señal de una aparición retrasa la llegada de la superficie hasta que la señal termina; posponer la señal de una retirada la deja sin lugar donde ocurrir. Y un principio engloba los tres valores: la señal debe completar su ventana perceptiva antes de que el cambio estructural la pise. Un evento cuyo estado lo atropella a mitad de vida no llega a leerse.</w:t>
      </w:r>
    </w:p>
    <w:p>
      <w:pPr>
        <w:spacing w:before="320" w:after="40"/>
      </w:pPr>
      <w:r>
        <w:rPr>
          <w:rFonts w:ascii="IBM Plex Sans" w:hAnsi="IBM Plex Sans" w:cs="IBM Plex Sans"/>
          <w:b/>
          <w:color w:val="1F3A5F"/>
          <w:sz w:val="18"/>
        </w:rPr>
        <w:t xml:space="preserve">§ 5</w:t>
      </w:r>
    </w:p>
    <w:p>
      <w:pPr>
        <w:spacing w:after="160" w:line="240" w:lineRule="auto"/>
      </w:pPr>
      <w:r>
        <w:rPr>
          <w:rFonts w:ascii="Newsreader" w:hAnsi="Newsreader" w:cs="Newsreader"/>
          <w:color w:val="161412"/>
          <w:sz w:val="38"/>
        </w:rPr>
        <w:t xml:space="preserve">Ejemplo largo: subida con fallo parcial y recuperación</w:t>
      </w:r>
    </w:p>
    <w:p>
      <w:pPr>
        <w:spacing w:after="120" w:line="320" w:lineRule="auto"/>
        <w:jc w:val="both"/>
      </w:pPr>
      <w:r>
        <w:rPr>
          <w:rFonts w:ascii="Newsreader" w:hAnsi="Newsreader" w:cs="Newsreader"/>
          <w:b w:val="0"/>
          <w:i w:val="0"/>
          <w:color w:val="161412"/>
        </w:rPr>
        <w:t xml:space="preserve">Veamos una composición más compleja. El usuario sube un archivo grande para enviarlo a revisión; durante la subida la conexión falla parcialmente; el sistema conserva parte del progreso, muestra una advertencia y permite reintentar; el usuario reintenta y la subida termina correctamente.</w:t>
      </w:r>
    </w:p>
    <w:p>
      <w:pPr>
        <w:spacing w:before="240" w:after="100"/>
      </w:pPr>
      <w:r>
        <w:rPr>
          <w:rFonts w:ascii="Newsreader" w:hAnsi="Newsreader" w:cs="Newsreader"/>
          <w:i/>
          <w:color w:val="1F3A5F"/>
          <w:sz w:val="28"/>
        </w:rPr>
        <w:t xml:space="preserve">Acción inicial</w:t>
      </w:r>
    </w:p>
    <w:p>
      <w:pPr>
        <w:spacing w:after="120" w:line="320" w:lineRule="auto"/>
        <w:jc w:val="both"/>
      </w:pPr>
      <w:r>
        <w:rPr>
          <w:rFonts w:ascii="Newsreader" w:hAnsi="Newsreader" w:cs="Newsreader"/>
          <w:b w:val="0"/>
          <w:i/>
          <w:color w:val="161412"/>
        </w:rPr>
        <w:t xml:space="preserve">contact.press</w:t>
      </w:r>
      <w:r>
        <w:rPr>
          <w:rFonts w:ascii="Newsreader" w:hAnsi="Newsreader" w:cs="Newsreader"/>
          <w:b w:val="0"/>
          <w:i w:val="0"/>
          <w:color w:val="161412"/>
        </w:rPr>
        <w:t xml:space="preserve"> — el usuario pulsa «Subir». Canales: respuesta inmediata, estado pressed, micro motion opcional.</w:t>
      </w:r>
    </w:p>
    <w:p>
      <w:pPr>
        <w:spacing w:before="240" w:after="100"/>
      </w:pPr>
      <w:r>
        <w:rPr>
          <w:rFonts w:ascii="Newsreader" w:hAnsi="Newsreader" w:cs="Newsreader"/>
          <w:i/>
          <w:color w:val="1F3A5F"/>
          <w:sz w:val="28"/>
        </w:rPr>
        <w:t xml:space="preserve">Subida en curso</w:t>
      </w:r>
    </w:p>
    <w:p>
      <w:pPr>
        <w:spacing w:after="120" w:line="320" w:lineRule="auto"/>
        <w:jc w:val="both"/>
      </w:pPr>
      <w:r>
        <w:rPr>
          <w:rFonts w:ascii="Newsreader" w:hAnsi="Newsreader" w:cs="Newsreader"/>
          <w:b w:val="0"/>
          <w:i/>
          <w:color w:val="161412"/>
        </w:rPr>
        <w:t xml:space="preserve">sustain.upload</w:t>
      </w:r>
      <w:r>
        <w:rPr>
          <w:rFonts w:ascii="Newsreader" w:hAnsi="Newsreader" w:cs="Newsreader"/>
          <w:b w:val="0"/>
          <w:i w:val="0"/>
          <w:color w:val="161412"/>
        </w:rPr>
        <w:t xml:space="preserve"> — el sistema empieza a subir. Canales: barra de progreso, texto «Subiendo archivo…», presencia persistente, baja saliencia.</w:t>
      </w:r>
    </w:p>
    <w:p>
      <w:pPr>
        <w:spacing w:before="240" w:after="100"/>
      </w:pPr>
      <w:r>
        <w:rPr>
          <w:rFonts w:ascii="Newsreader" w:hAnsi="Newsreader" w:cs="Newsreader"/>
          <w:i/>
          <w:color w:val="1F3A5F"/>
          <w:sz w:val="28"/>
        </w:rPr>
        <w:t xml:space="preserve">Advertencia corregible</w:t>
      </w:r>
    </w:p>
    <w:p>
      <w:pPr>
        <w:spacing w:after="120" w:line="320" w:lineRule="auto"/>
        <w:jc w:val="both"/>
      </w:pPr>
      <w:r>
        <w:rPr>
          <w:rFonts w:ascii="Newsreader" w:hAnsi="Newsreader" w:cs="Newsreader"/>
          <w:b w:val="0"/>
          <w:i/>
          <w:color w:val="161412"/>
        </w:rPr>
        <w:t xml:space="preserve">signal.warn + risk</w:t>
      </w:r>
      <w:r>
        <w:rPr>
          <w:rFonts w:ascii="Newsreader" w:hAnsi="Newsreader" w:cs="Newsreader"/>
          <w:b w:val="0"/>
          <w:i w:val="0"/>
          <w:color w:val="161412"/>
        </w:rPr>
        <w:t xml:space="preserve"> — la conexión se interrumpe parcialmente. No es threat, porque no hay urgencia inmediata; no es loss, porque nada se perdió definitivamente. Canales: callout, color moderado de advertencia, texto descriptivo, presencia persistente.</w:t>
      </w:r>
    </w:p>
    <w:p>
      <w:pPr>
        <w:spacing w:before="240" w:after="100"/>
      </w:pPr>
      <w:r>
        <w:rPr>
          <w:rFonts w:ascii="Newsreader" w:hAnsi="Newsreader" w:cs="Newsreader"/>
          <w:i/>
          <w:color w:val="1F3A5F"/>
          <w:sz w:val="28"/>
        </w:rPr>
        <w:t xml:space="preserve">Reintento automático o disponible</w:t>
      </w:r>
    </w:p>
    <w:p>
      <w:pPr>
        <w:spacing w:after="120" w:line="320" w:lineRule="auto"/>
        <w:jc w:val="both"/>
      </w:pPr>
      <w:r>
        <w:rPr>
          <w:rFonts w:ascii="Newsreader" w:hAnsi="Newsreader" w:cs="Newsreader"/>
          <w:b w:val="0"/>
          <w:i/>
          <w:color w:val="161412"/>
        </w:rPr>
        <w:t xml:space="preserve">sustain.retrying</w:t>
      </w:r>
      <w:r>
        <w:rPr>
          <w:rFonts w:ascii="Newsreader" w:hAnsi="Newsreader" w:cs="Newsreader"/>
          <w:b w:val="0"/>
          <w:i w:val="0"/>
          <w:color w:val="161412"/>
        </w:rPr>
        <w:t xml:space="preserve"> — el sistema intenta continuar. Canales: indicador de reintento, texto «Reintentando…», baja saliencia.</w:t>
      </w:r>
    </w:p>
    <w:p>
      <w:pPr>
        <w:spacing w:before="240" w:after="100"/>
      </w:pPr>
      <w:r>
        <w:rPr>
          <w:rFonts w:ascii="Newsreader" w:hAnsi="Newsreader" w:cs="Newsreader"/>
          <w:i/>
          <w:color w:val="1F3A5F"/>
          <w:sz w:val="28"/>
        </w:rPr>
        <w:t xml:space="preserve">Resultado parcial</w:t>
      </w:r>
    </w:p>
    <w:p>
      <w:pPr>
        <w:spacing w:after="120" w:line="320" w:lineRule="auto"/>
        <w:jc w:val="both"/>
      </w:pPr>
      <w:r>
        <w:rPr>
          <w:rFonts w:ascii="Newsreader" w:hAnsi="Newsreader" w:cs="Newsreader"/>
          <w:b w:val="0"/>
          <w:i/>
          <w:color w:val="161412"/>
        </w:rPr>
        <w:t xml:space="preserve">commit.partial + risk</w:t>
      </w:r>
      <w:r>
        <w:rPr>
          <w:rFonts w:ascii="Newsreader" w:hAnsi="Newsreader" w:cs="Newsreader"/>
          <w:b w:val="0"/>
          <w:i w:val="0"/>
          <w:color w:val="161412"/>
        </w:rPr>
        <w:t xml:space="preserve"> — parte de la operación no se completó. Este commit no es fulfill ni loss completo: es un resultado problemático pero corregible. Canales: estado de progreso parcial, mensaje descriptivo, color de advertencia.</w:t>
      </w:r>
    </w:p>
    <w:p>
      <w:pPr>
        <w:spacing w:before="240" w:after="100"/>
      </w:pPr>
      <w:r>
        <w:rPr>
          <w:rFonts w:ascii="Newsreader" w:hAnsi="Newsreader" w:cs="Newsreader"/>
          <w:i/>
          <w:color w:val="1F3A5F"/>
          <w:sz w:val="28"/>
        </w:rPr>
        <w:t xml:space="preserve">Aparición de recuperación</w:t>
      </w:r>
    </w:p>
    <w:p>
      <w:pPr>
        <w:spacing w:after="120" w:line="320" w:lineRule="auto"/>
        <w:jc w:val="both"/>
      </w:pPr>
      <w:r>
        <w:rPr>
          <w:rFonts w:ascii="Newsreader" w:hAnsi="Newsreader" w:cs="Newsreader"/>
          <w:b w:val="0"/>
          <w:i/>
          <w:color w:val="161412"/>
        </w:rPr>
        <w:t xml:space="preserve">emerge.present recovery</w:t>
      </w:r>
      <w:r>
        <w:rPr>
          <w:rFonts w:ascii="Newsreader" w:hAnsi="Newsreader" w:cs="Newsreader"/>
          <w:b w:val="0"/>
          <w:i w:val="0"/>
          <w:color w:val="161412"/>
        </w:rPr>
        <w:t xml:space="preserve"> — aparece la opción de reintentar o continuar. La aparición no es el riesgo: la opción emergente ofrece reparación. Canales: botón de reintentar, presencia clara.</w:t>
      </w:r>
    </w:p>
    <w:p>
      <w:pPr>
        <w:spacing w:before="240" w:after="100"/>
      </w:pPr>
      <w:r>
        <w:rPr>
          <w:rFonts w:ascii="Newsreader" w:hAnsi="Newsreader" w:cs="Newsreader"/>
          <w:i/>
          <w:color w:val="1F3A5F"/>
          <w:sz w:val="28"/>
        </w:rPr>
        <w:t xml:space="preserve">Reintento del usuario</w:t>
      </w:r>
    </w:p>
    <w:p>
      <w:pPr>
        <w:spacing w:after="120" w:line="320" w:lineRule="auto"/>
        <w:jc w:val="both"/>
      </w:pPr>
      <w:r>
        <w:rPr>
          <w:rFonts w:ascii="Newsreader" w:hAnsi="Newsreader" w:cs="Newsreader"/>
          <w:b w:val="0"/>
          <w:i/>
          <w:color w:val="161412"/>
        </w:rPr>
        <w:t xml:space="preserve">contact.press → sustain.progress</w:t>
      </w:r>
      <w:r>
        <w:rPr>
          <w:rFonts w:ascii="Newsreader" w:hAnsi="Newsreader" w:cs="Newsreader"/>
          <w:b w:val="0"/>
          <w:i w:val="0"/>
          <w:color w:val="161412"/>
        </w:rPr>
        <w:t xml:space="preserve"> — el usuario pulsa «Reintentar» y el sistema vuelve a trabajar. Canales: barra de progreso restaurada, texto «Subiendo…».</w:t>
      </w:r>
    </w:p>
    <w:p>
      <w:pPr>
        <w:spacing w:before="240" w:after="100"/>
      </w:pPr>
      <w:r>
        <w:rPr>
          <w:rFonts w:ascii="Newsreader" w:hAnsi="Newsreader" w:cs="Newsreader"/>
          <w:i/>
          <w:color w:val="1F3A5F"/>
          <w:sz w:val="28"/>
        </w:rPr>
        <w:t xml:space="preserve">Cierre positivo</w:t>
      </w:r>
    </w:p>
    <w:p>
      <w:pPr>
        <w:spacing w:after="120" w:line="320" w:lineRule="auto"/>
        <w:jc w:val="both"/>
      </w:pPr>
      <w:r>
        <w:rPr>
          <w:rFonts w:ascii="Newsreader" w:hAnsi="Newsreader" w:cs="Newsreader"/>
          <w:b w:val="0"/>
          <w:i/>
          <w:color w:val="161412"/>
        </w:rPr>
        <w:t xml:space="preserve">commit.complete + fulfill</w:t>
      </w:r>
      <w:r>
        <w:rPr>
          <w:rFonts w:ascii="Newsreader" w:hAnsi="Newsreader" w:cs="Newsreader"/>
          <w:b w:val="0"/>
          <w:i w:val="0"/>
          <w:color w:val="161412"/>
        </w:rPr>
        <w:t xml:space="preserve"> — la subida termina. Aquí fulfill tiene sentido porque hubo tensión, espera y recuperación. Canales: motion resolutivo, marca de completado, color positivo, sonido breve opcional.</w:t>
      </w:r>
    </w:p>
    <w:p>
      <w:pPr>
        <w:spacing w:before="320" w:after="40"/>
      </w:pPr>
      <w:r>
        <w:rPr>
          <w:rFonts w:ascii="IBM Plex Sans" w:hAnsi="IBM Plex Sans" w:cs="IBM Plex Sans"/>
          <w:b/>
          <w:color w:val="1F3A5F"/>
          <w:sz w:val="18"/>
        </w:rPr>
        <w:t xml:space="preserve">§ 6</w:t>
      </w:r>
    </w:p>
    <w:p>
      <w:pPr>
        <w:spacing w:after="160" w:line="240" w:lineRule="auto"/>
      </w:pPr>
      <w:r>
        <w:rPr>
          <w:rFonts w:ascii="Newsreader" w:hAnsi="Newsreader" w:cs="Newsreader"/>
          <w:color w:val="161412"/>
          <w:sz w:val="38"/>
        </w:rPr>
        <w:t xml:space="preserve">Eventos simultáneos y solapados</w:t>
      </w:r>
    </w:p>
    <w:p>
      <w:pPr>
        <w:spacing w:after="120" w:line="320" w:lineRule="auto"/>
        <w:jc w:val="both"/>
      </w:pPr>
      <w:r>
        <w:rPr>
          <w:rFonts w:ascii="Newsreader" w:hAnsi="Newsreader" w:cs="Newsreader"/>
          <w:b w:val="0"/>
          <w:i w:val="0"/>
          <w:color w:val="161412"/>
        </w:rPr>
        <w:t xml:space="preserve">Hasta ahora hemos hablado de secuencias lineales, pero una interfaz real también tiene simultaneidad. Un proceso puede seguir en curso mientras aparece una advertencia (</w:t>
      </w:r>
      <w:r>
        <w:rPr>
          <w:rFonts w:ascii="Newsreader" w:hAnsi="Newsreader" w:cs="Newsreader"/>
          <w:b w:val="0"/>
          <w:i/>
          <w:color w:val="161412"/>
        </w:rPr>
        <w:t xml:space="preserve">sustain.progress + signal.warn + risk</w:t>
      </w:r>
      <w:r>
        <w:rPr>
          <w:rFonts w:ascii="Newsreader" w:hAnsi="Newsreader" w:cs="Newsreader"/>
          <w:b w:val="0"/>
          <w:i w:val="0"/>
          <w:color w:val="161412"/>
        </w:rPr>
        <w:t xml:space="preserve">); un usuario puede estar arrastrando mientras se aproxima a una zona destructiva (</w:t>
      </w:r>
      <w:r>
        <w:rPr>
          <w:rFonts w:ascii="Newsreader" w:hAnsi="Newsreader" w:cs="Newsreader"/>
          <w:b w:val="0"/>
          <w:i/>
          <w:color w:val="161412"/>
        </w:rPr>
        <w:t xml:space="preserve">handle.carry + signal.warn + threat</w:t>
      </w:r>
      <w:r>
        <w:rPr>
          <w:rFonts w:ascii="Newsreader" w:hAnsi="Newsreader" w:cs="Newsreader"/>
          <w:b w:val="0"/>
          <w:i w:val="0"/>
          <w:color w:val="161412"/>
        </w:rPr>
        <w:t xml:space="preserve">); un modal puede cambiar el marco mientras dentro aparece una señal (</w:t>
      </w:r>
      <w:r>
        <w:rPr>
          <w:rFonts w:ascii="Newsreader" w:hAnsi="Newsreader" w:cs="Newsreader"/>
          <w:b w:val="0"/>
          <w:i/>
          <w:color w:val="161412"/>
        </w:rPr>
        <w:t xml:space="preserve">shift.enter-mode + signal.alert + threat</w:t>
      </w:r>
      <w:r>
        <w:rPr>
          <w:rFonts w:ascii="Newsreader" w:hAnsi="Newsreader" w:cs="Newsreader"/>
          <w:b w:val="0"/>
          <w:i w:val="0"/>
          <w:color w:val="161412"/>
        </w:rPr>
        <w:t xml:space="preserve">); un sistema puede estar sincronizando mientras muestra un estado parcial (</w:t>
      </w:r>
      <w:r>
        <w:rPr>
          <w:rFonts w:ascii="Newsreader" w:hAnsi="Newsreader" w:cs="Newsreader"/>
          <w:b w:val="0"/>
          <w:i/>
          <w:color w:val="161412"/>
        </w:rPr>
        <w:t xml:space="preserve">sustain.syncing + commit.partial + risk</w:t>
      </w:r>
      <w:r>
        <w:rPr>
          <w:rFonts w:ascii="Newsreader" w:hAnsi="Newsreader" w:cs="Newsreader"/>
          <w:b w:val="0"/>
          <w:i w:val="0"/>
          <w:color w:val="161412"/>
        </w:rPr>
        <w:t xml:space="preserve">); una notificación puede llegar mientras el usuario manipula un objeto (</w:t>
      </w:r>
      <w:r>
        <w:rPr>
          <w:rFonts w:ascii="Newsreader" w:hAnsi="Newsreader" w:cs="Newsreader"/>
          <w:b w:val="0"/>
          <w:i/>
          <w:color w:val="161412"/>
        </w:rPr>
        <w:t xml:space="preserve">handle.carry + signal.notify + neutral</w:t>
      </w:r>
      <w:r>
        <w:rPr>
          <w:rFonts w:ascii="Newsreader" w:hAnsi="Newsreader" w:cs="Newsreader"/>
          <w:b w:val="0"/>
          <w:i w:val="0"/>
          <w:color w:val="161412"/>
        </w:rPr>
        <w:t xml:space="preserve">).</w:t>
      </w:r>
    </w:p>
    <w:p>
      <w:pPr>
        <w:spacing w:after="120" w:line="320" w:lineRule="auto"/>
        <w:jc w:val="both"/>
      </w:pPr>
      <w:r>
        <w:rPr>
          <w:rFonts w:ascii="Newsreader" w:hAnsi="Newsreader" w:cs="Newsreader"/>
          <w:b w:val="0"/>
          <w:i w:val="0"/>
          <w:color w:val="161412"/>
        </w:rPr>
        <w:t xml:space="preserve">La composición, por tanto, no siempre es una cadena. A veces es una superposición, y las superposiciones plantean una pregunta que las secuencias no tenían: ¿quién manda?</w:t>
      </w:r>
    </w:p>
    <w:p>
      <w:pPr>
        <w:spacing w:before="320" w:after="40"/>
      </w:pPr>
      <w:r>
        <w:rPr>
          <w:rFonts w:ascii="IBM Plex Sans" w:hAnsi="IBM Plex Sans" w:cs="IBM Plex Sans"/>
          <w:b/>
          <w:color w:val="1F3A5F"/>
          <w:sz w:val="18"/>
        </w:rPr>
        <w:t xml:space="preserve">§ 7</w:t>
      </w:r>
    </w:p>
    <w:p>
      <w:pPr>
        <w:spacing w:after="160" w:line="240" w:lineRule="auto"/>
      </w:pPr>
      <w:r>
        <w:rPr>
          <w:rFonts w:ascii="Newsreader" w:hAnsi="Newsreader" w:cs="Newsreader"/>
          <w:color w:val="161412"/>
          <w:sz w:val="38"/>
        </w:rPr>
        <w:t xml:space="preserve">Regla de dominancia atencional</w:t>
      </w:r>
    </w:p>
    <w:p>
      <w:pPr>
        <w:spacing w:after="120" w:line="320" w:lineRule="auto"/>
        <w:jc w:val="both"/>
      </w:pPr>
      <w:r>
        <w:rPr>
          <w:rFonts w:ascii="Newsreader" w:hAnsi="Newsreader" w:cs="Newsreader"/>
          <w:b w:val="0"/>
          <w:i w:val="0"/>
          <w:color w:val="161412"/>
        </w:rPr>
        <w:t xml:space="preserve">Cuando dos eventos se solapan, uno debe dominar la atención y el otro debe mantenerse como contexto. La jerarquía de dominancia sigue tres criterios.</w:t>
      </w:r>
    </w:p>
    <w:p>
      <w:pPr>
        <w:spacing w:after="120" w:line="320" w:lineRule="auto"/>
        <w:jc w:val="both"/>
      </w:pPr>
      <w:r>
        <w:rPr>
          <w:rFonts w:ascii="Newsreader" w:hAnsi="Newsreader" w:cs="Newsreader"/>
          <w:b w:val="0"/>
          <w:i w:val="0"/>
          <w:color w:val="161412"/>
        </w:rPr>
        <w:t xml:space="preserve">Primero, el evento evaluable domina sobre el estructural: un signal.warn + risk que aparece durante un sustain.progress debe convertirse en figura, y el proceso queda como contexto. Segundo, el evento con mayor activación domina sobre el de menor activación: un signal.alert + threat pasa por delante de un signal.notify + neutral, porque la amenaza reclama atención y la notificación puede esperar. Tercero, entre eventos del mismo nivel domina el más reciente: si durante un sustain.progress aparece un commit.partial + risk, el resultado parcial toma prioridad sobre el indicador de proceso.</w:t>
      </w:r>
    </w:p>
    <w:p>
      <w:pPr>
        <w:spacing w:after="120" w:line="320" w:lineRule="auto"/>
        <w:jc w:val="both"/>
      </w:pPr>
      <w:r>
        <w:rPr>
          <w:rFonts w:ascii="Newsreader" w:hAnsi="Newsreader" w:cs="Newsreader"/>
          <w:b w:val="0"/>
          <w:i w:val="0"/>
          <w:color w:val="161412"/>
        </w:rPr>
        <w:t xml:space="preserve">Los tres criterios se ven bien sobre casos. En </w:t>
      </w:r>
      <w:r>
        <w:rPr>
          <w:rFonts w:ascii="Newsreader" w:hAnsi="Newsreader" w:cs="Newsreader"/>
          <w:b w:val="0"/>
          <w:i/>
          <w:color w:val="161412"/>
        </w:rPr>
        <w:t xml:space="preserve">sustain.progress + signal.warn + risk</w:t>
      </w:r>
      <w:r>
        <w:rPr>
          <w:rFonts w:ascii="Newsreader" w:hAnsi="Newsreader" w:cs="Newsreader"/>
          <w:b w:val="0"/>
          <w:i w:val="0"/>
          <w:color w:val="161412"/>
        </w:rPr>
        <w:t xml:space="preserve">, el proceso sigue pero la advertencia debe ser figura; la lectura correcta es «el sistema sigue trabajando, pero hay algo que revisar», no «el proceso falló». En </w:t>
      </w:r>
      <w:r>
        <w:rPr>
          <w:rFonts w:ascii="Newsreader" w:hAnsi="Newsreader" w:cs="Newsreader"/>
          <w:b w:val="0"/>
          <w:i/>
          <w:color w:val="161412"/>
        </w:rPr>
        <w:t xml:space="preserve">handle.carry + signal.warn + threat</w:t>
      </w:r>
      <w:r>
        <w:rPr>
          <w:rFonts w:ascii="Newsreader" w:hAnsi="Newsreader" w:cs="Newsreader"/>
          <w:b w:val="0"/>
          <w:i w:val="0"/>
          <w:color w:val="161412"/>
        </w:rPr>
        <w:t xml:space="preserve">, el usuario sigue manipulando pero la zona destructiva reclama atención: «sigo controlando el objeto, pero si lo suelto ahí habrá consecuencia». Y en </w:t>
      </w:r>
      <w:r>
        <w:rPr>
          <w:rFonts w:ascii="Newsreader" w:hAnsi="Newsreader" w:cs="Newsreader"/>
          <w:b w:val="0"/>
          <w:i/>
          <w:color w:val="161412"/>
        </w:rPr>
        <w:t xml:space="preserve">handle.carry + signal.notify + neutral</w:t>
      </w:r>
      <w:r>
        <w:rPr>
          <w:rFonts w:ascii="Newsreader" w:hAnsi="Newsreader" w:cs="Newsreader"/>
          <w:b w:val="0"/>
          <w:i w:val="0"/>
          <w:color w:val="161412"/>
        </w:rPr>
        <w:t xml:space="preserve"> domina handle, porque el usuario está en control motor activo: la notificación no debe interrumpir ni reclamar foco; espera, o aparece sin competir.</w:t>
      </w:r>
    </w:p>
    <w:p>
      <w:pPr>
        <w:spacing w:before="320" w:after="40"/>
      </w:pPr>
      <w:r>
        <w:rPr>
          <w:rFonts w:ascii="IBM Plex Sans" w:hAnsi="IBM Plex Sans" w:cs="IBM Plex Sans"/>
          <w:b/>
          <w:color w:val="1F3A5F"/>
          <w:sz w:val="18"/>
        </w:rPr>
        <w:t xml:space="preserve">§ 8</w:t>
      </w:r>
    </w:p>
    <w:p>
      <w:pPr>
        <w:spacing w:after="160" w:line="240" w:lineRule="auto"/>
      </w:pPr>
      <w:r>
        <w:rPr>
          <w:rFonts w:ascii="Newsreader" w:hAnsi="Newsreader" w:cs="Newsreader"/>
          <w:color w:val="161412"/>
          <w:sz w:val="38"/>
        </w:rPr>
        <w:t xml:space="preserve">Jerarquía dentro de una composición</w:t>
      </w:r>
    </w:p>
    <w:p>
      <w:pPr>
        <w:spacing w:after="120" w:line="320" w:lineRule="auto"/>
        <w:jc w:val="both"/>
      </w:pPr>
      <w:r>
        <w:rPr>
          <w:rFonts w:ascii="Newsreader" w:hAnsi="Newsreader" w:cs="Newsreader"/>
          <w:b w:val="0"/>
          <w:i w:val="0"/>
          <w:color w:val="161412"/>
        </w:rPr>
        <w:t xml:space="preserve">Una composición necesita jerarquía: no todos los eventos deben expresarse con la misma intensidad. En una operación larga —</w:t>
      </w:r>
      <w:r>
        <w:rPr>
          <w:rFonts w:ascii="Newsreader" w:hAnsi="Newsreader" w:cs="Newsreader"/>
          <w:b w:val="0"/>
          <w:i/>
          <w:color w:val="161412"/>
        </w:rPr>
        <w:t xml:space="preserve">contact.press → sustain.progress → commit.complete + fulfill</w:t>
      </w:r>
      <w:r>
        <w:rPr>
          <w:rFonts w:ascii="Newsreader" w:hAnsi="Newsreader" w:cs="Newsreader"/>
          <w:b w:val="0"/>
          <w:i w:val="0"/>
          <w:color w:val="161412"/>
        </w:rPr>
        <w:t xml:space="preserve">—, contact debe ser inmediato y discreto, sustain debe sostener sin fatigar y commit debe cerrar con claridad. Si los tres tienen la misma energía, la secuencia se vuelve plana. En una operación destructiva —</w:t>
      </w:r>
      <w:r>
        <w:rPr>
          <w:rFonts w:ascii="Newsreader" w:hAnsi="Newsreader" w:cs="Newsreader"/>
          <w:b w:val="0"/>
          <w:i/>
          <w:color w:val="161412"/>
        </w:rPr>
        <w:t xml:space="preserve">signal.warn + threat → commit.delete + loss → emerge.present undo</w:t>
      </w:r>
      <w:r>
        <w:rPr>
          <w:rFonts w:ascii="Newsreader" w:hAnsi="Newsreader" w:cs="Newsreader"/>
          <w:b w:val="0"/>
          <w:i w:val="0"/>
          <w:color w:val="161412"/>
        </w:rPr>
        <w:t xml:space="preserve">—, threat debe destacar antes, loss debe registrar después y el undo debe permanecer como reparación, sin parecer otra amenaza.</w:t>
      </w:r>
    </w:p>
    <w:p>
      <w:pPr>
        <w:spacing w:after="120" w:line="320" w:lineRule="auto"/>
        <w:jc w:val="both"/>
      </w:pPr>
      <w:r>
        <w:rPr>
          <w:rFonts w:ascii="Newsreader" w:hAnsi="Newsreader" w:cs="Newsreader"/>
          <w:b w:val="0"/>
          <w:i w:val="0"/>
          <w:color w:val="161412"/>
        </w:rPr>
        <w:t xml:space="preserve">La graduación sigue tres principios. El evento evaluable recibe más intensidad que el estructural: commit.complete + fulfill merece más intensidad que el sustain que lo precedió. El evento con mayor activación recibe más intensidad que el de menor: un threat necesita más saliencia que un affirm, un fulfill más resolución que un neutral, un loss más gravedad que un risk. Y el evento de cierre recibe más presencia que los intermedios: en contact → sustain → commit, el commit es el momento perceptivo más claro de la secuencia; el sustain acompaña y el contact inicia.</w:t>
      </w:r>
    </w:p>
    <w:p>
      <w:pPr>
        <w:spacing w:after="120" w:line="320" w:lineRule="auto"/>
        <w:jc w:val="both"/>
      </w:pPr>
      <w:r>
        <w:rPr>
          <w:rFonts w:ascii="Newsreader" w:hAnsi="Newsreader" w:cs="Newsreader"/>
          <w:b w:val="0"/>
          <w:i w:val="0"/>
          <w:color w:val="161412"/>
        </w:rPr>
        <w:t xml:space="preserve">Cuando todos los eventos compiten por la misma atención, la composición se convierte en ruido. Cuando están bien graduados, la secuencia se lee como una historia perceptiva coherente.</w:t>
      </w:r>
    </w:p>
    <w:p>
      <w:pPr>
        <w:spacing w:before="320" w:after="40"/>
      </w:pPr>
      <w:r>
        <w:rPr>
          <w:rFonts w:ascii="IBM Plex Sans" w:hAnsi="IBM Plex Sans" w:cs="IBM Plex Sans"/>
          <w:b/>
          <w:color w:val="1F3A5F"/>
          <w:sz w:val="18"/>
        </w:rPr>
        <w:t xml:space="preserve">§ 9</w:t>
      </w:r>
    </w:p>
    <w:p>
      <w:pPr>
        <w:spacing w:after="160" w:line="240" w:lineRule="auto"/>
      </w:pPr>
      <w:r>
        <w:rPr>
          <w:rFonts w:ascii="Newsreader" w:hAnsi="Newsreader" w:cs="Newsreader"/>
          <w:color w:val="161412"/>
          <w:sz w:val="38"/>
        </w:rPr>
        <w:t xml:space="preserve">Antipatrones de composición</w:t>
      </w:r>
    </w:p>
    <w:p>
      <w:pPr>
        <w:spacing w:after="120" w:line="320" w:lineRule="auto"/>
        <w:jc w:val="both"/>
      </w:pPr>
      <w:r>
        <w:rPr>
          <w:rFonts w:ascii="Newsreader" w:hAnsi="Newsreader" w:cs="Newsreader"/>
          <w:b/>
          <w:i w:val="0"/>
          <w:color w:val="161412"/>
        </w:rPr>
        <w:t xml:space="preserve">Commit anticipado.</w:t>
      </w:r>
      <w:r>
        <w:rPr>
          <w:rFonts w:ascii="Newsreader" w:hAnsi="Newsreader" w:cs="Newsreader"/>
          <w:b w:val="0"/>
          <w:i w:val="0"/>
          <w:color w:val="161412"/>
        </w:rPr>
        <w:t xml:space="preserve"> La interfaz muestra éxito antes de terminar: </w:t>
      </w:r>
      <w:r>
        <w:rPr>
          <w:rFonts w:ascii="Newsreader" w:hAnsi="Newsreader" w:cs="Newsreader"/>
          <w:b w:val="0"/>
          <w:i/>
          <w:color w:val="161412"/>
        </w:rPr>
        <w:t xml:space="preserve">contact.press → commit.complete + fulfill → sustain.progress</w:t>
      </w:r>
      <w:r>
        <w:rPr>
          <w:rFonts w:ascii="Newsreader" w:hAnsi="Newsreader" w:cs="Newsreader"/>
          <w:b w:val="0"/>
          <w:i w:val="0"/>
          <w:color w:val="161412"/>
        </w:rPr>
        <w:t xml:space="preserve">. Promete un resultado que aún no existe. Corrección: devolver el commit al final de la cadena.</w:t>
      </w:r>
    </w:p>
    <w:p>
      <w:pPr>
        <w:spacing w:after="120" w:line="320" w:lineRule="auto"/>
        <w:jc w:val="both"/>
      </w:pPr>
      <w:r>
        <w:rPr>
          <w:rFonts w:ascii="Newsreader" w:hAnsi="Newsreader" w:cs="Newsreader"/>
          <w:b/>
          <w:i w:val="0"/>
          <w:color w:val="161412"/>
        </w:rPr>
        <w:t xml:space="preserve">Threat después de loss.</w:t>
      </w:r>
      <w:r>
        <w:rPr>
          <w:rFonts w:ascii="Newsreader" w:hAnsi="Newsreader" w:cs="Newsreader"/>
          <w:b w:val="0"/>
          <w:i w:val="0"/>
          <w:color w:val="161412"/>
        </w:rPr>
        <w:t xml:space="preserve"> </w:t>
      </w:r>
      <w:r>
        <w:rPr>
          <w:rFonts w:ascii="Newsreader" w:hAnsi="Newsreader" w:cs="Newsreader"/>
          <w:b w:val="0"/>
          <w:i/>
          <w:color w:val="161412"/>
        </w:rPr>
        <w:t xml:space="preserve">commit.delete + loss → signal.alert + threat</w:t>
      </w:r>
      <w:r>
        <w:rPr>
          <w:rFonts w:ascii="Newsreader" w:hAnsi="Newsreader" w:cs="Newsreader"/>
          <w:b w:val="0"/>
          <w:i w:val="0"/>
          <w:color w:val="161412"/>
        </w:rPr>
        <w:t xml:space="preserve">. Comunica urgencia cuando ya no hay prevención posible. Corrección: la advertencia va antes de la consecuencia.</w:t>
      </w:r>
    </w:p>
    <w:p>
      <w:pPr>
        <w:spacing w:after="120" w:line="320" w:lineRule="auto"/>
        <w:jc w:val="both"/>
      </w:pPr>
      <w:r>
        <w:rPr>
          <w:rFonts w:ascii="Newsreader" w:hAnsi="Newsreader" w:cs="Newsreader"/>
          <w:b/>
          <w:i w:val="0"/>
          <w:color w:val="161412"/>
        </w:rPr>
        <w:t xml:space="preserve">Emerge como alert.</w:t>
      </w:r>
      <w:r>
        <w:rPr>
          <w:rFonts w:ascii="Newsreader" w:hAnsi="Newsreader" w:cs="Newsreader"/>
          <w:b w:val="0"/>
          <w:i w:val="0"/>
          <w:color w:val="161412"/>
        </w:rPr>
        <w:t xml:space="preserve"> Un dropdown aparece con la energía de una alerta, y la aparición local se confunde con una señal urgente. Corrección: emerge.open sin intent, salvo que lo que aparece contenga un signal.</w:t>
      </w:r>
    </w:p>
    <w:p>
      <w:pPr>
        <w:spacing w:after="120" w:line="320" w:lineRule="auto"/>
        <w:jc w:val="both"/>
      </w:pPr>
      <w:r>
        <w:rPr>
          <w:rFonts w:ascii="Newsreader" w:hAnsi="Newsreader" w:cs="Newsreader"/>
          <w:b/>
          <w:i w:val="0"/>
          <w:color w:val="161412"/>
        </w:rPr>
        <w:t xml:space="preserve">Sustain sin salida.</w:t>
      </w:r>
      <w:r>
        <w:rPr>
          <w:rFonts w:ascii="Newsreader" w:hAnsi="Newsreader" w:cs="Newsreader"/>
          <w:b w:val="0"/>
          <w:i w:val="0"/>
          <w:color w:val="161412"/>
        </w:rPr>
        <w:t xml:space="preserve"> Un spinner queda indefinido: proceso sin cierre. Corrección: todo sustain desemboca en commit.complete, commit.fail, signal.warn o cancelación.</w:t>
      </w:r>
    </w:p>
    <w:p>
      <w:pPr>
        <w:spacing w:after="120" w:line="320" w:lineRule="auto"/>
        <w:jc w:val="both"/>
      </w:pPr>
      <w:r>
        <w:rPr>
          <w:rFonts w:ascii="Newsreader" w:hAnsi="Newsreader" w:cs="Newsreader"/>
          <w:b/>
          <w:i w:val="0"/>
          <w:color w:val="161412"/>
        </w:rPr>
        <w:t xml:space="preserve">Handle evaluado todo el tiempo.</w:t>
      </w:r>
      <w:r>
        <w:rPr>
          <w:rFonts w:ascii="Newsreader" w:hAnsi="Newsreader" w:cs="Newsreader"/>
          <w:b w:val="0"/>
          <w:i w:val="0"/>
          <w:color w:val="161412"/>
        </w:rPr>
        <w:t xml:space="preserve"> Todo el arrastre está teñido de amenaza y el usuario pierde la sensación de control. Corrección: mantener el carry neutro y señalizar solo destinos o drop.</w:t>
      </w:r>
    </w:p>
    <w:p>
      <w:pPr>
        <w:spacing w:after="120" w:line="320" w:lineRule="auto"/>
        <w:jc w:val="both"/>
      </w:pPr>
      <w:r>
        <w:rPr>
          <w:rFonts w:ascii="Newsreader" w:hAnsi="Newsreader" w:cs="Newsreader"/>
          <w:b/>
          <w:i w:val="0"/>
          <w:color w:val="161412"/>
        </w:rPr>
        <w:t xml:space="preserve">Notificación que interrumpe la manipulación.</w:t>
      </w:r>
      <w:r>
        <w:rPr>
          <w:rFonts w:ascii="Newsreader" w:hAnsi="Newsreader" w:cs="Newsreader"/>
          <w:b w:val="0"/>
          <w:i w:val="0"/>
          <w:color w:val="161412"/>
        </w:rPr>
        <w:t xml:space="preserve"> Una notificación reclama foco mientras el usuario arrastra, rompiendo el control motor activo. Corrección: la notificación espera, o aparece sin competir con handle.</w:t>
      </w:r>
    </w:p>
    <w:p>
      <w:pPr>
        <w:spacing w:before="320" w:after="40"/>
      </w:pPr>
      <w:r>
        <w:rPr>
          <w:rFonts w:ascii="IBM Plex Sans" w:hAnsi="IBM Plex Sans" w:cs="IBM Plex Sans"/>
          <w:b/>
          <w:color w:val="1F3A5F"/>
          <w:sz w:val="18"/>
        </w:rPr>
        <w:t xml:space="preserve">§ 10</w:t>
      </w:r>
    </w:p>
    <w:p>
      <w:pPr>
        <w:spacing w:after="160" w:line="240" w:lineRule="auto"/>
      </w:pPr>
      <w:r>
        <w:rPr>
          <w:rFonts w:ascii="Newsreader" w:hAnsi="Newsreader" w:cs="Newsreader"/>
          <w:color w:val="161412"/>
          <w:sz w:val="38"/>
        </w:rPr>
        <w:t xml:space="preserve">Síntesis</w:t>
      </w:r>
    </w:p>
    <w:p>
      <w:pPr>
        <w:spacing w:after="120" w:line="320" w:lineRule="auto"/>
        <w:jc w:val="both"/>
      </w:pPr>
      <w:r>
        <w:rPr>
          <w:rFonts w:ascii="Newsreader" w:hAnsi="Newsreader" w:cs="Newsreader"/>
          <w:b w:val="0"/>
          <w:i w:val="0"/>
          <w:color w:val="161412"/>
        </w:rPr>
        <w:t xml:space="preserve">La composición convierte familias aisladas en interacción real. Una interfaz no debe preguntarse solo «¿qué evento es este?»; debe preguntarse también qué ocurrió antes, qué viene después, qué evento domina la atención, cuál queda como contexto, qué resultado cierra la secuencia y qué huella queda.</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Toda composición debe preservar la pregunta perceptiva de cada evento sin hacerlos competir innecesariamente.</w:t>
      </w:r>
    </w:p>
    <w:p>
      <w:pPr>
        <w:spacing w:after="120" w:line="320" w:lineRule="auto"/>
        <w:jc w:val="both"/>
      </w:pPr>
      <w:r>
        <w:rPr>
          <w:rFonts w:ascii="Newsreader" w:hAnsi="Newsreader" w:cs="Newsreader"/>
          <w:b w:val="0"/>
          <w:i w:val="0"/>
          <w:color w:val="161412"/>
        </w:rPr>
        <w:t xml:space="preserve">La composición es donde la gramática deja de ser vocabulario y empieza a comportarse como lenguaje.</w:t>
      </w:r>
    </w:p>
    <w:p>
      <w:pPr>
        <w:spacing w:before="200" w:after="60"/>
        <w:jc w:val="center"/>
      </w:pPr>
      <w:r>
        <w:drawing>
          <wp:inline xmlns:a="http://schemas.openxmlformats.org/drawingml/2006/main" xmlns:pic="http://schemas.openxmlformats.org/drawingml/2006/picture">
            <wp:extent cx="5029200" cy="3281553"/>
            <wp:docPr id="70" name="Picture 70"/>
            <wp:cNvGraphicFramePr>
              <a:graphicFrameLocks noChangeAspect="1"/>
            </wp:cNvGraphicFramePr>
            <a:graphic>
              <a:graphicData uri="http://schemas.openxmlformats.org/drawingml/2006/picture">
                <pic:pic>
                  <pic:nvPicPr>
                    <pic:cNvPr id="0" name="figura-30-2.png"/>
                    <pic:cNvPicPr/>
                  </pic:nvPicPr>
                  <pic:blipFill>
                    <a:blip r:embed="rId78"/>
                    <a:stretch>
                      <a:fillRect/>
                    </a:stretch>
                  </pic:blipFill>
                  <pic:spPr>
                    <a:xfrm>
                      <a:off x="0" y="0"/>
                      <a:ext cx="5029200" cy="3281553"/>
                    </a:xfrm>
                    <a:prstGeom prst="rect"/>
                  </pic:spPr>
                </pic:pic>
              </a:graphicData>
            </a:graphic>
          </wp:inline>
        </w:drawing>
      </w:r>
    </w:p>
    <w:p>
      <w:pPr>
        <w:spacing w:before="200" w:after="60"/>
        <w:jc w:val="center"/>
      </w:pPr>
      <w:r>
        <w:drawing>
          <wp:inline xmlns:a="http://schemas.openxmlformats.org/drawingml/2006/main" xmlns:pic="http://schemas.openxmlformats.org/drawingml/2006/picture">
            <wp:extent cx="5029200" cy="2514600"/>
            <wp:docPr id="71" name="Picture 71"/>
            <wp:cNvGraphicFramePr>
              <a:graphicFrameLocks noChangeAspect="1"/>
            </wp:cNvGraphicFramePr>
            <a:graphic>
              <a:graphicData uri="http://schemas.openxmlformats.org/drawingml/2006/picture">
                <pic:pic>
                  <pic:nvPicPr>
                    <pic:cNvPr id="0" name="figura-30-3.png"/>
                    <pic:cNvPicPr/>
                  </pic:nvPicPr>
                  <pic:blipFill>
                    <a:blip r:embed="rId79"/>
                    <a:stretch>
                      <a:fillRect/>
                    </a:stretch>
                  </pic:blipFill>
                  <pic:spPr>
                    <a:xfrm>
                      <a:off x="0" y="0"/>
                      <a:ext cx="5029200" cy="2514600"/>
                    </a:xfrm>
                    <a:prstGeom prst="rect"/>
                  </pic:spPr>
                </pic:pic>
              </a:graphicData>
            </a:graphic>
          </wp:inline>
        </w:drawing>
      </w:r>
    </w:p>
    <w:p>
      <w:pPr>
        <w:spacing w:before="200" w:after="60"/>
        <w:jc w:val="center"/>
      </w:pPr>
      <w:r>
        <w:drawing>
          <wp:inline xmlns:a="http://schemas.openxmlformats.org/drawingml/2006/main" xmlns:pic="http://schemas.openxmlformats.org/drawingml/2006/picture">
            <wp:extent cx="5029200" cy="2445448"/>
            <wp:docPr id="72" name="Picture 72"/>
            <wp:cNvGraphicFramePr>
              <a:graphicFrameLocks noChangeAspect="1"/>
            </wp:cNvGraphicFramePr>
            <a:graphic>
              <a:graphicData uri="http://schemas.openxmlformats.org/drawingml/2006/picture">
                <pic:pic>
                  <pic:nvPicPr>
                    <pic:cNvPr id="0" name="figura-30-4.png"/>
                    <pic:cNvPicPr/>
                  </pic:nvPicPr>
                  <pic:blipFill>
                    <a:blip r:embed="rId80"/>
                    <a:stretch>
                      <a:fillRect/>
                    </a:stretch>
                  </pic:blipFill>
                  <pic:spPr>
                    <a:xfrm>
                      <a:off x="0" y="0"/>
                      <a:ext cx="5029200" cy="2445448"/>
                    </a:xfrm>
                    <a:prstGeom prst="rect"/>
                  </pic:spPr>
                </pic:pic>
              </a:graphicData>
            </a:graphic>
          </wp:inline>
        </w:drawing>
      </w:r>
    </w:p>
    <w:p>
      <w:pPr>
        <w:spacing w:after="200" w:before="40"/>
      </w:pPr>
      <w:r>
        <w:rPr>
          <w:rFonts w:ascii="IBM Plex Sans" w:hAnsi="IBM Plex Sans" w:cs="IBM Plex Sans"/>
          <w:b/>
          <w:color w:val="1F3A5F"/>
          <w:sz w:val="17"/>
        </w:rPr>
        <w:t xml:space="preserve">TABLA 30.1   </w:t>
      </w:r>
      <w:r>
        <w:rPr>
          <w:rFonts w:ascii="IBM Plex Sans" w:hAnsi="IBM Plex Sans" w:cs="IBM Plex Sans"/>
          <w:color w:val="3A352F"/>
          <w:sz w:val="18"/>
        </w:rPr>
        <w:t xml:space="preserve">Operaciones frecuentes y su secuencia semántica</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OPERACIÓN</w:t>
            </w:r>
          </w:p>
        </w:tc>
        <w:tc>
          <w:tcPr>
            <w:tcW w:type="dxa" w:w="2772"/>
            <w:shd w:val="clear" w:color="auto" w:fill="EAE4D8"/>
          </w:tcPr>
          <w:p>
            <w:pPr>
              <w:spacing w:after="40"/>
            </w:pPr>
            <w:r>
              <w:rPr>
                <w:sz w:val="17"/>
              </w:rPr>
            </w:r>
            <w:r>
              <w:rPr>
                <w:rFonts w:ascii="IBM Plex Sans" w:hAnsi="IBM Plex Sans" w:cs="IBM Plex Sans"/>
                <w:b/>
                <w:i w:val="0"/>
                <w:color w:val="1F3A5F"/>
                <w:sz w:val="17"/>
              </w:rPr>
              <w:t>SECUENCIA SEMÁNTICA</w:t>
            </w:r>
          </w:p>
        </w:tc>
        <w:tc>
          <w:tcPr>
            <w:tcW w:type="dxa" w:w="2772"/>
            <w:shd w:val="clear" w:color="auto" w:fill="EAE4D8"/>
          </w:tcPr>
          <w:p>
            <w:pPr>
              <w:spacing w:after="40"/>
            </w:pPr>
            <w:r>
              <w:rPr>
                <w:sz w:val="17"/>
              </w:rPr>
            </w:r>
            <w:r>
              <w:rPr>
                <w:rFonts w:ascii="IBM Plex Sans" w:hAnsi="IBM Plex Sans" w:cs="IBM Plex Sans"/>
                <w:b/>
                <w:i w:val="0"/>
                <w:color w:val="1F3A5F"/>
                <w:sz w:val="17"/>
              </w:rPr>
              <w:t>LECTURA</w:t>
            </w:r>
          </w:p>
        </w:tc>
      </w:tr>
      <w:tr>
        <w:tc>
          <w:tcPr>
            <w:tcW w:type="dxa" w:w="2772"/>
          </w:tcPr>
          <w:p>
            <w:pPr>
              <w:spacing w:after="40"/>
            </w:pPr>
            <w:r>
              <w:rPr>
                <w:sz w:val="17"/>
              </w:rPr>
            </w:r>
            <w:r>
              <w:rPr>
                <w:rFonts w:ascii="IBM Plex Sans" w:hAnsi="IBM Plex Sans" w:cs="IBM Plex Sans"/>
                <w:b w:val="0"/>
                <w:i w:val="0"/>
                <w:color w:val="161412"/>
                <w:sz w:val="17"/>
              </w:rPr>
              <w:t>Activar switch</w:t>
            </w:r>
          </w:p>
        </w:tc>
        <w:tc>
          <w:tcPr>
            <w:tcW w:type="dxa" w:w="2772"/>
          </w:tcPr>
          <w:p>
            <w:pPr>
              <w:spacing w:after="40"/>
            </w:pPr>
            <w:r>
              <w:rPr>
                <w:sz w:val="17"/>
              </w:rPr>
            </w:r>
            <w:r>
              <w:rPr>
                <w:rFonts w:ascii="IBM Plex Sans" w:hAnsi="IBM Plex Sans" w:cs="IBM Plex Sans"/>
                <w:b w:val="0"/>
                <w:i w:val="0"/>
                <w:color w:val="161412"/>
                <w:sz w:val="17"/>
              </w:rPr>
              <w:t>contact.press → commit.toggle + affirm</w:t>
            </w:r>
          </w:p>
        </w:tc>
        <w:tc>
          <w:tcPr>
            <w:tcW w:type="dxa" w:w="2772"/>
          </w:tcPr>
          <w:p>
            <w:pPr>
              <w:spacing w:after="40"/>
            </w:pPr>
            <w:r>
              <w:rPr>
                <w:sz w:val="17"/>
              </w:rPr>
            </w:r>
            <w:r>
              <w:rPr>
                <w:rFonts w:ascii="IBM Plex Sans" w:hAnsi="IBM Plex Sans" w:cs="IBM Plex Sans"/>
                <w:b w:val="0"/>
                <w:i w:val="0"/>
                <w:color w:val="161412"/>
                <w:sz w:val="17"/>
              </w:rPr>
              <w:t>acción recibida, estado aplicado</w:t>
            </w:r>
          </w:p>
        </w:tc>
      </w:tr>
      <w:tr>
        <w:tc>
          <w:tcPr>
            <w:tcW w:type="dxa" w:w="2772"/>
          </w:tcPr>
          <w:p>
            <w:pPr>
              <w:spacing w:after="40"/>
            </w:pPr>
            <w:r>
              <w:rPr>
                <w:sz w:val="17"/>
              </w:rPr>
            </w:r>
            <w:r>
              <w:rPr>
                <w:rFonts w:ascii="IBM Plex Sans" w:hAnsi="IBM Plex Sans" w:cs="IBM Plex Sans"/>
                <w:b w:val="0"/>
                <w:i w:val="0"/>
                <w:color w:val="161412"/>
                <w:sz w:val="17"/>
              </w:rPr>
              <w:t>Guardar remoto</w:t>
            </w:r>
          </w:p>
        </w:tc>
        <w:tc>
          <w:tcPr>
            <w:tcW w:type="dxa" w:w="2772"/>
          </w:tcPr>
          <w:p>
            <w:pPr>
              <w:spacing w:after="40"/>
            </w:pPr>
            <w:r>
              <w:rPr>
                <w:sz w:val="17"/>
              </w:rPr>
            </w:r>
            <w:r>
              <w:rPr>
                <w:rFonts w:ascii="IBM Plex Sans" w:hAnsi="IBM Plex Sans" w:cs="IBM Plex Sans"/>
                <w:b w:val="0"/>
                <w:i w:val="0"/>
                <w:color w:val="161412"/>
                <w:sz w:val="17"/>
              </w:rPr>
              <w:t>contact.press → sustain.progress → commit.save + affirm</w:t>
            </w:r>
          </w:p>
        </w:tc>
        <w:tc>
          <w:tcPr>
            <w:tcW w:type="dxa" w:w="2772"/>
          </w:tcPr>
          <w:p>
            <w:pPr>
              <w:spacing w:after="40"/>
            </w:pPr>
            <w:r>
              <w:rPr>
                <w:sz w:val="17"/>
              </w:rPr>
            </w:r>
            <w:r>
              <w:rPr>
                <w:rFonts w:ascii="IBM Plex Sans" w:hAnsi="IBM Plex Sans" w:cs="IBM Plex Sans"/>
                <w:b w:val="0"/>
                <w:i w:val="0"/>
                <w:color w:val="161412"/>
                <w:sz w:val="17"/>
              </w:rPr>
              <w:t>acción, proceso, cierre</w:t>
            </w:r>
          </w:p>
        </w:tc>
      </w:tr>
      <w:tr>
        <w:tc>
          <w:tcPr>
            <w:tcW w:type="dxa" w:w="2772"/>
          </w:tcPr>
          <w:p>
            <w:pPr>
              <w:spacing w:after="40"/>
            </w:pPr>
            <w:r>
              <w:rPr>
                <w:sz w:val="17"/>
              </w:rPr>
            </w:r>
            <w:r>
              <w:rPr>
                <w:rFonts w:ascii="IBM Plex Sans" w:hAnsi="IBM Plex Sans" w:cs="IBM Plex Sans"/>
                <w:b w:val="0"/>
                <w:i w:val="0"/>
                <w:color w:val="161412"/>
                <w:sz w:val="17"/>
              </w:rPr>
              <w:t>Completar flujo</w:t>
            </w:r>
          </w:p>
        </w:tc>
        <w:tc>
          <w:tcPr>
            <w:tcW w:type="dxa" w:w="2772"/>
          </w:tcPr>
          <w:p>
            <w:pPr>
              <w:spacing w:after="40"/>
            </w:pPr>
            <w:r>
              <w:rPr>
                <w:sz w:val="17"/>
              </w:rPr>
            </w:r>
            <w:r>
              <w:rPr>
                <w:rFonts w:ascii="IBM Plex Sans" w:hAnsi="IBM Plex Sans" w:cs="IBM Plex Sans"/>
                <w:b w:val="0"/>
                <w:i w:val="0"/>
                <w:color w:val="161412"/>
                <w:sz w:val="17"/>
              </w:rPr>
              <w:t>contact.press → sustain.progress → commit.complete + fulfill</w:t>
            </w:r>
          </w:p>
        </w:tc>
        <w:tc>
          <w:tcPr>
            <w:tcW w:type="dxa" w:w="2772"/>
          </w:tcPr>
          <w:p>
            <w:pPr>
              <w:spacing w:after="40"/>
            </w:pPr>
            <w:r>
              <w:rPr>
                <w:sz w:val="17"/>
              </w:rPr>
            </w:r>
            <w:r>
              <w:rPr>
                <w:rFonts w:ascii="IBM Plex Sans" w:hAnsi="IBM Plex Sans" w:cs="IBM Plex Sans"/>
                <w:b w:val="0"/>
                <w:i w:val="0"/>
                <w:color w:val="161412"/>
                <w:sz w:val="17"/>
              </w:rPr>
              <w:t>acción, espera, objetivo cumplido</w:t>
            </w:r>
          </w:p>
        </w:tc>
      </w:tr>
      <w:tr>
        <w:tc>
          <w:tcPr>
            <w:tcW w:type="dxa" w:w="2772"/>
          </w:tcPr>
          <w:p>
            <w:pPr>
              <w:spacing w:after="40"/>
            </w:pPr>
            <w:r>
              <w:rPr>
                <w:sz w:val="17"/>
              </w:rPr>
            </w:r>
            <w:r>
              <w:rPr>
                <w:rFonts w:ascii="IBM Plex Sans" w:hAnsi="IBM Plex Sans" w:cs="IBM Plex Sans"/>
                <w:b w:val="0"/>
                <w:i w:val="0"/>
                <w:color w:val="161412"/>
                <w:sz w:val="17"/>
              </w:rPr>
              <w:t>Eliminar</w:t>
            </w:r>
          </w:p>
        </w:tc>
        <w:tc>
          <w:tcPr>
            <w:tcW w:type="dxa" w:w="2772"/>
          </w:tcPr>
          <w:p>
            <w:pPr>
              <w:spacing w:after="40"/>
            </w:pPr>
            <w:r>
              <w:rPr>
                <w:sz w:val="17"/>
              </w:rPr>
            </w:r>
            <w:r>
              <w:rPr>
                <w:rFonts w:ascii="IBM Plex Sans" w:hAnsi="IBM Plex Sans" w:cs="IBM Plex Sans"/>
                <w:b w:val="0"/>
                <w:i w:val="0"/>
                <w:color w:val="161412"/>
                <w:sz w:val="17"/>
              </w:rPr>
              <w:t>contact.press → signal.warn + threat → commit.delete + loss</w:t>
            </w:r>
          </w:p>
        </w:tc>
        <w:tc>
          <w:tcPr>
            <w:tcW w:type="dxa" w:w="2772"/>
          </w:tcPr>
          <w:p>
            <w:pPr>
              <w:spacing w:after="40"/>
            </w:pPr>
            <w:r>
              <w:rPr>
                <w:sz w:val="17"/>
              </w:rPr>
            </w:r>
            <w:r>
              <w:rPr>
                <w:rFonts w:ascii="IBM Plex Sans" w:hAnsi="IBM Plex Sans" w:cs="IBM Plex Sans"/>
                <w:b w:val="0"/>
                <w:i w:val="0"/>
                <w:color w:val="161412"/>
                <w:sz w:val="17"/>
              </w:rPr>
              <w:t>acción, advertencia, pérdida</w:t>
            </w:r>
          </w:p>
        </w:tc>
      </w:tr>
      <w:tr>
        <w:tc>
          <w:tcPr>
            <w:tcW w:type="dxa" w:w="2772"/>
          </w:tcPr>
          <w:p>
            <w:pPr>
              <w:spacing w:after="40"/>
            </w:pPr>
            <w:r>
              <w:rPr>
                <w:sz w:val="17"/>
              </w:rPr>
            </w:r>
            <w:r>
              <w:rPr>
                <w:rFonts w:ascii="IBM Plex Sans" w:hAnsi="IBM Plex Sans" w:cs="IBM Plex Sans"/>
                <w:b w:val="0"/>
                <w:i w:val="0"/>
                <w:color w:val="161412"/>
                <w:sz w:val="17"/>
              </w:rPr>
              <w:t>Deshacer eliminación</w:t>
            </w:r>
          </w:p>
        </w:tc>
        <w:tc>
          <w:tcPr>
            <w:tcW w:type="dxa" w:w="2772"/>
          </w:tcPr>
          <w:p>
            <w:pPr>
              <w:spacing w:after="40"/>
            </w:pPr>
            <w:r>
              <w:rPr>
                <w:sz w:val="17"/>
              </w:rPr>
            </w:r>
            <w:r>
              <w:rPr>
                <w:rFonts w:ascii="IBM Plex Sans" w:hAnsi="IBM Plex Sans" w:cs="IBM Plex Sans"/>
                <w:b w:val="0"/>
                <w:i w:val="0"/>
                <w:color w:val="161412"/>
                <w:sz w:val="17"/>
              </w:rPr>
              <w:t>commit.delete + loss → emerge.present undo</w:t>
            </w:r>
          </w:p>
        </w:tc>
        <w:tc>
          <w:tcPr>
            <w:tcW w:type="dxa" w:w="2772"/>
          </w:tcPr>
          <w:p>
            <w:pPr>
              <w:spacing w:after="40"/>
            </w:pPr>
            <w:r>
              <w:rPr>
                <w:sz w:val="17"/>
              </w:rPr>
            </w:r>
            <w:r>
              <w:rPr>
                <w:rFonts w:ascii="IBM Plex Sans" w:hAnsi="IBM Plex Sans" w:cs="IBM Plex Sans"/>
                <w:b w:val="0"/>
                <w:i w:val="0"/>
                <w:color w:val="161412"/>
                <w:sz w:val="17"/>
              </w:rPr>
              <w:t>pérdida con reparación temporal</w:t>
            </w:r>
          </w:p>
        </w:tc>
      </w:tr>
      <w:tr>
        <w:tc>
          <w:tcPr>
            <w:tcW w:type="dxa" w:w="2772"/>
          </w:tcPr>
          <w:p>
            <w:pPr>
              <w:spacing w:after="40"/>
            </w:pPr>
            <w:r>
              <w:rPr>
                <w:sz w:val="17"/>
              </w:rPr>
            </w:r>
            <w:r>
              <w:rPr>
                <w:rFonts w:ascii="IBM Plex Sans" w:hAnsi="IBM Plex Sans" w:cs="IBM Plex Sans"/>
                <w:b w:val="0"/>
                <w:i w:val="0"/>
                <w:color w:val="161412"/>
                <w:sz w:val="17"/>
              </w:rPr>
              <w:t>Reordenar</w:t>
            </w:r>
          </w:p>
        </w:tc>
        <w:tc>
          <w:tcPr>
            <w:tcW w:type="dxa" w:w="2772"/>
          </w:tcPr>
          <w:p>
            <w:pPr>
              <w:spacing w:after="40"/>
            </w:pPr>
            <w:r>
              <w:rPr>
                <w:sz w:val="17"/>
              </w:rPr>
            </w:r>
            <w:r>
              <w:rPr>
                <w:rFonts w:ascii="IBM Plex Sans" w:hAnsi="IBM Plex Sans" w:cs="IBM Plex Sans"/>
                <w:b w:val="0"/>
                <w:i w:val="0"/>
                <w:color w:val="161412"/>
                <w:sz w:val="17"/>
              </w:rPr>
              <w:t>contact.press → handle → commit.reorder + affirm</w:t>
            </w:r>
          </w:p>
        </w:tc>
        <w:tc>
          <w:tcPr>
            <w:tcW w:type="dxa" w:w="2772"/>
          </w:tcPr>
          <w:p>
            <w:pPr>
              <w:spacing w:after="40"/>
            </w:pPr>
            <w:r>
              <w:rPr>
                <w:sz w:val="17"/>
              </w:rPr>
            </w:r>
            <w:r>
              <w:rPr>
                <w:rFonts w:ascii="IBM Plex Sans" w:hAnsi="IBM Plex Sans" w:cs="IBM Plex Sans"/>
                <w:b w:val="0"/>
                <w:i w:val="0"/>
                <w:color w:val="161412"/>
                <w:sz w:val="17"/>
              </w:rPr>
              <w:t>agarre, control, resultado</w:t>
            </w:r>
          </w:p>
        </w:tc>
      </w:tr>
    </w:tbl>
    <w:p>
      <w:pPr>
        <w:spacing w:after="200" w:before="40"/>
      </w:pPr>
      <w:r>
        <w:rPr>
          <w:rFonts w:ascii="IBM Plex Sans" w:hAnsi="IBM Plex Sans" w:cs="IBM Plex Sans"/>
          <w:b/>
          <w:color w:val="1F3A5F"/>
          <w:sz w:val="17"/>
        </w:rPr>
        <w:t xml:space="preserve">TABLA 30.2   </w:t>
      </w:r>
      <w:r>
        <w:rPr>
          <w:rFonts w:ascii="IBM Plex Sans" w:hAnsi="IBM Plex Sans" w:cs="IBM Plex Sans"/>
          <w:color w:val="3A352F"/>
          <w:sz w:val="18"/>
        </w:rPr>
        <w:t xml:space="preserve">Las siete reglas de composición y su fundamento</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REGLA</w:t>
            </w:r>
          </w:p>
        </w:tc>
        <w:tc>
          <w:tcPr>
            <w:tcW w:type="dxa" w:w="4158"/>
            <w:shd w:val="clear" w:color="auto" w:fill="EAE4D8"/>
          </w:tcPr>
          <w:p>
            <w:pPr>
              <w:spacing w:after="40"/>
            </w:pPr>
            <w:r>
              <w:rPr>
                <w:sz w:val="17"/>
              </w:rPr>
            </w:r>
            <w:r>
              <w:rPr>
                <w:rFonts w:ascii="IBM Plex Sans" w:hAnsi="IBM Plex Sans" w:cs="IBM Plex Sans"/>
                <w:b/>
                <w:i w:val="0"/>
                <w:color w:val="1F3A5F"/>
                <w:sz w:val="17"/>
              </w:rPr>
              <w:t>FUNDAMENTO</w:t>
            </w:r>
          </w:p>
        </w:tc>
      </w:tr>
      <w:tr>
        <w:tc>
          <w:tcPr>
            <w:tcW w:type="dxa" w:w="4158"/>
          </w:tcPr>
          <w:p>
            <w:pPr>
              <w:spacing w:after="40"/>
            </w:pPr>
            <w:r>
              <w:rPr>
                <w:sz w:val="17"/>
              </w:rPr>
            </w:r>
            <w:r>
              <w:rPr>
                <w:rFonts w:ascii="IBM Plex Sans" w:hAnsi="IBM Plex Sans" w:cs="IBM Plex Sans"/>
                <w:b w:val="0"/>
                <w:i w:val="0"/>
                <w:color w:val="161412"/>
                <w:sz w:val="17"/>
              </w:rPr>
              <w:t>contact precede a resultado</w:t>
            </w:r>
          </w:p>
        </w:tc>
        <w:tc>
          <w:tcPr>
            <w:tcW w:type="dxa" w:w="4158"/>
          </w:tcPr>
          <w:p>
            <w:pPr>
              <w:spacing w:after="40"/>
            </w:pPr>
            <w:r>
              <w:rPr>
                <w:sz w:val="17"/>
              </w:rPr>
            </w:r>
            <w:r>
              <w:rPr>
                <w:rFonts w:ascii="IBM Plex Sans" w:hAnsi="IBM Plex Sans" w:cs="IBM Plex Sans"/>
                <w:b w:val="0"/>
                <w:i w:val="0"/>
                <w:color w:val="161412"/>
                <w:sz w:val="17"/>
              </w:rPr>
              <w:t>agencia y causalidad</w:t>
            </w:r>
          </w:p>
        </w:tc>
      </w:tr>
      <w:tr>
        <w:tc>
          <w:tcPr>
            <w:tcW w:type="dxa" w:w="4158"/>
          </w:tcPr>
          <w:p>
            <w:pPr>
              <w:spacing w:after="40"/>
            </w:pPr>
            <w:r>
              <w:rPr>
                <w:sz w:val="17"/>
              </w:rPr>
            </w:r>
            <w:r>
              <w:rPr>
                <w:rFonts w:ascii="IBM Plex Sans" w:hAnsi="IBM Plex Sans" w:cs="IBM Plex Sans"/>
                <w:b w:val="0"/>
                <w:i w:val="0"/>
                <w:color w:val="161412"/>
                <w:sz w:val="17"/>
              </w:rPr>
              <w:t>sustain precede a commit si hay espera</w:t>
            </w:r>
          </w:p>
        </w:tc>
        <w:tc>
          <w:tcPr>
            <w:tcW w:type="dxa" w:w="4158"/>
          </w:tcPr>
          <w:p>
            <w:pPr>
              <w:spacing w:after="40"/>
            </w:pPr>
            <w:r>
              <w:rPr>
                <w:sz w:val="17"/>
              </w:rPr>
            </w:r>
            <w:r>
              <w:rPr>
                <w:rFonts w:ascii="IBM Plex Sans" w:hAnsi="IBM Plex Sans" w:cs="IBM Plex Sans"/>
                <w:b w:val="0"/>
                <w:i w:val="0"/>
                <w:color w:val="161412"/>
                <w:sz w:val="17"/>
              </w:rPr>
              <w:t>continuidad temporal</w:t>
            </w:r>
          </w:p>
        </w:tc>
      </w:tr>
      <w:tr>
        <w:tc>
          <w:tcPr>
            <w:tcW w:type="dxa" w:w="4158"/>
          </w:tcPr>
          <w:p>
            <w:pPr>
              <w:spacing w:after="40"/>
            </w:pPr>
            <w:r>
              <w:rPr>
                <w:sz w:val="17"/>
              </w:rPr>
            </w:r>
            <w:r>
              <w:rPr>
                <w:rFonts w:ascii="IBM Plex Sans" w:hAnsi="IBM Plex Sans" w:cs="IBM Plex Sans"/>
                <w:b w:val="0"/>
                <w:i w:val="0"/>
                <w:color w:val="161412"/>
                <w:sz w:val="17"/>
              </w:rPr>
              <w:t>threat precede a loss</w:t>
            </w:r>
          </w:p>
        </w:tc>
        <w:tc>
          <w:tcPr>
            <w:tcW w:type="dxa" w:w="4158"/>
          </w:tcPr>
          <w:p>
            <w:pPr>
              <w:spacing w:after="40"/>
            </w:pPr>
            <w:r>
              <w:rPr>
                <w:sz w:val="17"/>
              </w:rPr>
            </w:r>
            <w:r>
              <w:rPr>
                <w:rFonts w:ascii="IBM Plex Sans" w:hAnsi="IBM Plex Sans" w:cs="IBM Plex Sans"/>
                <w:b w:val="0"/>
                <w:i w:val="0"/>
                <w:color w:val="161412"/>
                <w:sz w:val="17"/>
              </w:rPr>
              <w:t>antes/después de consecuencia</w:t>
            </w:r>
          </w:p>
        </w:tc>
      </w:tr>
      <w:tr>
        <w:tc>
          <w:tcPr>
            <w:tcW w:type="dxa" w:w="4158"/>
          </w:tcPr>
          <w:p>
            <w:pPr>
              <w:spacing w:after="40"/>
            </w:pPr>
            <w:r>
              <w:rPr>
                <w:sz w:val="17"/>
              </w:rPr>
            </w:r>
            <w:r>
              <w:rPr>
                <w:rFonts w:ascii="IBM Plex Sans" w:hAnsi="IBM Plex Sans" w:cs="IBM Plex Sans"/>
                <w:b w:val="0"/>
                <w:i w:val="0"/>
                <w:color w:val="161412"/>
                <w:sz w:val="17"/>
              </w:rPr>
              <w:t>emerge no absorbe intent</w:t>
            </w:r>
          </w:p>
        </w:tc>
        <w:tc>
          <w:tcPr>
            <w:tcW w:type="dxa" w:w="4158"/>
          </w:tcPr>
          <w:p>
            <w:pPr>
              <w:spacing w:after="40"/>
            </w:pPr>
            <w:r>
              <w:rPr>
                <w:sz w:val="17"/>
              </w:rPr>
            </w:r>
            <w:r>
              <w:rPr>
                <w:rFonts w:ascii="IBM Plex Sans" w:hAnsi="IBM Plex Sans" w:cs="IBM Plex Sans"/>
                <w:b w:val="0"/>
                <w:i w:val="0"/>
                <w:color w:val="161412"/>
                <w:sz w:val="17"/>
              </w:rPr>
              <w:t>figura/fondo; marco ≠ mensaje</w:t>
            </w:r>
          </w:p>
        </w:tc>
      </w:tr>
      <w:tr>
        <w:tc>
          <w:tcPr>
            <w:tcW w:type="dxa" w:w="4158"/>
          </w:tcPr>
          <w:p>
            <w:pPr>
              <w:spacing w:after="40"/>
            </w:pPr>
            <w:r>
              <w:rPr>
                <w:sz w:val="17"/>
              </w:rPr>
            </w:r>
            <w:r>
              <w:rPr>
                <w:rFonts w:ascii="IBM Plex Sans" w:hAnsi="IBM Plex Sans" w:cs="IBM Plex Sans"/>
                <w:b w:val="0"/>
                <w:i w:val="0"/>
                <w:color w:val="161412"/>
                <w:sz w:val="17"/>
              </w:rPr>
              <w:t>shift debe orientar</w:t>
            </w:r>
          </w:p>
        </w:tc>
        <w:tc>
          <w:tcPr>
            <w:tcW w:type="dxa" w:w="4158"/>
          </w:tcPr>
          <w:p>
            <w:pPr>
              <w:spacing w:after="40"/>
            </w:pPr>
            <w:r>
              <w:rPr>
                <w:sz w:val="17"/>
              </w:rPr>
            </w:r>
            <w:r>
              <w:rPr>
                <w:rFonts w:ascii="IBM Plex Sans" w:hAnsi="IBM Plex Sans" w:cs="IBM Plex Sans"/>
                <w:b w:val="0"/>
                <w:i w:val="0"/>
                <w:color w:val="161412"/>
                <w:sz w:val="17"/>
              </w:rPr>
              <w:t>cambio de modelo operativo</w:t>
            </w:r>
          </w:p>
        </w:tc>
      </w:tr>
      <w:tr>
        <w:tc>
          <w:tcPr>
            <w:tcW w:type="dxa" w:w="4158"/>
          </w:tcPr>
          <w:p>
            <w:pPr>
              <w:spacing w:after="40"/>
            </w:pPr>
            <w:r>
              <w:rPr>
                <w:sz w:val="17"/>
              </w:rPr>
            </w:r>
            <w:r>
              <w:rPr>
                <w:rFonts w:ascii="IBM Plex Sans" w:hAnsi="IBM Plex Sans" w:cs="IBM Plex Sans"/>
                <w:b w:val="0"/>
                <w:i w:val="0"/>
                <w:color w:val="161412"/>
                <w:sz w:val="17"/>
              </w:rPr>
              <w:t>handle.drop concentra evaluación</w:t>
            </w:r>
          </w:p>
        </w:tc>
        <w:tc>
          <w:tcPr>
            <w:tcW w:type="dxa" w:w="4158"/>
          </w:tcPr>
          <w:p>
            <w:pPr>
              <w:spacing w:after="40"/>
            </w:pPr>
            <w:r>
              <w:rPr>
                <w:sz w:val="17"/>
              </w:rPr>
            </w:r>
            <w:r>
              <w:rPr>
                <w:rFonts w:ascii="IBM Plex Sans" w:hAnsi="IBM Plex Sans" w:cs="IBM Plex Sans"/>
                <w:b w:val="0"/>
                <w:i w:val="0"/>
                <w:color w:val="161412"/>
                <w:sz w:val="17"/>
              </w:rPr>
              <w:t>control continuo vs resultado</w:t>
            </w:r>
          </w:p>
        </w:tc>
      </w:tr>
      <w:tr>
        <w:tc>
          <w:tcPr>
            <w:tcW w:type="dxa" w:w="4158"/>
          </w:tcPr>
          <w:p>
            <w:pPr>
              <w:spacing w:after="40"/>
            </w:pPr>
            <w:r>
              <w:rPr>
                <w:sz w:val="17"/>
              </w:rPr>
            </w:r>
            <w:r>
              <w:rPr>
                <w:rFonts w:ascii="IBM Plex Sans" w:hAnsi="IBM Plex Sans" w:cs="IBM Plex Sans"/>
                <w:b w:val="0"/>
                <w:i w:val="0"/>
                <w:color w:val="161412"/>
                <w:sz w:val="17"/>
              </w:rPr>
              <w:t>sustain necesita salida</w:t>
            </w:r>
          </w:p>
        </w:tc>
        <w:tc>
          <w:tcPr>
            <w:tcW w:type="dxa" w:w="4158"/>
          </w:tcPr>
          <w:p>
            <w:pPr>
              <w:spacing w:after="40"/>
            </w:pPr>
            <w:r>
              <w:rPr>
                <w:sz w:val="17"/>
              </w:rPr>
            </w:r>
            <w:r>
              <w:rPr>
                <w:rFonts w:ascii="IBM Plex Sans" w:hAnsi="IBM Plex Sans" w:cs="IBM Plex Sans"/>
                <w:b w:val="0"/>
                <w:i w:val="0"/>
                <w:color w:val="161412"/>
                <w:sz w:val="17"/>
              </w:rPr>
              <w:t>cierre cognitivo</w:t>
            </w:r>
          </w:p>
        </w:tc>
      </w:tr>
    </w:tbl>
    <w:p>
      <w:pPr>
        <w:spacing w:after="200" w:before="40"/>
      </w:pPr>
      <w:r>
        <w:rPr>
          <w:rFonts w:ascii="IBM Plex Sans" w:hAnsi="IBM Plex Sans" w:cs="IBM Plex Sans"/>
          <w:b/>
          <w:color w:val="1F3A5F"/>
          <w:sz w:val="17"/>
        </w:rPr>
        <w:t xml:space="preserve">TABLA 30.3   </w:t>
      </w:r>
      <w:r>
        <w:rPr>
          <w:rFonts w:ascii="IBM Plex Sans" w:hAnsi="IBM Plex Sans" w:cs="IBM Plex Sans"/>
          <w:color w:val="3A352F"/>
          <w:sz w:val="18"/>
        </w:rPr>
        <w:t xml:space="preserve">El ejemplo largo, momento a momento</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079"/>
        <w:gridCol w:w="2079"/>
        <w:gridCol w:w="2079"/>
        <w:gridCol w:w="2079"/>
      </w:tblGrid>
      <w:tr>
        <w:tc>
          <w:tcPr>
            <w:tcW w:type="dxa" w:w="2079"/>
            <w:shd w:val="clear" w:color="auto" w:fill="EAE4D8"/>
          </w:tcPr>
          <w:p>
            <w:pPr>
              <w:spacing w:after="40"/>
            </w:pPr>
            <w:r>
              <w:rPr>
                <w:sz w:val="17"/>
              </w:rPr>
            </w:r>
            <w:r>
              <w:rPr>
                <w:rFonts w:ascii="IBM Plex Sans" w:hAnsi="IBM Plex Sans" w:cs="IBM Plex Sans"/>
                <w:b/>
                <w:i w:val="0"/>
                <w:color w:val="1F3A5F"/>
                <w:sz w:val="17"/>
              </w:rPr>
              <w:t>MOMENTO</w:t>
            </w:r>
          </w:p>
        </w:tc>
        <w:tc>
          <w:tcPr>
            <w:tcW w:type="dxa" w:w="2079"/>
            <w:shd w:val="clear" w:color="auto" w:fill="EAE4D8"/>
          </w:tcPr>
          <w:p>
            <w:pPr>
              <w:spacing w:after="40"/>
            </w:pPr>
            <w:r>
              <w:rPr>
                <w:sz w:val="17"/>
              </w:rPr>
            </w:r>
            <w:r>
              <w:rPr>
                <w:rFonts w:ascii="IBM Plex Sans" w:hAnsi="IBM Plex Sans" w:cs="IBM Plex Sans"/>
                <w:b/>
                <w:i w:val="0"/>
                <w:color w:val="1F3A5F"/>
                <w:sz w:val="17"/>
              </w:rPr>
              <w:t>FAMILIA</w:t>
            </w:r>
          </w:p>
        </w:tc>
        <w:tc>
          <w:tcPr>
            <w:tcW w:type="dxa" w:w="2079"/>
            <w:shd w:val="clear" w:color="auto" w:fill="EAE4D8"/>
          </w:tcPr>
          <w:p>
            <w:pPr>
              <w:spacing w:after="40"/>
            </w:pPr>
            <w:r>
              <w:rPr>
                <w:sz w:val="17"/>
              </w:rPr>
            </w:r>
            <w:r>
              <w:rPr>
                <w:rFonts w:ascii="IBM Plex Sans" w:hAnsi="IBM Plex Sans" w:cs="IBM Plex Sans"/>
                <w:b/>
                <w:i w:val="0"/>
                <w:color w:val="1F3A5F"/>
                <w:sz w:val="17"/>
              </w:rPr>
              <w:t>INTENT</w:t>
            </w:r>
          </w:p>
        </w:tc>
        <w:tc>
          <w:tcPr>
            <w:tcW w:type="dxa" w:w="2079"/>
            <w:shd w:val="clear" w:color="auto" w:fill="EAE4D8"/>
          </w:tcPr>
          <w:p>
            <w:pPr>
              <w:spacing w:after="40"/>
            </w:pPr>
            <w:r>
              <w:rPr>
                <w:sz w:val="17"/>
              </w:rPr>
            </w:r>
            <w:r>
              <w:rPr>
                <w:rFonts w:ascii="IBM Plex Sans" w:hAnsi="IBM Plex Sans" w:cs="IBM Plex Sans"/>
                <w:b/>
                <w:i w:val="0"/>
                <w:color w:val="1F3A5F"/>
                <w:sz w:val="17"/>
              </w:rPr>
              <w:t>LECTURA</w:t>
            </w:r>
          </w:p>
        </w:tc>
      </w:tr>
      <w:tr>
        <w:tc>
          <w:tcPr>
            <w:tcW w:type="dxa" w:w="2079"/>
          </w:tcPr>
          <w:p>
            <w:pPr>
              <w:spacing w:after="40"/>
            </w:pPr>
            <w:r>
              <w:rPr>
                <w:sz w:val="17"/>
              </w:rPr>
            </w:r>
            <w:r>
              <w:rPr>
                <w:rFonts w:ascii="IBM Plex Sans" w:hAnsi="IBM Plex Sans" w:cs="IBM Plex Sans"/>
                <w:b w:val="0"/>
                <w:i w:val="0"/>
                <w:color w:val="161412"/>
                <w:sz w:val="17"/>
              </w:rPr>
              <w:t>Pulsar subir</w:t>
            </w:r>
          </w:p>
        </w:tc>
        <w:tc>
          <w:tcPr>
            <w:tcW w:type="dxa" w:w="2079"/>
          </w:tcPr>
          <w:p>
            <w:pPr>
              <w:spacing w:after="40"/>
            </w:pPr>
            <w:r>
              <w:rPr>
                <w:sz w:val="17"/>
              </w:rPr>
            </w:r>
            <w:r>
              <w:rPr>
                <w:rFonts w:ascii="IBM Plex Sans" w:hAnsi="IBM Plex Sans" w:cs="IBM Plex Sans"/>
                <w:b w:val="0"/>
                <w:i w:val="0"/>
                <w:color w:val="161412"/>
                <w:sz w:val="17"/>
              </w:rPr>
              <w:t>contact.press</w:t>
            </w:r>
          </w:p>
        </w:tc>
        <w:tc>
          <w:tcPr>
            <w:tcW w:type="dxa" w:w="2079"/>
          </w:tcPr>
          <w:p>
            <w:pPr>
              <w:spacing w:after="40"/>
            </w:pPr>
            <w:r>
              <w:rPr>
                <w:sz w:val="17"/>
              </w:rPr>
            </w:r>
            <w:r>
              <w:rPr>
                <w:rFonts w:ascii="IBM Plex Sans" w:hAnsi="IBM Plex Sans" w:cs="IBM Plex Sans"/>
                <w:b w:val="0"/>
                <w:i w:val="0"/>
                <w:color w:val="161412"/>
                <w:sz w:val="17"/>
              </w:rPr>
              <w:t>—</w:t>
            </w:r>
          </w:p>
        </w:tc>
        <w:tc>
          <w:tcPr>
            <w:tcW w:type="dxa" w:w="2079"/>
          </w:tcPr>
          <w:p>
            <w:pPr>
              <w:spacing w:after="40"/>
            </w:pPr>
            <w:r>
              <w:rPr>
                <w:sz w:val="17"/>
              </w:rPr>
            </w:r>
            <w:r>
              <w:rPr>
                <w:rFonts w:ascii="IBM Plex Sans" w:hAnsi="IBM Plex Sans" w:cs="IBM Plex Sans"/>
                <w:b w:val="0"/>
                <w:i w:val="0"/>
                <w:color w:val="161412"/>
                <w:sz w:val="17"/>
              </w:rPr>
              <w:t>el sistema me ha sentido</w:t>
            </w:r>
          </w:p>
        </w:tc>
      </w:tr>
      <w:tr>
        <w:tc>
          <w:tcPr>
            <w:tcW w:type="dxa" w:w="2079"/>
          </w:tcPr>
          <w:p>
            <w:pPr>
              <w:spacing w:after="40"/>
            </w:pPr>
            <w:r>
              <w:rPr>
                <w:sz w:val="17"/>
              </w:rPr>
            </w:r>
            <w:r>
              <w:rPr>
                <w:rFonts w:ascii="IBM Plex Sans" w:hAnsi="IBM Plex Sans" w:cs="IBM Plex Sans"/>
                <w:b w:val="0"/>
                <w:i w:val="0"/>
                <w:color w:val="161412"/>
                <w:sz w:val="17"/>
              </w:rPr>
              <w:t>Subiendo</w:t>
            </w:r>
          </w:p>
        </w:tc>
        <w:tc>
          <w:tcPr>
            <w:tcW w:type="dxa" w:w="2079"/>
          </w:tcPr>
          <w:p>
            <w:pPr>
              <w:spacing w:after="40"/>
            </w:pPr>
            <w:r>
              <w:rPr>
                <w:sz w:val="17"/>
              </w:rPr>
            </w:r>
            <w:r>
              <w:rPr>
                <w:rFonts w:ascii="IBM Plex Sans" w:hAnsi="IBM Plex Sans" w:cs="IBM Plex Sans"/>
                <w:b w:val="0"/>
                <w:i w:val="0"/>
                <w:color w:val="161412"/>
                <w:sz w:val="17"/>
              </w:rPr>
              <w:t>sustain.upload</w:t>
            </w:r>
          </w:p>
        </w:tc>
        <w:tc>
          <w:tcPr>
            <w:tcW w:type="dxa" w:w="2079"/>
          </w:tcPr>
          <w:p>
            <w:pPr>
              <w:spacing w:after="40"/>
            </w:pPr>
            <w:r>
              <w:rPr>
                <w:sz w:val="17"/>
              </w:rPr>
            </w:r>
            <w:r>
              <w:rPr>
                <w:rFonts w:ascii="IBM Plex Sans" w:hAnsi="IBM Plex Sans" w:cs="IBM Plex Sans"/>
                <w:b w:val="0"/>
                <w:i w:val="0"/>
                <w:color w:val="161412"/>
                <w:sz w:val="17"/>
              </w:rPr>
              <w:t>—</w:t>
            </w:r>
          </w:p>
        </w:tc>
        <w:tc>
          <w:tcPr>
            <w:tcW w:type="dxa" w:w="2079"/>
          </w:tcPr>
          <w:p>
            <w:pPr>
              <w:spacing w:after="40"/>
            </w:pPr>
            <w:r>
              <w:rPr>
                <w:sz w:val="17"/>
              </w:rPr>
            </w:r>
            <w:r>
              <w:rPr>
                <w:rFonts w:ascii="IBM Plex Sans" w:hAnsi="IBM Plex Sans" w:cs="IBM Plex Sans"/>
                <w:b w:val="0"/>
                <w:i w:val="0"/>
                <w:color w:val="161412"/>
                <w:sz w:val="17"/>
              </w:rPr>
              <w:t>sigue trabajando</w:t>
            </w:r>
          </w:p>
        </w:tc>
      </w:tr>
      <w:tr>
        <w:tc>
          <w:tcPr>
            <w:tcW w:type="dxa" w:w="2079"/>
          </w:tcPr>
          <w:p>
            <w:pPr>
              <w:spacing w:after="40"/>
            </w:pPr>
            <w:r>
              <w:rPr>
                <w:sz w:val="17"/>
              </w:rPr>
            </w:r>
            <w:r>
              <w:rPr>
                <w:rFonts w:ascii="IBM Plex Sans" w:hAnsi="IBM Plex Sans" w:cs="IBM Plex Sans"/>
                <w:b w:val="0"/>
                <w:i w:val="0"/>
                <w:color w:val="161412"/>
                <w:sz w:val="17"/>
              </w:rPr>
              <w:t>Problema de red</w:t>
            </w:r>
          </w:p>
        </w:tc>
        <w:tc>
          <w:tcPr>
            <w:tcW w:type="dxa" w:w="2079"/>
          </w:tcPr>
          <w:p>
            <w:pPr>
              <w:spacing w:after="40"/>
            </w:pPr>
            <w:r>
              <w:rPr>
                <w:sz w:val="17"/>
              </w:rPr>
            </w:r>
            <w:r>
              <w:rPr>
                <w:rFonts w:ascii="IBM Plex Sans" w:hAnsi="IBM Plex Sans" w:cs="IBM Plex Sans"/>
                <w:b w:val="0"/>
                <w:i w:val="0"/>
                <w:color w:val="161412"/>
                <w:sz w:val="17"/>
              </w:rPr>
              <w:t>signal.warn</w:t>
            </w:r>
          </w:p>
        </w:tc>
        <w:tc>
          <w:tcPr>
            <w:tcW w:type="dxa" w:w="2079"/>
          </w:tcPr>
          <w:p>
            <w:pPr>
              <w:spacing w:after="40"/>
            </w:pPr>
            <w:r>
              <w:rPr>
                <w:sz w:val="17"/>
              </w:rPr>
            </w:r>
            <w:r>
              <w:rPr>
                <w:rFonts w:ascii="IBM Plex Sans" w:hAnsi="IBM Plex Sans" w:cs="IBM Plex Sans"/>
                <w:b w:val="0"/>
                <w:i w:val="0"/>
                <w:color w:val="161412"/>
                <w:sz w:val="17"/>
              </w:rPr>
              <w:t>risk</w:t>
            </w:r>
          </w:p>
        </w:tc>
        <w:tc>
          <w:tcPr>
            <w:tcW w:type="dxa" w:w="2079"/>
          </w:tcPr>
          <w:p>
            <w:pPr>
              <w:spacing w:after="40"/>
            </w:pPr>
            <w:r>
              <w:rPr>
                <w:sz w:val="17"/>
              </w:rPr>
            </w:r>
            <w:r>
              <w:rPr>
                <w:rFonts w:ascii="IBM Plex Sans" w:hAnsi="IBM Plex Sans" w:cs="IBM Plex Sans"/>
                <w:b w:val="0"/>
                <w:i w:val="0"/>
                <w:color w:val="161412"/>
                <w:sz w:val="17"/>
              </w:rPr>
              <w:t>hay algo corregible</w:t>
            </w:r>
          </w:p>
        </w:tc>
      </w:tr>
      <w:tr>
        <w:tc>
          <w:tcPr>
            <w:tcW w:type="dxa" w:w="2079"/>
          </w:tcPr>
          <w:p>
            <w:pPr>
              <w:spacing w:after="40"/>
            </w:pPr>
            <w:r>
              <w:rPr>
                <w:sz w:val="17"/>
              </w:rPr>
            </w:r>
            <w:r>
              <w:rPr>
                <w:rFonts w:ascii="IBM Plex Sans" w:hAnsi="IBM Plex Sans" w:cs="IBM Plex Sans"/>
                <w:b w:val="0"/>
                <w:i w:val="0"/>
                <w:color w:val="161412"/>
                <w:sz w:val="17"/>
              </w:rPr>
              <w:t>Reintento</w:t>
            </w:r>
          </w:p>
        </w:tc>
        <w:tc>
          <w:tcPr>
            <w:tcW w:type="dxa" w:w="2079"/>
          </w:tcPr>
          <w:p>
            <w:pPr>
              <w:spacing w:after="40"/>
            </w:pPr>
            <w:r>
              <w:rPr>
                <w:sz w:val="17"/>
              </w:rPr>
            </w:r>
            <w:r>
              <w:rPr>
                <w:rFonts w:ascii="IBM Plex Sans" w:hAnsi="IBM Plex Sans" w:cs="IBM Plex Sans"/>
                <w:b w:val="0"/>
                <w:i w:val="0"/>
                <w:color w:val="161412"/>
                <w:sz w:val="17"/>
              </w:rPr>
              <w:t>sustain.retrying</w:t>
            </w:r>
          </w:p>
        </w:tc>
        <w:tc>
          <w:tcPr>
            <w:tcW w:type="dxa" w:w="2079"/>
          </w:tcPr>
          <w:p>
            <w:pPr>
              <w:spacing w:after="40"/>
            </w:pPr>
            <w:r>
              <w:rPr>
                <w:sz w:val="17"/>
              </w:rPr>
            </w:r>
            <w:r>
              <w:rPr>
                <w:rFonts w:ascii="IBM Plex Sans" w:hAnsi="IBM Plex Sans" w:cs="IBM Plex Sans"/>
                <w:b w:val="0"/>
                <w:i w:val="0"/>
                <w:color w:val="161412"/>
                <w:sz w:val="17"/>
              </w:rPr>
              <w:t>—</w:t>
            </w:r>
          </w:p>
        </w:tc>
        <w:tc>
          <w:tcPr>
            <w:tcW w:type="dxa" w:w="2079"/>
          </w:tcPr>
          <w:p>
            <w:pPr>
              <w:spacing w:after="40"/>
            </w:pPr>
            <w:r>
              <w:rPr>
                <w:sz w:val="17"/>
              </w:rPr>
            </w:r>
            <w:r>
              <w:rPr>
                <w:rFonts w:ascii="IBM Plex Sans" w:hAnsi="IBM Plex Sans" w:cs="IBM Plex Sans"/>
                <w:b w:val="0"/>
                <w:i w:val="0"/>
                <w:color w:val="161412"/>
                <w:sz w:val="17"/>
              </w:rPr>
              <w:t>intenta recuperarse</w:t>
            </w:r>
          </w:p>
        </w:tc>
      </w:tr>
      <w:tr>
        <w:tc>
          <w:tcPr>
            <w:tcW w:type="dxa" w:w="2079"/>
          </w:tcPr>
          <w:p>
            <w:pPr>
              <w:spacing w:after="40"/>
            </w:pPr>
            <w:r>
              <w:rPr>
                <w:sz w:val="17"/>
              </w:rPr>
            </w:r>
            <w:r>
              <w:rPr>
                <w:rFonts w:ascii="IBM Plex Sans" w:hAnsi="IBM Plex Sans" w:cs="IBM Plex Sans"/>
                <w:b w:val="0"/>
                <w:i w:val="0"/>
                <w:color w:val="161412"/>
                <w:sz w:val="17"/>
              </w:rPr>
              <w:t>Resultado parcial</w:t>
            </w:r>
          </w:p>
        </w:tc>
        <w:tc>
          <w:tcPr>
            <w:tcW w:type="dxa" w:w="2079"/>
          </w:tcPr>
          <w:p>
            <w:pPr>
              <w:spacing w:after="40"/>
            </w:pPr>
            <w:r>
              <w:rPr>
                <w:sz w:val="17"/>
              </w:rPr>
            </w:r>
            <w:r>
              <w:rPr>
                <w:rFonts w:ascii="IBM Plex Sans" w:hAnsi="IBM Plex Sans" w:cs="IBM Plex Sans"/>
                <w:b w:val="0"/>
                <w:i w:val="0"/>
                <w:color w:val="161412"/>
                <w:sz w:val="17"/>
              </w:rPr>
              <w:t>commit.partial</w:t>
            </w:r>
          </w:p>
        </w:tc>
        <w:tc>
          <w:tcPr>
            <w:tcW w:type="dxa" w:w="2079"/>
          </w:tcPr>
          <w:p>
            <w:pPr>
              <w:spacing w:after="40"/>
            </w:pPr>
            <w:r>
              <w:rPr>
                <w:sz w:val="17"/>
              </w:rPr>
            </w:r>
            <w:r>
              <w:rPr>
                <w:rFonts w:ascii="IBM Plex Sans" w:hAnsi="IBM Plex Sans" w:cs="IBM Plex Sans"/>
                <w:b w:val="0"/>
                <w:i w:val="0"/>
                <w:color w:val="161412"/>
                <w:sz w:val="17"/>
              </w:rPr>
              <w:t>risk</w:t>
            </w:r>
          </w:p>
        </w:tc>
        <w:tc>
          <w:tcPr>
            <w:tcW w:type="dxa" w:w="2079"/>
          </w:tcPr>
          <w:p>
            <w:pPr>
              <w:spacing w:after="40"/>
            </w:pPr>
            <w:r>
              <w:rPr>
                <w:sz w:val="17"/>
              </w:rPr>
            </w:r>
            <w:r>
              <w:rPr>
                <w:rFonts w:ascii="IBM Plex Sans" w:hAnsi="IBM Plex Sans" w:cs="IBM Plex Sans"/>
                <w:b w:val="0"/>
                <w:i w:val="0"/>
                <w:color w:val="161412"/>
                <w:sz w:val="17"/>
              </w:rPr>
              <w:t>algo quedó incompleto</w:t>
            </w:r>
          </w:p>
        </w:tc>
      </w:tr>
      <w:tr>
        <w:tc>
          <w:tcPr>
            <w:tcW w:type="dxa" w:w="2079"/>
          </w:tcPr>
          <w:p>
            <w:pPr>
              <w:spacing w:after="40"/>
            </w:pPr>
            <w:r>
              <w:rPr>
                <w:sz w:val="17"/>
              </w:rPr>
            </w:r>
            <w:r>
              <w:rPr>
                <w:rFonts w:ascii="IBM Plex Sans" w:hAnsi="IBM Plex Sans" w:cs="IBM Plex Sans"/>
                <w:b w:val="0"/>
                <w:i w:val="0"/>
                <w:color w:val="161412"/>
                <w:sz w:val="17"/>
              </w:rPr>
              <w:t>Opción de recuperación</w:t>
            </w:r>
          </w:p>
        </w:tc>
        <w:tc>
          <w:tcPr>
            <w:tcW w:type="dxa" w:w="2079"/>
          </w:tcPr>
          <w:p>
            <w:pPr>
              <w:spacing w:after="40"/>
            </w:pPr>
            <w:r>
              <w:rPr>
                <w:sz w:val="17"/>
              </w:rPr>
            </w:r>
            <w:r>
              <w:rPr>
                <w:rFonts w:ascii="IBM Plex Sans" w:hAnsi="IBM Plex Sans" w:cs="IBM Plex Sans"/>
                <w:b w:val="0"/>
                <w:i w:val="0"/>
                <w:color w:val="161412"/>
                <w:sz w:val="17"/>
              </w:rPr>
              <w:t>emerge.present recovery</w:t>
            </w:r>
          </w:p>
        </w:tc>
        <w:tc>
          <w:tcPr>
            <w:tcW w:type="dxa" w:w="2079"/>
          </w:tcPr>
          <w:p>
            <w:pPr>
              <w:spacing w:after="40"/>
            </w:pPr>
            <w:r>
              <w:rPr>
                <w:sz w:val="17"/>
              </w:rPr>
            </w:r>
            <w:r>
              <w:rPr>
                <w:rFonts w:ascii="IBM Plex Sans" w:hAnsi="IBM Plex Sans" w:cs="IBM Plex Sans"/>
                <w:b w:val="0"/>
                <w:i w:val="0"/>
                <w:color w:val="161412"/>
                <w:sz w:val="17"/>
              </w:rPr>
              <w:t>—</w:t>
            </w:r>
          </w:p>
        </w:tc>
        <w:tc>
          <w:tcPr>
            <w:tcW w:type="dxa" w:w="2079"/>
          </w:tcPr>
          <w:p>
            <w:pPr>
              <w:spacing w:after="40"/>
            </w:pPr>
            <w:r>
              <w:rPr>
                <w:sz w:val="17"/>
              </w:rPr>
            </w:r>
            <w:r>
              <w:rPr>
                <w:rFonts w:ascii="IBM Plex Sans" w:hAnsi="IBM Plex Sans" w:cs="IBM Plex Sans"/>
                <w:b w:val="0"/>
                <w:i w:val="0"/>
                <w:color w:val="161412"/>
                <w:sz w:val="17"/>
              </w:rPr>
              <w:t>aparece una reparación</w:t>
            </w:r>
          </w:p>
        </w:tc>
      </w:tr>
      <w:tr>
        <w:tc>
          <w:tcPr>
            <w:tcW w:type="dxa" w:w="2079"/>
          </w:tcPr>
          <w:p>
            <w:pPr>
              <w:spacing w:after="40"/>
            </w:pPr>
            <w:r>
              <w:rPr>
                <w:sz w:val="17"/>
              </w:rPr>
            </w:r>
            <w:r>
              <w:rPr>
                <w:rFonts w:ascii="IBM Plex Sans" w:hAnsi="IBM Plex Sans" w:cs="IBM Plex Sans"/>
                <w:b w:val="0"/>
                <w:i w:val="0"/>
                <w:color w:val="161412"/>
                <w:sz w:val="17"/>
              </w:rPr>
              <w:t>Reintentar</w:t>
            </w:r>
          </w:p>
        </w:tc>
        <w:tc>
          <w:tcPr>
            <w:tcW w:type="dxa" w:w="2079"/>
          </w:tcPr>
          <w:p>
            <w:pPr>
              <w:spacing w:after="40"/>
            </w:pPr>
            <w:r>
              <w:rPr>
                <w:sz w:val="17"/>
              </w:rPr>
            </w:r>
            <w:r>
              <w:rPr>
                <w:rFonts w:ascii="IBM Plex Sans" w:hAnsi="IBM Plex Sans" w:cs="IBM Plex Sans"/>
                <w:b w:val="0"/>
                <w:i w:val="0"/>
                <w:color w:val="161412"/>
                <w:sz w:val="17"/>
              </w:rPr>
              <w:t>contact.press</w:t>
            </w:r>
          </w:p>
        </w:tc>
        <w:tc>
          <w:tcPr>
            <w:tcW w:type="dxa" w:w="2079"/>
          </w:tcPr>
          <w:p>
            <w:pPr>
              <w:spacing w:after="40"/>
            </w:pPr>
            <w:r>
              <w:rPr>
                <w:sz w:val="17"/>
              </w:rPr>
            </w:r>
            <w:r>
              <w:rPr>
                <w:rFonts w:ascii="IBM Plex Sans" w:hAnsi="IBM Plex Sans" w:cs="IBM Plex Sans"/>
                <w:b w:val="0"/>
                <w:i w:val="0"/>
                <w:color w:val="161412"/>
                <w:sz w:val="17"/>
              </w:rPr>
              <w:t>—</w:t>
            </w:r>
          </w:p>
        </w:tc>
        <w:tc>
          <w:tcPr>
            <w:tcW w:type="dxa" w:w="2079"/>
          </w:tcPr>
          <w:p>
            <w:pPr>
              <w:spacing w:after="40"/>
            </w:pPr>
            <w:r>
              <w:rPr>
                <w:sz w:val="17"/>
              </w:rPr>
            </w:r>
            <w:r>
              <w:rPr>
                <w:rFonts w:ascii="IBM Plex Sans" w:hAnsi="IBM Plex Sans" w:cs="IBM Plex Sans"/>
                <w:b w:val="0"/>
                <w:i w:val="0"/>
                <w:color w:val="161412"/>
                <w:sz w:val="17"/>
              </w:rPr>
              <w:t>recibió mi acción</w:t>
            </w:r>
          </w:p>
        </w:tc>
      </w:tr>
      <w:tr>
        <w:tc>
          <w:tcPr>
            <w:tcW w:type="dxa" w:w="2079"/>
          </w:tcPr>
          <w:p>
            <w:pPr>
              <w:spacing w:after="40"/>
            </w:pPr>
            <w:r>
              <w:rPr>
                <w:sz w:val="17"/>
              </w:rPr>
            </w:r>
            <w:r>
              <w:rPr>
                <w:rFonts w:ascii="IBM Plex Sans" w:hAnsi="IBM Plex Sans" w:cs="IBM Plex Sans"/>
                <w:b w:val="0"/>
                <w:i w:val="0"/>
                <w:color w:val="161412"/>
                <w:sz w:val="17"/>
              </w:rPr>
              <w:t>Subida completada</w:t>
            </w:r>
          </w:p>
        </w:tc>
        <w:tc>
          <w:tcPr>
            <w:tcW w:type="dxa" w:w="2079"/>
          </w:tcPr>
          <w:p>
            <w:pPr>
              <w:spacing w:after="40"/>
            </w:pPr>
            <w:r>
              <w:rPr>
                <w:sz w:val="17"/>
              </w:rPr>
            </w:r>
            <w:r>
              <w:rPr>
                <w:rFonts w:ascii="IBM Plex Sans" w:hAnsi="IBM Plex Sans" w:cs="IBM Plex Sans"/>
                <w:b w:val="0"/>
                <w:i w:val="0"/>
                <w:color w:val="161412"/>
                <w:sz w:val="17"/>
              </w:rPr>
              <w:t>commit.complete</w:t>
            </w:r>
          </w:p>
        </w:tc>
        <w:tc>
          <w:tcPr>
            <w:tcW w:type="dxa" w:w="2079"/>
          </w:tcPr>
          <w:p>
            <w:pPr>
              <w:spacing w:after="40"/>
            </w:pPr>
            <w:r>
              <w:rPr>
                <w:sz w:val="17"/>
              </w:rPr>
            </w:r>
            <w:r>
              <w:rPr>
                <w:rFonts w:ascii="IBM Plex Sans" w:hAnsi="IBM Plex Sans" w:cs="IBM Plex Sans"/>
                <w:b w:val="0"/>
                <w:i w:val="0"/>
                <w:color w:val="161412"/>
                <w:sz w:val="17"/>
              </w:rPr>
              <w:t>fulfill</w:t>
            </w:r>
          </w:p>
        </w:tc>
        <w:tc>
          <w:tcPr>
            <w:tcW w:type="dxa" w:w="2079"/>
          </w:tcPr>
          <w:p>
            <w:pPr>
              <w:spacing w:after="40"/>
            </w:pPr>
            <w:r>
              <w:rPr>
                <w:sz w:val="17"/>
              </w:rPr>
            </w:r>
            <w:r>
              <w:rPr>
                <w:rFonts w:ascii="IBM Plex Sans" w:hAnsi="IBM Plex Sans" w:cs="IBM Plex Sans"/>
                <w:b w:val="0"/>
                <w:i w:val="0"/>
                <w:color w:val="161412"/>
                <w:sz w:val="17"/>
              </w:rPr>
              <w:t>objetivo cumplido</w:t>
            </w:r>
          </w:p>
        </w:tc>
      </w:tr>
    </w:tbl>
    <w:p>
      <w:pPr>
        <w:spacing w:after="200" w:before="40"/>
      </w:pPr>
      <w:r>
        <w:rPr>
          <w:rFonts w:ascii="IBM Plex Sans" w:hAnsi="IBM Plex Sans" w:cs="IBM Plex Sans"/>
          <w:b/>
          <w:color w:val="1F3A5F"/>
          <w:sz w:val="17"/>
        </w:rPr>
        <w:t xml:space="preserve">TABLA 30.4   </w:t>
      </w:r>
      <w:r>
        <w:rPr>
          <w:rFonts w:ascii="IBM Plex Sans" w:hAnsi="IBM Plex Sans" w:cs="IBM Plex Sans"/>
          <w:color w:val="3A352F"/>
          <w:sz w:val="18"/>
        </w:rPr>
        <w:t xml:space="preserve">Criterios de dominancia atencional</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CRITERIO</w:t>
            </w:r>
          </w:p>
        </w:tc>
        <w:tc>
          <w:tcPr>
            <w:tcW w:type="dxa" w:w="4158"/>
            <w:shd w:val="clear" w:color="auto" w:fill="EAE4D8"/>
          </w:tcPr>
          <w:p>
            <w:pPr>
              <w:spacing w:after="40"/>
            </w:pPr>
            <w:r>
              <w:rPr>
                <w:sz w:val="17"/>
              </w:rPr>
            </w:r>
            <w:r>
              <w:rPr>
                <w:rFonts w:ascii="IBM Plex Sans" w:hAnsi="IBM Plex Sans" w:cs="IBM Plex Sans"/>
                <w:b/>
                <w:i w:val="0"/>
                <w:color w:val="1F3A5F"/>
                <w:sz w:val="17"/>
              </w:rPr>
              <w:t>REGLA</w:t>
            </w:r>
          </w:p>
        </w:tc>
      </w:tr>
      <w:tr>
        <w:tc>
          <w:tcPr>
            <w:tcW w:type="dxa" w:w="4158"/>
          </w:tcPr>
          <w:p>
            <w:pPr>
              <w:spacing w:after="40"/>
            </w:pPr>
            <w:r>
              <w:rPr>
                <w:sz w:val="17"/>
              </w:rPr>
            </w:r>
            <w:r>
              <w:rPr>
                <w:rFonts w:ascii="IBM Plex Sans" w:hAnsi="IBM Plex Sans" w:cs="IBM Plex Sans"/>
                <w:b w:val="0"/>
                <w:i w:val="0"/>
                <w:color w:val="161412"/>
                <w:sz w:val="17"/>
              </w:rPr>
              <w:t>Evaluabilidad</w:t>
            </w:r>
          </w:p>
        </w:tc>
        <w:tc>
          <w:tcPr>
            <w:tcW w:type="dxa" w:w="4158"/>
          </w:tcPr>
          <w:p>
            <w:pPr>
              <w:spacing w:after="40"/>
            </w:pPr>
            <w:r>
              <w:rPr>
                <w:sz w:val="17"/>
              </w:rPr>
            </w:r>
            <w:r>
              <w:rPr>
                <w:rFonts w:ascii="IBM Plex Sans" w:hAnsi="IBM Plex Sans" w:cs="IBM Plex Sans"/>
                <w:b w:val="0"/>
                <w:i w:val="0"/>
                <w:color w:val="161412"/>
                <w:sz w:val="17"/>
              </w:rPr>
              <w:t>lo evaluable domina sobre lo estructural</w:t>
            </w:r>
          </w:p>
        </w:tc>
      </w:tr>
      <w:tr>
        <w:tc>
          <w:tcPr>
            <w:tcW w:type="dxa" w:w="4158"/>
          </w:tcPr>
          <w:p>
            <w:pPr>
              <w:spacing w:after="40"/>
            </w:pPr>
            <w:r>
              <w:rPr>
                <w:sz w:val="17"/>
              </w:rPr>
            </w:r>
            <w:r>
              <w:rPr>
                <w:rFonts w:ascii="IBM Plex Sans" w:hAnsi="IBM Plex Sans" w:cs="IBM Plex Sans"/>
                <w:b w:val="0"/>
                <w:i w:val="0"/>
                <w:color w:val="161412"/>
                <w:sz w:val="17"/>
              </w:rPr>
              <w:t>Activación</w:t>
            </w:r>
          </w:p>
        </w:tc>
        <w:tc>
          <w:tcPr>
            <w:tcW w:type="dxa" w:w="4158"/>
          </w:tcPr>
          <w:p>
            <w:pPr>
              <w:spacing w:after="40"/>
            </w:pPr>
            <w:r>
              <w:rPr>
                <w:sz w:val="17"/>
              </w:rPr>
            </w:r>
            <w:r>
              <w:rPr>
                <w:rFonts w:ascii="IBM Plex Sans" w:hAnsi="IBM Plex Sans" w:cs="IBM Plex Sans"/>
                <w:b w:val="0"/>
                <w:i w:val="0"/>
                <w:color w:val="161412"/>
                <w:sz w:val="17"/>
              </w:rPr>
              <w:t>lo más activado domina sobre lo menos activado</w:t>
            </w:r>
          </w:p>
        </w:tc>
      </w:tr>
      <w:tr>
        <w:tc>
          <w:tcPr>
            <w:tcW w:type="dxa" w:w="4158"/>
          </w:tcPr>
          <w:p>
            <w:pPr>
              <w:spacing w:after="40"/>
            </w:pPr>
            <w:r>
              <w:rPr>
                <w:sz w:val="17"/>
              </w:rPr>
            </w:r>
            <w:r>
              <w:rPr>
                <w:rFonts w:ascii="IBM Plex Sans" w:hAnsi="IBM Plex Sans" w:cs="IBM Plex Sans"/>
                <w:b w:val="0"/>
                <w:i w:val="0"/>
                <w:color w:val="161412"/>
                <w:sz w:val="17"/>
              </w:rPr>
              <w:t>Recencia</w:t>
            </w:r>
          </w:p>
        </w:tc>
        <w:tc>
          <w:tcPr>
            <w:tcW w:type="dxa" w:w="4158"/>
          </w:tcPr>
          <w:p>
            <w:pPr>
              <w:spacing w:after="40"/>
            </w:pPr>
            <w:r>
              <w:rPr>
                <w:sz w:val="17"/>
              </w:rPr>
            </w:r>
            <w:r>
              <w:rPr>
                <w:rFonts w:ascii="IBM Plex Sans" w:hAnsi="IBM Plex Sans" w:cs="IBM Plex Sans"/>
                <w:b w:val="0"/>
                <w:i w:val="0"/>
                <w:color w:val="161412"/>
                <w:sz w:val="17"/>
              </w:rPr>
              <w:t>si el nivel es similar, domina lo más reciente</w:t>
            </w:r>
          </w:p>
        </w:tc>
      </w:tr>
    </w:tbl>
    <w:p>
      <w:pPr>
        <w:spacing w:after="200" w:before="40"/>
      </w:pPr>
      <w:r>
        <w:rPr>
          <w:rFonts w:ascii="IBM Plex Sans" w:hAnsi="IBM Plex Sans" w:cs="IBM Plex Sans"/>
          <w:b/>
          <w:color w:val="1F3A5F"/>
          <w:sz w:val="17"/>
        </w:rPr>
        <w:t xml:space="preserve">TABLA 30.5   </w:t>
      </w:r>
      <w:r>
        <w:rPr>
          <w:rFonts w:ascii="IBM Plex Sans" w:hAnsi="IBM Plex Sans" w:cs="IBM Plex Sans"/>
          <w:color w:val="3A352F"/>
          <w:sz w:val="18"/>
        </w:rPr>
        <w:t xml:space="preserve">Composiciones solapadas: contexto y figura</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COMPOSICIÓN</w:t>
            </w:r>
          </w:p>
        </w:tc>
        <w:tc>
          <w:tcPr>
            <w:tcW w:type="dxa" w:w="2772"/>
            <w:shd w:val="clear" w:color="auto" w:fill="EAE4D8"/>
          </w:tcPr>
          <w:p>
            <w:pPr>
              <w:spacing w:after="40"/>
            </w:pPr>
            <w:r>
              <w:rPr>
                <w:sz w:val="17"/>
              </w:rPr>
            </w:r>
            <w:r>
              <w:rPr>
                <w:rFonts w:ascii="IBM Plex Sans" w:hAnsi="IBM Plex Sans" w:cs="IBM Plex Sans"/>
                <w:b/>
                <w:i w:val="0"/>
                <w:color w:val="1F3A5F"/>
                <w:sz w:val="17"/>
              </w:rPr>
              <w:t>EVENTO DE CONTEXTO</w:t>
            </w:r>
          </w:p>
        </w:tc>
        <w:tc>
          <w:tcPr>
            <w:tcW w:type="dxa" w:w="2772"/>
            <w:shd w:val="clear" w:color="auto" w:fill="EAE4D8"/>
          </w:tcPr>
          <w:p>
            <w:pPr>
              <w:spacing w:after="40"/>
            </w:pPr>
            <w:r>
              <w:rPr>
                <w:sz w:val="17"/>
              </w:rPr>
            </w:r>
            <w:r>
              <w:rPr>
                <w:rFonts w:ascii="IBM Plex Sans" w:hAnsi="IBM Plex Sans" w:cs="IBM Plex Sans"/>
                <w:b/>
                <w:i w:val="0"/>
                <w:color w:val="1F3A5F"/>
                <w:sz w:val="17"/>
              </w:rPr>
              <w:t>EVENTO DOMINANTE</w:t>
            </w:r>
          </w:p>
        </w:tc>
      </w:tr>
      <w:tr>
        <w:tc>
          <w:tcPr>
            <w:tcW w:type="dxa" w:w="2772"/>
          </w:tcPr>
          <w:p>
            <w:pPr>
              <w:spacing w:after="40"/>
            </w:pPr>
            <w:r>
              <w:rPr>
                <w:sz w:val="17"/>
              </w:rPr>
            </w:r>
            <w:r>
              <w:rPr>
                <w:rFonts w:ascii="IBM Plex Sans" w:hAnsi="IBM Plex Sans" w:cs="IBM Plex Sans"/>
                <w:b w:val="0"/>
                <w:i w:val="0"/>
                <w:color w:val="161412"/>
                <w:sz w:val="17"/>
              </w:rPr>
              <w:t>sustain.progress + signal.warn</w:t>
            </w:r>
          </w:p>
        </w:tc>
        <w:tc>
          <w:tcPr>
            <w:tcW w:type="dxa" w:w="2772"/>
          </w:tcPr>
          <w:p>
            <w:pPr>
              <w:spacing w:after="40"/>
            </w:pPr>
            <w:r>
              <w:rPr>
                <w:sz w:val="17"/>
              </w:rPr>
            </w:r>
            <w:r>
              <w:rPr>
                <w:rFonts w:ascii="IBM Plex Sans" w:hAnsi="IBM Plex Sans" w:cs="IBM Plex Sans"/>
                <w:b w:val="0"/>
                <w:i w:val="0"/>
                <w:color w:val="161412"/>
                <w:sz w:val="17"/>
              </w:rPr>
              <w:t>proceso en curso</w:t>
            </w:r>
          </w:p>
        </w:tc>
        <w:tc>
          <w:tcPr>
            <w:tcW w:type="dxa" w:w="2772"/>
          </w:tcPr>
          <w:p>
            <w:pPr>
              <w:spacing w:after="40"/>
            </w:pPr>
            <w:r>
              <w:rPr>
                <w:sz w:val="17"/>
              </w:rPr>
            </w:r>
            <w:r>
              <w:rPr>
                <w:rFonts w:ascii="IBM Plex Sans" w:hAnsi="IBM Plex Sans" w:cs="IBM Plex Sans"/>
                <w:b w:val="0"/>
                <w:i w:val="0"/>
                <w:color w:val="161412"/>
                <w:sz w:val="17"/>
              </w:rPr>
              <w:t>advertencia</w:t>
            </w:r>
          </w:p>
        </w:tc>
      </w:tr>
      <w:tr>
        <w:tc>
          <w:tcPr>
            <w:tcW w:type="dxa" w:w="2772"/>
          </w:tcPr>
          <w:p>
            <w:pPr>
              <w:spacing w:after="40"/>
            </w:pPr>
            <w:r>
              <w:rPr>
                <w:sz w:val="17"/>
              </w:rPr>
            </w:r>
            <w:r>
              <w:rPr>
                <w:rFonts w:ascii="IBM Plex Sans" w:hAnsi="IBM Plex Sans" w:cs="IBM Plex Sans"/>
                <w:b w:val="0"/>
                <w:i w:val="0"/>
                <w:color w:val="161412"/>
                <w:sz w:val="17"/>
              </w:rPr>
              <w:t>handle.carry + signal.threat</w:t>
            </w:r>
          </w:p>
        </w:tc>
        <w:tc>
          <w:tcPr>
            <w:tcW w:type="dxa" w:w="2772"/>
          </w:tcPr>
          <w:p>
            <w:pPr>
              <w:spacing w:after="40"/>
            </w:pPr>
            <w:r>
              <w:rPr>
                <w:sz w:val="17"/>
              </w:rPr>
            </w:r>
            <w:r>
              <w:rPr>
                <w:rFonts w:ascii="IBM Plex Sans" w:hAnsi="IBM Plex Sans" w:cs="IBM Plex Sans"/>
                <w:b w:val="0"/>
                <w:i w:val="0"/>
                <w:color w:val="161412"/>
                <w:sz w:val="17"/>
              </w:rPr>
              <w:t>manipulación</w:t>
            </w:r>
          </w:p>
        </w:tc>
        <w:tc>
          <w:tcPr>
            <w:tcW w:type="dxa" w:w="2772"/>
          </w:tcPr>
          <w:p>
            <w:pPr>
              <w:spacing w:after="40"/>
            </w:pPr>
            <w:r>
              <w:rPr>
                <w:sz w:val="17"/>
              </w:rPr>
            </w:r>
            <w:r>
              <w:rPr>
                <w:rFonts w:ascii="IBM Plex Sans" w:hAnsi="IBM Plex Sans" w:cs="IBM Plex Sans"/>
                <w:b w:val="0"/>
                <w:i w:val="0"/>
                <w:color w:val="161412"/>
                <w:sz w:val="17"/>
              </w:rPr>
              <w:t>zona peligrosa</w:t>
            </w:r>
          </w:p>
        </w:tc>
      </w:tr>
      <w:tr>
        <w:tc>
          <w:tcPr>
            <w:tcW w:type="dxa" w:w="2772"/>
          </w:tcPr>
          <w:p>
            <w:pPr>
              <w:spacing w:after="40"/>
            </w:pPr>
            <w:r>
              <w:rPr>
                <w:sz w:val="17"/>
              </w:rPr>
            </w:r>
            <w:r>
              <w:rPr>
                <w:rFonts w:ascii="IBM Plex Sans" w:hAnsi="IBM Plex Sans" w:cs="IBM Plex Sans"/>
                <w:b w:val="0"/>
                <w:i w:val="0"/>
                <w:color w:val="161412"/>
                <w:sz w:val="17"/>
              </w:rPr>
              <w:t>shift.enter-mode + signal.alert</w:t>
            </w:r>
          </w:p>
        </w:tc>
        <w:tc>
          <w:tcPr>
            <w:tcW w:type="dxa" w:w="2772"/>
          </w:tcPr>
          <w:p>
            <w:pPr>
              <w:spacing w:after="40"/>
            </w:pPr>
            <w:r>
              <w:rPr>
                <w:sz w:val="17"/>
              </w:rPr>
            </w:r>
            <w:r>
              <w:rPr>
                <w:rFonts w:ascii="IBM Plex Sans" w:hAnsi="IBM Plex Sans" w:cs="IBM Plex Sans"/>
                <w:b w:val="0"/>
                <w:i w:val="0"/>
                <w:color w:val="161412"/>
                <w:sz w:val="17"/>
              </w:rPr>
              <w:t>nuevo marco</w:t>
            </w:r>
          </w:p>
        </w:tc>
        <w:tc>
          <w:tcPr>
            <w:tcW w:type="dxa" w:w="2772"/>
          </w:tcPr>
          <w:p>
            <w:pPr>
              <w:spacing w:after="40"/>
            </w:pPr>
            <w:r>
              <w:rPr>
                <w:sz w:val="17"/>
              </w:rPr>
            </w:r>
            <w:r>
              <w:rPr>
                <w:rFonts w:ascii="IBM Plex Sans" w:hAnsi="IBM Plex Sans" w:cs="IBM Plex Sans"/>
                <w:b w:val="0"/>
                <w:i w:val="0"/>
                <w:color w:val="161412"/>
                <w:sz w:val="17"/>
              </w:rPr>
              <w:t>alerta interna</w:t>
            </w:r>
          </w:p>
        </w:tc>
      </w:tr>
      <w:tr>
        <w:tc>
          <w:tcPr>
            <w:tcW w:type="dxa" w:w="2772"/>
          </w:tcPr>
          <w:p>
            <w:pPr>
              <w:spacing w:after="40"/>
            </w:pPr>
            <w:r>
              <w:rPr>
                <w:sz w:val="17"/>
              </w:rPr>
            </w:r>
            <w:r>
              <w:rPr>
                <w:rFonts w:ascii="IBM Plex Sans" w:hAnsi="IBM Plex Sans" w:cs="IBM Plex Sans"/>
                <w:b w:val="0"/>
                <w:i w:val="0"/>
                <w:color w:val="161412"/>
                <w:sz w:val="17"/>
              </w:rPr>
              <w:t>sustain.syncing + commit.partial</w:t>
            </w:r>
          </w:p>
        </w:tc>
        <w:tc>
          <w:tcPr>
            <w:tcW w:type="dxa" w:w="2772"/>
          </w:tcPr>
          <w:p>
            <w:pPr>
              <w:spacing w:after="40"/>
            </w:pPr>
            <w:r>
              <w:rPr>
                <w:sz w:val="17"/>
              </w:rPr>
            </w:r>
            <w:r>
              <w:rPr>
                <w:rFonts w:ascii="IBM Plex Sans" w:hAnsi="IBM Plex Sans" w:cs="IBM Plex Sans"/>
                <w:b w:val="0"/>
                <w:i w:val="0"/>
                <w:color w:val="161412"/>
                <w:sz w:val="17"/>
              </w:rPr>
              <w:t>sincronización</w:t>
            </w:r>
          </w:p>
        </w:tc>
        <w:tc>
          <w:tcPr>
            <w:tcW w:type="dxa" w:w="2772"/>
          </w:tcPr>
          <w:p>
            <w:pPr>
              <w:spacing w:after="40"/>
            </w:pPr>
            <w:r>
              <w:rPr>
                <w:sz w:val="17"/>
              </w:rPr>
            </w:r>
            <w:r>
              <w:rPr>
                <w:rFonts w:ascii="IBM Plex Sans" w:hAnsi="IBM Plex Sans" w:cs="IBM Plex Sans"/>
                <w:b w:val="0"/>
                <w:i w:val="0"/>
                <w:color w:val="161412"/>
                <w:sz w:val="17"/>
              </w:rPr>
              <w:t>resultado parcial</w:t>
            </w:r>
          </w:p>
        </w:tc>
      </w:tr>
      <w:tr>
        <w:tc>
          <w:tcPr>
            <w:tcW w:type="dxa" w:w="2772"/>
          </w:tcPr>
          <w:p>
            <w:pPr>
              <w:spacing w:after="40"/>
            </w:pPr>
            <w:r>
              <w:rPr>
                <w:sz w:val="17"/>
              </w:rPr>
            </w:r>
            <w:r>
              <w:rPr>
                <w:rFonts w:ascii="IBM Plex Sans" w:hAnsi="IBM Plex Sans" w:cs="IBM Plex Sans"/>
                <w:b w:val="0"/>
                <w:i w:val="0"/>
                <w:color w:val="161412"/>
                <w:sz w:val="17"/>
              </w:rPr>
              <w:t>emerge.present + signal.notify</w:t>
            </w:r>
          </w:p>
        </w:tc>
        <w:tc>
          <w:tcPr>
            <w:tcW w:type="dxa" w:w="2772"/>
          </w:tcPr>
          <w:p>
            <w:pPr>
              <w:spacing w:after="40"/>
            </w:pPr>
            <w:r>
              <w:rPr>
                <w:sz w:val="17"/>
              </w:rPr>
            </w:r>
            <w:r>
              <w:rPr>
                <w:rFonts w:ascii="IBM Plex Sans" w:hAnsi="IBM Plex Sans" w:cs="IBM Plex Sans"/>
                <w:b w:val="0"/>
                <w:i w:val="0"/>
                <w:color w:val="161412"/>
                <w:sz w:val="17"/>
              </w:rPr>
              <w:t>aparición</w:t>
            </w:r>
          </w:p>
        </w:tc>
        <w:tc>
          <w:tcPr>
            <w:tcW w:type="dxa" w:w="2772"/>
          </w:tcPr>
          <w:p>
            <w:pPr>
              <w:spacing w:after="40"/>
            </w:pPr>
            <w:r>
              <w:rPr>
                <w:sz w:val="17"/>
              </w:rPr>
            </w:r>
            <w:r>
              <w:rPr>
                <w:rFonts w:ascii="IBM Plex Sans" w:hAnsi="IBM Plex Sans" w:cs="IBM Plex Sans"/>
                <w:b w:val="0"/>
                <w:i w:val="0"/>
                <w:color w:val="161412"/>
                <w:sz w:val="17"/>
              </w:rPr>
              <w:t>mensaje del sistema</w:t>
            </w:r>
          </w:p>
        </w:tc>
      </w:tr>
      <w:tr>
        <w:tc>
          <w:tcPr>
            <w:tcW w:type="dxa" w:w="2772"/>
          </w:tcPr>
          <w:p>
            <w:pPr>
              <w:spacing w:after="40"/>
            </w:pPr>
            <w:r>
              <w:rPr>
                <w:sz w:val="17"/>
              </w:rPr>
            </w:r>
            <w:r>
              <w:rPr>
                <w:rFonts w:ascii="IBM Plex Sans" w:hAnsi="IBM Plex Sans" w:cs="IBM Plex Sans"/>
                <w:b w:val="0"/>
                <w:i w:val="0"/>
                <w:color w:val="161412"/>
                <w:sz w:val="17"/>
              </w:rPr>
              <w:t>handle.carry + signal.notify</w:t>
            </w:r>
          </w:p>
        </w:tc>
        <w:tc>
          <w:tcPr>
            <w:tcW w:type="dxa" w:w="2772"/>
          </w:tcPr>
          <w:p>
            <w:pPr>
              <w:spacing w:after="40"/>
            </w:pPr>
            <w:r>
              <w:rPr>
                <w:sz w:val="17"/>
              </w:rPr>
            </w:r>
            <w:r>
              <w:rPr>
                <w:rFonts w:ascii="IBM Plex Sans" w:hAnsi="IBM Plex Sans" w:cs="IBM Plex Sans"/>
                <w:b w:val="0"/>
                <w:i w:val="0"/>
                <w:color w:val="161412"/>
                <w:sz w:val="17"/>
              </w:rPr>
              <w:t>manipulación activa</w:t>
            </w:r>
          </w:p>
        </w:tc>
        <w:tc>
          <w:tcPr>
            <w:tcW w:type="dxa" w:w="2772"/>
          </w:tcPr>
          <w:p>
            <w:pPr>
              <w:spacing w:after="40"/>
            </w:pPr>
            <w:r>
              <w:rPr>
                <w:sz w:val="17"/>
              </w:rPr>
            </w:r>
            <w:r>
              <w:rPr>
                <w:rFonts w:ascii="IBM Plex Sans" w:hAnsi="IBM Plex Sans" w:cs="IBM Plex Sans"/>
                <w:b w:val="0"/>
                <w:i w:val="0"/>
                <w:color w:val="161412"/>
                <w:sz w:val="17"/>
              </w:rPr>
              <w:t>handle domina, notificación espera</w:t>
            </w:r>
          </w:p>
        </w:tc>
      </w:tr>
    </w:tbl>
    <w:p>
      <w:r>
        <w:br w:type="page"/>
      </w:r>
    </w:p>
    <w:p>
      <w:pPr>
        <w:spacing w:after="40"/>
      </w:pPr>
      <w:r>
        <w:rPr>
          <w:rFonts w:ascii="IBM Plex Sans" w:hAnsi="IBM Plex Sans" w:cs="IBM Plex Sans"/>
          <w:b/>
          <w:color w:val="1F3A5F"/>
          <w:sz w:val="18"/>
        </w:rPr>
        <w:t>CAPÍTULO 31</w:t>
      </w:r>
    </w:p>
    <w:p>
      <w:pPr>
        <w:spacing w:after="80" w:line="240" w:lineRule="auto"/>
      </w:pPr>
      <w:r>
        <w:rPr>
          <w:rFonts w:ascii="IBM Plex Sans" w:hAnsi="IBM Plex Sans" w:cs="IBM Plex Sans"/>
          <w:color w:val="161412"/>
          <w:sz w:val="220"/>
        </w:rPr>
        <w:t>31</w:t>
      </w:r>
    </w:p>
    <w:p>
      <w:pPr>
        <w:spacing w:after="60" w:line="240" w:lineRule="auto"/>
      </w:pPr>
      <w:r>
        <w:rPr>
          <w:rFonts w:ascii="Newsreader" w:hAnsi="Newsreader" w:cs="Newsreader"/>
          <w:color w:val="161412"/>
          <w:sz w:val="60"/>
        </w:rPr>
        <w:t>Matrices semánticas</w:t>
      </w:r>
    </w:p>
    <w:p>
      <w:pPr>
        <w:spacing w:after="280"/>
      </w:pPr>
      <w:r>
        <w:rPr>
          <w:rFonts w:ascii="IBM Plex Sans" w:hAnsi="IBM Plex Sans" w:cs="IBM Plex Sans"/>
          <w:color w:val="6A635A"/>
          <w:sz w:val="26"/>
        </w:rPr>
        <w:t>Familias, intents y canales</w:t>
      </w:r>
    </w:p>
    <w:p>
      <w:pPr>
        <w:pBdr>
          <w:bottom w:val="single" w:sz="4" w:space="4" w:color="1F3A5F"/>
        </w:pBdr>
      </w:pPr>
    </w:p>
    <w:p>
      <w:pPr>
        <w:spacing w:after="120" w:line="320" w:lineRule="auto"/>
        <w:jc w:val="both"/>
      </w:pPr>
      <w:r>
        <w:rPr>
          <w:rFonts w:ascii="Newsreader" w:hAnsi="Newsreader" w:cs="Newsreader"/>
          <w:b w:val="0"/>
          <w:i w:val="0"/>
          <w:color w:val="161412"/>
        </w:rPr>
        <w:t xml:space="preserve">El capítulo anterior mostró que una interacción real no suele ser una familia aislada. Una operación de interfaz encadena eventos: contacto, proceso, señal, consecuencia, aparición, cambio de contexto o manipulación. La gramática se vuelve útil cuando permite leer esas secuencias sin confundirlas.</w:t>
      </w:r>
    </w:p>
    <w:p>
      <w:pPr>
        <w:spacing w:after="120" w:line="320" w:lineRule="auto"/>
        <w:jc w:val="both"/>
      </w:pPr>
      <w:r>
        <w:rPr>
          <w:rFonts w:ascii="Newsreader" w:hAnsi="Newsreader" w:cs="Newsreader"/>
          <w:b w:val="0"/>
          <w:i w:val="0"/>
          <w:color w:val="161412"/>
        </w:rPr>
        <w:t xml:space="preserve">Pero para diseñar, revisar o documentar una interfaz hace falta otro paso. No basta con saber que existen las ocho familias y los seis intents: hay que saber qué canales expresan mejor cada familia y cómo cambia esa expresión cuando aparece un intent. Este capítulo introduce dos herramientas para eso —la matriz de familias × canales y la matriz de intents × canales—. No son tablas cerradas ni recetas universales: son mapas de decisión.</w:t>
      </w: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¿Qué canal debe dominar cada evento y qué función cumple en él?</w:t>
      </w:r>
    </w:p>
    <w:p>
      <w:pPr>
        <w:spacing w:before="320" w:after="40"/>
      </w:pPr>
      <w:r>
        <w:rPr>
          <w:rFonts w:ascii="IBM Plex Sans" w:hAnsi="IBM Plex Sans" w:cs="IBM Plex Sans"/>
          <w:b/>
          <w:color w:val="1F3A5F"/>
          <w:sz w:val="18"/>
        </w:rPr>
        <w:t xml:space="preserve">§ 1</w:t>
      </w:r>
    </w:p>
    <w:p>
      <w:pPr>
        <w:spacing w:after="160" w:line="240" w:lineRule="auto"/>
      </w:pPr>
      <w:r>
        <w:rPr>
          <w:rFonts w:ascii="Newsreader" w:hAnsi="Newsreader" w:cs="Newsreader"/>
          <w:color w:val="161412"/>
          <w:sz w:val="38"/>
        </w:rPr>
        <w:t xml:space="preserve">Para qué sirve una matriz semántica</w:t>
      </w:r>
    </w:p>
    <w:p>
      <w:pPr>
        <w:spacing w:after="120" w:line="320" w:lineRule="auto"/>
        <w:jc w:val="both"/>
      </w:pPr>
      <w:r>
        <w:rPr>
          <w:rFonts w:ascii="Newsreader" w:hAnsi="Newsreader" w:cs="Newsreader"/>
          <w:b w:val="0"/>
          <w:i w:val="0"/>
          <w:color w:val="161412"/>
        </w:rPr>
        <w:t xml:space="preserve">Una matriz semántica convierte la gramática en una herramienta de trabajo. Permite pasar de frases generales como «este evento necesita feedback» a preguntas más precisas: ¿es contact o commit? ¿Hay proceso intermedio? ¿Hay intent evaluativo? ¿El canal dominante debe ser tiempo, motion, forma, presencia o sonido? ¿Qué ocurre si el usuario reduce motion? ¿Qué queda después del evento?</w:t>
      </w:r>
    </w:p>
    <w:p>
      <w:pPr>
        <w:spacing w:after="120" w:line="320" w:lineRule="auto"/>
        <w:jc w:val="both"/>
      </w:pPr>
      <w:r>
        <w:rPr>
          <w:rFonts w:ascii="Newsreader" w:hAnsi="Newsreader" w:cs="Newsreader"/>
          <w:b w:val="0"/>
          <w:i w:val="0"/>
          <w:color w:val="161412"/>
        </w:rPr>
        <w:t xml:space="preserve">Un botón «Guardar», por ejemplo, no debería resolverse diciendo «añade una animación de success», sino leyendo la secuencia: contact.press, sustain.progress si hay espera, commit.save + affirm. Y entonces la matriz ayuda a decidir: contact.press necesita tiempo y micro motion; sustain.progress necesita presencia, texto y progreso; commit.save + affirm necesita marca discreta, quizá color suave, quizá sonido opcional. La matriz obliga a separar lo que muchas veces se decide junto.</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Una matriz semántica no dice qué efecto usar. Dice qué función debe cumplir cada canal dentro del evento.</w:t>
      </w:r>
    </w:p>
    <w:p>
      <w:pPr>
        <w:spacing w:before="320" w:after="40"/>
      </w:pPr>
      <w:r>
        <w:rPr>
          <w:rFonts w:ascii="IBM Plex Sans" w:hAnsi="IBM Plex Sans" w:cs="IBM Plex Sans"/>
          <w:b/>
          <w:color w:val="1F3A5F"/>
          <w:sz w:val="18"/>
        </w:rPr>
        <w:t xml:space="preserve">§ 2</w:t>
      </w:r>
    </w:p>
    <w:p>
      <w:pPr>
        <w:spacing w:after="160" w:line="240" w:lineRule="auto"/>
      </w:pPr>
      <w:r>
        <w:rPr>
          <w:rFonts w:ascii="Newsreader" w:hAnsi="Newsreader" w:cs="Newsreader"/>
          <w:color w:val="161412"/>
          <w:sz w:val="38"/>
        </w:rPr>
        <w:t xml:space="preserve">Cómo leer las matrices</w:t>
      </w:r>
    </w:p>
    <w:p>
      <w:pPr>
        <w:spacing w:after="120" w:line="320" w:lineRule="auto"/>
        <w:jc w:val="both"/>
      </w:pPr>
      <w:r>
        <w:rPr>
          <w:rFonts w:ascii="Newsreader" w:hAnsi="Newsreader" w:cs="Newsreader"/>
          <w:b w:val="0"/>
          <w:i w:val="0"/>
          <w:color w:val="161412"/>
        </w:rPr>
        <w:t xml:space="preserve">Las matrices de este capítulo no usan solo valores como «alto», «medio» o «bajo». Esa forma puede ser útil, pero es insuficiente: decir que motion es «alto» en contact no explica qué hace motion ahí. Es mejor decir «motion en contact → causalidad inmediata». Decir que color es «alto» en signal tampoco basta; es mejor decir «color en signal → saliencia y valencia». Por eso las celdas describen función, no solo intensidad, y la pregunta para cada celda es siempre la misma: ¿qué aporta este canal a esta familia o a este intent?</w:t>
      </w:r>
    </w:p>
    <w:p>
      <w:pPr>
        <w:spacing w:before="320" w:after="40"/>
      </w:pPr>
      <w:r>
        <w:rPr>
          <w:rFonts w:ascii="IBM Plex Sans" w:hAnsi="IBM Plex Sans" w:cs="IBM Plex Sans"/>
          <w:b/>
          <w:color w:val="1F3A5F"/>
          <w:sz w:val="18"/>
        </w:rPr>
        <w:t xml:space="preserve">§ 3</w:t>
      </w:r>
    </w:p>
    <w:p>
      <w:pPr>
        <w:spacing w:after="160" w:line="240" w:lineRule="auto"/>
      </w:pPr>
      <w:r>
        <w:rPr>
          <w:rFonts w:ascii="Newsreader" w:hAnsi="Newsreader" w:cs="Newsreader"/>
          <w:color w:val="161412"/>
          <w:sz w:val="38"/>
        </w:rPr>
        <w:t xml:space="preserve">Matriz de familias y canales</w:t>
      </w:r>
    </w:p>
    <w:p>
      <w:pPr>
        <w:spacing w:after="120" w:line="320" w:lineRule="auto"/>
        <w:jc w:val="both"/>
      </w:pPr>
      <w:r>
        <w:rPr>
          <w:rFonts w:ascii="Newsreader" w:hAnsi="Newsreader" w:cs="Newsreader"/>
          <w:b w:val="0"/>
          <w:i w:val="0"/>
          <w:color w:val="161412"/>
        </w:rPr>
        <w:t xml:space="preserve">La primera matriz cruza las ocho familias semánticas con los canales de expresión principales. No pretende decir que todos los eventos de una familia usen siempre los mismos canales; pretende mostrar qué canales suelen dominar y qué función suelen cumplir.</w:t>
      </w:r>
    </w:p>
    <w:p>
      <w:pPr>
        <w:spacing w:after="200" w:before="40"/>
      </w:pPr>
      <w:r>
        <w:rPr>
          <w:rFonts w:ascii="IBM Plex Sans" w:hAnsi="IBM Plex Sans" w:cs="IBM Plex Sans"/>
          <w:b/>
          <w:color w:val="1F3A5F"/>
          <w:sz w:val="17"/>
        </w:rPr>
        <w:t xml:space="preserve">TABLA 31.1   </w:t>
      </w:r>
      <w:r>
        <w:rPr>
          <w:rFonts w:ascii="IBM Plex Sans" w:hAnsi="IBM Plex Sans" w:cs="IBM Plex Sans"/>
          <w:color w:val="3A352F"/>
          <w:sz w:val="18"/>
        </w:rPr>
        <w:t xml:space="preserve">Matriz familias × canales</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1039"/>
        <w:gridCol w:w="1039"/>
        <w:gridCol w:w="1039"/>
        <w:gridCol w:w="1039"/>
        <w:gridCol w:w="1039"/>
        <w:gridCol w:w="1039"/>
        <w:gridCol w:w="1039"/>
        <w:gridCol w:w="1039"/>
      </w:tblGrid>
      <w:tr>
        <w:tc>
          <w:tcPr>
            <w:tcW w:type="dxa" w:w="1039"/>
            <w:shd w:val="clear" w:color="auto" w:fill="EAE4D8"/>
          </w:tcPr>
          <w:p>
            <w:pPr>
              <w:spacing w:after="40"/>
            </w:pPr>
            <w:r>
              <w:rPr>
                <w:sz w:val="17"/>
              </w:rPr>
            </w:r>
            <w:r>
              <w:rPr>
                <w:rFonts w:ascii="IBM Plex Sans" w:hAnsi="IBM Plex Sans" w:cs="IBM Plex Sans"/>
                <w:b/>
                <w:i w:val="0"/>
                <w:color w:val="1F3A5F"/>
                <w:sz w:val="17"/>
              </w:rPr>
              <w:t>FAMILIA</w:t>
            </w:r>
          </w:p>
        </w:tc>
        <w:tc>
          <w:tcPr>
            <w:tcW w:type="dxa" w:w="1039"/>
            <w:shd w:val="clear" w:color="auto" w:fill="EAE4D8"/>
          </w:tcPr>
          <w:p>
            <w:pPr>
              <w:spacing w:after="40"/>
            </w:pPr>
            <w:r>
              <w:rPr>
                <w:sz w:val="17"/>
              </w:rPr>
            </w:r>
            <w:r>
              <w:rPr>
                <w:rFonts w:ascii="IBM Plex Sans" w:hAnsi="IBM Plex Sans" w:cs="IBM Plex Sans"/>
                <w:b/>
                <w:i w:val="0"/>
                <w:color w:val="1F3A5F"/>
                <w:sz w:val="17"/>
              </w:rPr>
              <w:t>TIEMPO</w:t>
            </w:r>
          </w:p>
        </w:tc>
        <w:tc>
          <w:tcPr>
            <w:tcW w:type="dxa" w:w="1039"/>
            <w:shd w:val="clear" w:color="auto" w:fill="EAE4D8"/>
          </w:tcPr>
          <w:p>
            <w:pPr>
              <w:spacing w:after="40"/>
            </w:pPr>
            <w:r>
              <w:rPr>
                <w:sz w:val="17"/>
              </w:rPr>
            </w:r>
            <w:r>
              <w:rPr>
                <w:rFonts w:ascii="IBM Plex Sans" w:hAnsi="IBM Plex Sans" w:cs="IBM Plex Sans"/>
                <w:b/>
                <w:i w:val="0"/>
                <w:color w:val="1F3A5F"/>
                <w:sz w:val="17"/>
              </w:rPr>
              <w:t>MOTION</w:t>
            </w:r>
          </w:p>
        </w:tc>
        <w:tc>
          <w:tcPr>
            <w:tcW w:type="dxa" w:w="1039"/>
            <w:shd w:val="clear" w:color="auto" w:fill="EAE4D8"/>
          </w:tcPr>
          <w:p>
            <w:pPr>
              <w:spacing w:after="40"/>
            </w:pPr>
            <w:r>
              <w:rPr>
                <w:sz w:val="17"/>
              </w:rPr>
            </w:r>
            <w:r>
              <w:rPr>
                <w:rFonts w:ascii="IBM Plex Sans" w:hAnsi="IBM Plex Sans" w:cs="IBM Plex Sans"/>
                <w:b/>
                <w:i w:val="0"/>
                <w:color w:val="1F3A5F"/>
                <w:sz w:val="17"/>
              </w:rPr>
              <w:t>PRESENCIA / PROFUNDIDAD</w:t>
            </w:r>
          </w:p>
        </w:tc>
        <w:tc>
          <w:tcPr>
            <w:tcW w:type="dxa" w:w="1039"/>
            <w:shd w:val="clear" w:color="auto" w:fill="EAE4D8"/>
          </w:tcPr>
          <w:p>
            <w:pPr>
              <w:spacing w:after="40"/>
            </w:pPr>
            <w:r>
              <w:rPr>
                <w:sz w:val="17"/>
              </w:rPr>
            </w:r>
            <w:r>
              <w:rPr>
                <w:rFonts w:ascii="IBM Plex Sans" w:hAnsi="IBM Plex Sans" w:cs="IBM Plex Sans"/>
                <w:b/>
                <w:i w:val="0"/>
                <w:color w:val="1F3A5F"/>
                <w:sz w:val="17"/>
              </w:rPr>
              <w:t>FORMA</w:t>
            </w:r>
          </w:p>
        </w:tc>
        <w:tc>
          <w:tcPr>
            <w:tcW w:type="dxa" w:w="1039"/>
            <w:shd w:val="clear" w:color="auto" w:fill="EAE4D8"/>
          </w:tcPr>
          <w:p>
            <w:pPr>
              <w:spacing w:after="40"/>
            </w:pPr>
            <w:r>
              <w:rPr>
                <w:sz w:val="17"/>
              </w:rPr>
            </w:r>
            <w:r>
              <w:rPr>
                <w:rFonts w:ascii="IBM Plex Sans" w:hAnsi="IBM Plex Sans" w:cs="IBM Plex Sans"/>
                <w:b/>
                <w:i w:val="0"/>
                <w:color w:val="1F3A5F"/>
                <w:sz w:val="17"/>
              </w:rPr>
              <w:t>COLOR</w:t>
            </w:r>
          </w:p>
        </w:tc>
        <w:tc>
          <w:tcPr>
            <w:tcW w:type="dxa" w:w="1039"/>
            <w:shd w:val="clear" w:color="auto" w:fill="EAE4D8"/>
          </w:tcPr>
          <w:p>
            <w:pPr>
              <w:spacing w:after="40"/>
            </w:pPr>
            <w:r>
              <w:rPr>
                <w:sz w:val="17"/>
              </w:rPr>
            </w:r>
            <w:r>
              <w:rPr>
                <w:rFonts w:ascii="IBM Plex Sans" w:hAnsi="IBM Plex Sans" w:cs="IBM Plex Sans"/>
                <w:b/>
                <w:i w:val="0"/>
                <w:color w:val="1F3A5F"/>
                <w:sz w:val="17"/>
              </w:rPr>
              <w:t>SONIDO</w:t>
            </w:r>
          </w:p>
        </w:tc>
        <w:tc>
          <w:tcPr>
            <w:tcW w:type="dxa" w:w="1039"/>
            <w:shd w:val="clear" w:color="auto" w:fill="EAE4D8"/>
          </w:tcPr>
          <w:p>
            <w:pPr>
              <w:spacing w:after="40"/>
            </w:pPr>
            <w:r>
              <w:rPr>
                <w:sz w:val="17"/>
              </w:rPr>
            </w:r>
            <w:r>
              <w:rPr>
                <w:rFonts w:ascii="IBM Plex Sans" w:hAnsi="IBM Plex Sans" w:cs="IBM Plex Sans"/>
                <w:b/>
                <w:i w:val="0"/>
                <w:color w:val="1F3A5F"/>
                <w:sz w:val="17"/>
              </w:rPr>
              <w:t>HÁPTICA</w:t>
            </w:r>
          </w:p>
        </w:tc>
      </w:tr>
      <w:tr>
        <w:tc>
          <w:tcPr>
            <w:tcW w:type="dxa" w:w="1039"/>
          </w:tcPr>
          <w:p>
            <w:pPr>
              <w:spacing w:after="40"/>
            </w:pPr>
            <w:r>
              <w:rPr>
                <w:sz w:val="17"/>
              </w:rPr>
            </w:r>
            <w:r>
              <w:rPr>
                <w:rFonts w:ascii="IBM Plex Sans" w:hAnsi="IBM Plex Sans" w:cs="IBM Plex Sans"/>
                <w:b w:val="0"/>
                <w:i w:val="0"/>
                <w:color w:val="161412"/>
                <w:sz w:val="17"/>
              </w:rPr>
              <w:t>contact</w:t>
            </w:r>
          </w:p>
        </w:tc>
        <w:tc>
          <w:tcPr>
            <w:tcW w:type="dxa" w:w="1039"/>
          </w:tcPr>
          <w:p>
            <w:pPr>
              <w:spacing w:after="40"/>
            </w:pPr>
            <w:r>
              <w:rPr>
                <w:sz w:val="17"/>
              </w:rPr>
            </w:r>
            <w:r>
              <w:rPr>
                <w:rFonts w:ascii="IBM Plex Sans" w:hAnsi="IBM Plex Sans" w:cs="IBM Plex Sans"/>
                <w:b w:val="0"/>
                <w:i w:val="0"/>
                <w:color w:val="161412"/>
                <w:sz w:val="17"/>
              </w:rPr>
              <w:t>causalidad inmediata</w:t>
            </w:r>
          </w:p>
        </w:tc>
        <w:tc>
          <w:tcPr>
            <w:tcW w:type="dxa" w:w="1039"/>
          </w:tcPr>
          <w:p>
            <w:pPr>
              <w:spacing w:after="40"/>
            </w:pPr>
            <w:r>
              <w:rPr>
                <w:sz w:val="17"/>
              </w:rPr>
            </w:r>
            <w:r>
              <w:rPr>
                <w:rFonts w:ascii="IBM Plex Sans" w:hAnsi="IBM Plex Sans" w:cs="IBM Plex Sans"/>
                <w:b w:val="0"/>
                <w:i w:val="0"/>
                <w:color w:val="161412"/>
                <w:sz w:val="17"/>
              </w:rPr>
              <w:t>microrespuesta al gesto</w:t>
            </w:r>
          </w:p>
        </w:tc>
        <w:tc>
          <w:tcPr>
            <w:tcW w:type="dxa" w:w="1039"/>
          </w:tcPr>
          <w:p>
            <w:pPr>
              <w:spacing w:after="40"/>
            </w:pPr>
            <w:r>
              <w:rPr>
                <w:sz w:val="17"/>
              </w:rPr>
            </w:r>
            <w:r>
              <w:rPr>
                <w:rFonts w:ascii="IBM Plex Sans" w:hAnsi="IBM Plex Sans" w:cs="IBM Plex Sans"/>
                <w:b w:val="0"/>
                <w:i w:val="0"/>
                <w:color w:val="161412"/>
                <w:sz w:val="17"/>
              </w:rPr>
              <w:t>casi nula</w:t>
            </w:r>
          </w:p>
        </w:tc>
        <w:tc>
          <w:tcPr>
            <w:tcW w:type="dxa" w:w="1039"/>
          </w:tcPr>
          <w:p>
            <w:pPr>
              <w:spacing w:after="40"/>
            </w:pPr>
            <w:r>
              <w:rPr>
                <w:sz w:val="17"/>
              </w:rPr>
            </w:r>
            <w:r>
              <w:rPr>
                <w:rFonts w:ascii="IBM Plex Sans" w:hAnsi="IBM Plex Sans" w:cs="IBM Plex Sans"/>
                <w:b w:val="0"/>
                <w:i w:val="0"/>
                <w:color w:val="161412"/>
                <w:sz w:val="17"/>
              </w:rPr>
              <w:t>estado pressed / foco</w:t>
            </w:r>
          </w:p>
        </w:tc>
        <w:tc>
          <w:tcPr>
            <w:tcW w:type="dxa" w:w="1039"/>
          </w:tcPr>
          <w:p>
            <w:pPr>
              <w:spacing w:after="40"/>
            </w:pPr>
            <w:r>
              <w:rPr>
                <w:sz w:val="17"/>
              </w:rPr>
            </w:r>
            <w:r>
              <w:rPr>
                <w:rFonts w:ascii="IBM Plex Sans" w:hAnsi="IBM Plex Sans" w:cs="IBM Plex Sans"/>
                <w:b w:val="0"/>
                <w:i w:val="0"/>
                <w:color w:val="161412"/>
                <w:sz w:val="17"/>
              </w:rPr>
              <w:t>secundario</w:t>
            </w:r>
          </w:p>
        </w:tc>
        <w:tc>
          <w:tcPr>
            <w:tcW w:type="dxa" w:w="1039"/>
          </w:tcPr>
          <w:p>
            <w:pPr>
              <w:spacing w:after="40"/>
            </w:pPr>
            <w:r>
              <w:rPr>
                <w:sz w:val="17"/>
              </w:rPr>
            </w:r>
            <w:r>
              <w:rPr>
                <w:rFonts w:ascii="IBM Plex Sans" w:hAnsi="IBM Plex Sans" w:cs="IBM Plex Sans"/>
                <w:b w:val="0"/>
                <w:i w:val="0"/>
                <w:color w:val="161412"/>
                <w:sz w:val="17"/>
              </w:rPr>
              <w:t>click opcional</w:t>
            </w:r>
          </w:p>
        </w:tc>
        <w:tc>
          <w:tcPr>
            <w:tcW w:type="dxa" w:w="1039"/>
          </w:tcPr>
          <w:p>
            <w:pPr>
              <w:spacing w:after="40"/>
            </w:pPr>
            <w:r>
              <w:rPr>
                <w:sz w:val="17"/>
              </w:rPr>
            </w:r>
            <w:r>
              <w:rPr>
                <w:rFonts w:ascii="IBM Plex Sans" w:hAnsi="IBM Plex Sans" w:cs="IBM Plex Sans"/>
                <w:b w:val="0"/>
                <w:i w:val="0"/>
                <w:color w:val="161412"/>
                <w:sz w:val="17"/>
              </w:rPr>
              <w:t>pulso breve</w:t>
            </w:r>
          </w:p>
        </w:tc>
      </w:tr>
      <w:tr>
        <w:tc>
          <w:tcPr>
            <w:tcW w:type="dxa" w:w="1039"/>
          </w:tcPr>
          <w:p>
            <w:pPr>
              <w:spacing w:after="40"/>
            </w:pPr>
            <w:r>
              <w:rPr>
                <w:sz w:val="17"/>
              </w:rPr>
            </w:r>
            <w:r>
              <w:rPr>
                <w:rFonts w:ascii="IBM Plex Sans" w:hAnsi="IBM Plex Sans" w:cs="IBM Plex Sans"/>
                <w:b w:val="0"/>
                <w:i w:val="0"/>
                <w:color w:val="161412"/>
                <w:sz w:val="17"/>
              </w:rPr>
              <w:t>commit</w:t>
            </w:r>
          </w:p>
        </w:tc>
        <w:tc>
          <w:tcPr>
            <w:tcW w:type="dxa" w:w="1039"/>
          </w:tcPr>
          <w:p>
            <w:pPr>
              <w:spacing w:after="40"/>
            </w:pPr>
            <w:r>
              <w:rPr>
                <w:sz w:val="17"/>
              </w:rPr>
            </w:r>
            <w:r>
              <w:rPr>
                <w:rFonts w:ascii="IBM Plex Sans" w:hAnsi="IBM Plex Sans" w:cs="IBM Plex Sans"/>
                <w:b w:val="0"/>
                <w:i w:val="0"/>
                <w:color w:val="161412"/>
                <w:sz w:val="17"/>
              </w:rPr>
              <w:t>momento de cierre</w:t>
            </w:r>
          </w:p>
        </w:tc>
        <w:tc>
          <w:tcPr>
            <w:tcW w:type="dxa" w:w="1039"/>
          </w:tcPr>
          <w:p>
            <w:pPr>
              <w:spacing w:after="40"/>
            </w:pPr>
            <w:r>
              <w:rPr>
                <w:sz w:val="17"/>
              </w:rPr>
            </w:r>
            <w:r>
              <w:rPr>
                <w:rFonts w:ascii="IBM Plex Sans" w:hAnsi="IBM Plex Sans" w:cs="IBM Plex Sans"/>
                <w:b w:val="0"/>
                <w:i w:val="0"/>
                <w:color w:val="161412"/>
                <w:sz w:val="17"/>
              </w:rPr>
              <w:t>asentamiento / retirada</w:t>
            </w:r>
          </w:p>
        </w:tc>
        <w:tc>
          <w:tcPr>
            <w:tcW w:type="dxa" w:w="1039"/>
          </w:tcPr>
          <w:p>
            <w:pPr>
              <w:spacing w:after="40"/>
            </w:pPr>
            <w:r>
              <w:rPr>
                <w:sz w:val="17"/>
              </w:rPr>
            </w:r>
            <w:r>
              <w:rPr>
                <w:rFonts w:ascii="IBM Plex Sans" w:hAnsi="IBM Plex Sans" w:cs="IBM Plex Sans"/>
                <w:b w:val="0"/>
                <w:i w:val="0"/>
                <w:color w:val="161412"/>
                <w:sz w:val="17"/>
              </w:rPr>
              <w:t>huella o consecuencia</w:t>
            </w:r>
          </w:p>
        </w:tc>
        <w:tc>
          <w:tcPr>
            <w:tcW w:type="dxa" w:w="1039"/>
          </w:tcPr>
          <w:p>
            <w:pPr>
              <w:spacing w:after="40"/>
            </w:pPr>
            <w:r>
              <w:rPr>
                <w:sz w:val="17"/>
              </w:rPr>
            </w:r>
            <w:r>
              <w:rPr>
                <w:rFonts w:ascii="IBM Plex Sans" w:hAnsi="IBM Plex Sans" w:cs="IBM Plex Sans"/>
                <w:b w:val="0"/>
                <w:i w:val="0"/>
                <w:color w:val="161412"/>
                <w:sz w:val="17"/>
              </w:rPr>
              <w:t>marca persistente</w:t>
            </w:r>
          </w:p>
        </w:tc>
        <w:tc>
          <w:tcPr>
            <w:tcW w:type="dxa" w:w="1039"/>
          </w:tcPr>
          <w:p>
            <w:pPr>
              <w:spacing w:after="40"/>
            </w:pPr>
            <w:r>
              <w:rPr>
                <w:sz w:val="17"/>
              </w:rPr>
            </w:r>
            <w:r>
              <w:rPr>
                <w:rFonts w:ascii="IBM Plex Sans" w:hAnsi="IBM Plex Sans" w:cs="IBM Plex Sans"/>
                <w:b w:val="0"/>
                <w:i w:val="0"/>
                <w:color w:val="161412"/>
                <w:sz w:val="17"/>
              </w:rPr>
              <w:t>refuerzo evaluativo</w:t>
            </w:r>
          </w:p>
        </w:tc>
        <w:tc>
          <w:tcPr>
            <w:tcW w:type="dxa" w:w="1039"/>
          </w:tcPr>
          <w:p>
            <w:pPr>
              <w:spacing w:after="40"/>
            </w:pPr>
            <w:r>
              <w:rPr>
                <w:sz w:val="17"/>
              </w:rPr>
            </w:r>
            <w:r>
              <w:rPr>
                <w:rFonts w:ascii="IBM Plex Sans" w:hAnsi="IBM Plex Sans" w:cs="IBM Plex Sans"/>
                <w:b w:val="0"/>
                <w:i w:val="0"/>
                <w:color w:val="161412"/>
                <w:sz w:val="17"/>
              </w:rPr>
              <w:t>cierre opcional</w:t>
            </w:r>
          </w:p>
        </w:tc>
        <w:tc>
          <w:tcPr>
            <w:tcW w:type="dxa" w:w="1039"/>
          </w:tcPr>
          <w:p>
            <w:pPr>
              <w:spacing w:after="40"/>
            </w:pPr>
            <w:r>
              <w:rPr>
                <w:sz w:val="17"/>
              </w:rPr>
            </w:r>
            <w:r>
              <w:rPr>
                <w:rFonts w:ascii="IBM Plex Sans" w:hAnsi="IBM Plex Sans" w:cs="IBM Plex Sans"/>
                <w:b w:val="0"/>
                <w:i w:val="0"/>
                <w:color w:val="161412"/>
                <w:sz w:val="17"/>
              </w:rPr>
              <w:t>impacto / encaje</w:t>
            </w:r>
          </w:p>
        </w:tc>
      </w:tr>
      <w:tr>
        <w:tc>
          <w:tcPr>
            <w:tcW w:type="dxa" w:w="1039"/>
          </w:tcPr>
          <w:p>
            <w:pPr>
              <w:spacing w:after="40"/>
            </w:pPr>
            <w:r>
              <w:rPr>
                <w:sz w:val="17"/>
              </w:rPr>
            </w:r>
            <w:r>
              <w:rPr>
                <w:rFonts w:ascii="IBM Plex Sans" w:hAnsi="IBM Plex Sans" w:cs="IBM Plex Sans"/>
                <w:b w:val="0"/>
                <w:i w:val="0"/>
                <w:color w:val="161412"/>
                <w:sz w:val="17"/>
              </w:rPr>
              <w:t>signal</w:t>
            </w:r>
          </w:p>
        </w:tc>
        <w:tc>
          <w:tcPr>
            <w:tcW w:type="dxa" w:w="1039"/>
          </w:tcPr>
          <w:p>
            <w:pPr>
              <w:spacing w:after="40"/>
            </w:pPr>
            <w:r>
              <w:rPr>
                <w:sz w:val="17"/>
              </w:rPr>
            </w:r>
            <w:r>
              <w:rPr>
                <w:rFonts w:ascii="IBM Plex Sans" w:hAnsi="IBM Plex Sans" w:cs="IBM Plex Sans"/>
                <w:b w:val="0"/>
                <w:i w:val="0"/>
                <w:color w:val="161412"/>
                <w:sz w:val="17"/>
              </w:rPr>
              <w:t>persistencia suficiente</w:t>
            </w:r>
          </w:p>
        </w:tc>
        <w:tc>
          <w:tcPr>
            <w:tcW w:type="dxa" w:w="1039"/>
          </w:tcPr>
          <w:p>
            <w:pPr>
              <w:spacing w:after="40"/>
            </w:pPr>
            <w:r>
              <w:rPr>
                <w:sz w:val="17"/>
              </w:rPr>
            </w:r>
            <w:r>
              <w:rPr>
                <w:rFonts w:ascii="IBM Plex Sans" w:hAnsi="IBM Plex Sans" w:cs="IBM Plex Sans"/>
                <w:b w:val="0"/>
                <w:i w:val="0"/>
                <w:color w:val="161412"/>
                <w:sz w:val="17"/>
              </w:rPr>
              <w:t>entrada o énfasis</w:t>
            </w:r>
          </w:p>
        </w:tc>
        <w:tc>
          <w:tcPr>
            <w:tcW w:type="dxa" w:w="1039"/>
          </w:tcPr>
          <w:p>
            <w:pPr>
              <w:spacing w:after="40"/>
            </w:pPr>
            <w:r>
              <w:rPr>
                <w:sz w:val="17"/>
              </w:rPr>
            </w:r>
            <w:r>
              <w:rPr>
                <w:rFonts w:ascii="IBM Plex Sans" w:hAnsi="IBM Plex Sans" w:cs="IBM Plex Sans"/>
                <w:b w:val="0"/>
                <w:i w:val="0"/>
                <w:color w:val="161412"/>
                <w:sz w:val="17"/>
              </w:rPr>
              <w:t>figura atencional</w:t>
            </w:r>
          </w:p>
        </w:tc>
        <w:tc>
          <w:tcPr>
            <w:tcW w:type="dxa" w:w="1039"/>
          </w:tcPr>
          <w:p>
            <w:pPr>
              <w:spacing w:after="40"/>
            </w:pPr>
            <w:r>
              <w:rPr>
                <w:sz w:val="17"/>
              </w:rPr>
            </w:r>
            <w:r>
              <w:rPr>
                <w:rFonts w:ascii="IBM Plex Sans" w:hAnsi="IBM Plex Sans" w:cs="IBM Plex Sans"/>
                <w:b w:val="0"/>
                <w:i w:val="0"/>
                <w:color w:val="161412"/>
                <w:sz w:val="17"/>
              </w:rPr>
              <w:t>callout / badge / alerta</w:t>
            </w:r>
          </w:p>
        </w:tc>
        <w:tc>
          <w:tcPr>
            <w:tcW w:type="dxa" w:w="1039"/>
          </w:tcPr>
          <w:p>
            <w:pPr>
              <w:spacing w:after="40"/>
            </w:pPr>
            <w:r>
              <w:rPr>
                <w:sz w:val="17"/>
              </w:rPr>
            </w:r>
            <w:r>
              <w:rPr>
                <w:rFonts w:ascii="IBM Plex Sans" w:hAnsi="IBM Plex Sans" w:cs="IBM Plex Sans"/>
                <w:b w:val="0"/>
                <w:i w:val="0"/>
                <w:color w:val="161412"/>
                <w:sz w:val="17"/>
              </w:rPr>
              <w:t>saliencia y valencia</w:t>
            </w:r>
          </w:p>
        </w:tc>
        <w:tc>
          <w:tcPr>
            <w:tcW w:type="dxa" w:w="1039"/>
          </w:tcPr>
          <w:p>
            <w:pPr>
              <w:spacing w:after="40"/>
            </w:pPr>
            <w:r>
              <w:rPr>
                <w:sz w:val="17"/>
              </w:rPr>
            </w:r>
            <w:r>
              <w:rPr>
                <w:rFonts w:ascii="IBM Plex Sans" w:hAnsi="IBM Plex Sans" w:cs="IBM Plex Sans"/>
                <w:b w:val="0"/>
                <w:i w:val="0"/>
                <w:color w:val="161412"/>
                <w:sz w:val="17"/>
              </w:rPr>
              <w:t>fuera de foco</w:t>
            </w:r>
          </w:p>
        </w:tc>
        <w:tc>
          <w:tcPr>
            <w:tcW w:type="dxa" w:w="1039"/>
          </w:tcPr>
          <w:p>
            <w:pPr>
              <w:spacing w:after="40"/>
            </w:pPr>
            <w:r>
              <w:rPr>
                <w:sz w:val="17"/>
              </w:rPr>
            </w:r>
            <w:r>
              <w:rPr>
                <w:rFonts w:ascii="IBM Plex Sans" w:hAnsi="IBM Plex Sans" w:cs="IBM Plex Sans"/>
                <w:b w:val="0"/>
                <w:i w:val="0"/>
                <w:color w:val="161412"/>
                <w:sz w:val="17"/>
              </w:rPr>
              <w:t>alerta corporal</w:t>
            </w:r>
          </w:p>
        </w:tc>
      </w:tr>
      <w:tr>
        <w:tc>
          <w:tcPr>
            <w:tcW w:type="dxa" w:w="1039"/>
          </w:tcPr>
          <w:p>
            <w:pPr>
              <w:spacing w:after="40"/>
            </w:pPr>
            <w:r>
              <w:rPr>
                <w:sz w:val="17"/>
              </w:rPr>
            </w:r>
            <w:r>
              <w:rPr>
                <w:rFonts w:ascii="IBM Plex Sans" w:hAnsi="IBM Plex Sans" w:cs="IBM Plex Sans"/>
                <w:b w:val="0"/>
                <w:i w:val="0"/>
                <w:color w:val="161412"/>
                <w:sz w:val="17"/>
              </w:rPr>
              <w:t>handle</w:t>
            </w:r>
          </w:p>
        </w:tc>
        <w:tc>
          <w:tcPr>
            <w:tcW w:type="dxa" w:w="1039"/>
          </w:tcPr>
          <w:p>
            <w:pPr>
              <w:spacing w:after="40"/>
            </w:pPr>
            <w:r>
              <w:rPr>
                <w:sz w:val="17"/>
              </w:rPr>
            </w:r>
            <w:r>
              <w:rPr>
                <w:rFonts w:ascii="IBM Plex Sans" w:hAnsi="IBM Plex Sans" w:cs="IBM Plex Sans"/>
                <w:b w:val="0"/>
                <w:i w:val="0"/>
                <w:color w:val="161412"/>
                <w:sz w:val="17"/>
              </w:rPr>
              <w:t>baja latencia</w:t>
            </w:r>
          </w:p>
        </w:tc>
        <w:tc>
          <w:tcPr>
            <w:tcW w:type="dxa" w:w="1039"/>
          </w:tcPr>
          <w:p>
            <w:pPr>
              <w:spacing w:after="40"/>
            </w:pPr>
            <w:r>
              <w:rPr>
                <w:sz w:val="17"/>
              </w:rPr>
            </w:r>
            <w:r>
              <w:rPr>
                <w:rFonts w:ascii="IBM Plex Sans" w:hAnsi="IBM Plex Sans" w:cs="IBM Plex Sans"/>
                <w:b w:val="0"/>
                <w:i w:val="0"/>
                <w:color w:val="161412"/>
                <w:sz w:val="17"/>
              </w:rPr>
              <w:t>seguimiento continuo</w:t>
            </w:r>
          </w:p>
        </w:tc>
        <w:tc>
          <w:tcPr>
            <w:tcW w:type="dxa" w:w="1039"/>
          </w:tcPr>
          <w:p>
            <w:pPr>
              <w:spacing w:after="40"/>
            </w:pPr>
            <w:r>
              <w:rPr>
                <w:sz w:val="17"/>
              </w:rPr>
            </w:r>
            <w:r>
              <w:rPr>
                <w:rFonts w:ascii="IBM Plex Sans" w:hAnsi="IBM Plex Sans" w:cs="IBM Plex Sans"/>
                <w:b w:val="0"/>
                <w:i w:val="0"/>
                <w:color w:val="161412"/>
                <w:sz w:val="17"/>
              </w:rPr>
              <w:t>elevación / plano activo</w:t>
            </w:r>
          </w:p>
        </w:tc>
        <w:tc>
          <w:tcPr>
            <w:tcW w:type="dxa" w:w="1039"/>
          </w:tcPr>
          <w:p>
            <w:pPr>
              <w:spacing w:after="40"/>
            </w:pPr>
            <w:r>
              <w:rPr>
                <w:sz w:val="17"/>
              </w:rPr>
            </w:r>
            <w:r>
              <w:rPr>
                <w:rFonts w:ascii="IBM Plex Sans" w:hAnsi="IBM Plex Sans" w:cs="IBM Plex Sans"/>
                <w:b w:val="0"/>
                <w:i w:val="0"/>
                <w:color w:val="161412"/>
                <w:sz w:val="17"/>
              </w:rPr>
              <w:t>grip / zona destino</w:t>
            </w:r>
          </w:p>
        </w:tc>
        <w:tc>
          <w:tcPr>
            <w:tcW w:type="dxa" w:w="1039"/>
          </w:tcPr>
          <w:p>
            <w:pPr>
              <w:spacing w:after="40"/>
            </w:pPr>
            <w:r>
              <w:rPr>
                <w:sz w:val="17"/>
              </w:rPr>
            </w:r>
            <w:r>
              <w:rPr>
                <w:rFonts w:ascii="IBM Plex Sans" w:hAnsi="IBM Plex Sans" w:cs="IBM Plex Sans"/>
                <w:b w:val="0"/>
                <w:i w:val="0"/>
                <w:color w:val="161412"/>
                <w:sz w:val="17"/>
              </w:rPr>
              <w:t>válido / inválido</w:t>
            </w:r>
          </w:p>
        </w:tc>
        <w:tc>
          <w:tcPr>
            <w:tcW w:type="dxa" w:w="1039"/>
          </w:tcPr>
          <w:p>
            <w:pPr>
              <w:spacing w:after="40"/>
            </w:pPr>
            <w:r>
              <w:rPr>
                <w:sz w:val="17"/>
              </w:rPr>
            </w:r>
            <w:r>
              <w:rPr>
                <w:rFonts w:ascii="IBM Plex Sans" w:hAnsi="IBM Plex Sans" w:cs="IBM Plex Sans"/>
                <w:b w:val="0"/>
                <w:i w:val="0"/>
                <w:color w:val="161412"/>
                <w:sz w:val="17"/>
              </w:rPr>
              <w:t>pick/drop opcional</w:t>
            </w:r>
          </w:p>
        </w:tc>
        <w:tc>
          <w:tcPr>
            <w:tcW w:type="dxa" w:w="1039"/>
          </w:tcPr>
          <w:p>
            <w:pPr>
              <w:spacing w:after="40"/>
            </w:pPr>
            <w:r>
              <w:rPr>
                <w:sz w:val="17"/>
              </w:rPr>
            </w:r>
            <w:r>
              <w:rPr>
                <w:rFonts w:ascii="IBM Plex Sans" w:hAnsi="IBM Plex Sans" w:cs="IBM Plex Sans"/>
                <w:b w:val="0"/>
                <w:i w:val="0"/>
                <w:color w:val="161412"/>
                <w:sz w:val="17"/>
              </w:rPr>
              <w:t>pick/drop</w:t>
            </w:r>
          </w:p>
        </w:tc>
      </w:tr>
      <w:tr>
        <w:tc>
          <w:tcPr>
            <w:tcW w:type="dxa" w:w="1039"/>
          </w:tcPr>
          <w:p>
            <w:pPr>
              <w:spacing w:after="40"/>
            </w:pPr>
            <w:r>
              <w:rPr>
                <w:sz w:val="17"/>
              </w:rPr>
            </w:r>
            <w:r>
              <w:rPr>
                <w:rFonts w:ascii="IBM Plex Sans" w:hAnsi="IBM Plex Sans" w:cs="IBM Plex Sans"/>
                <w:b w:val="0"/>
                <w:i w:val="0"/>
                <w:color w:val="161412"/>
                <w:sz w:val="17"/>
              </w:rPr>
              <w:t>emerge</w:t>
            </w:r>
          </w:p>
        </w:tc>
        <w:tc>
          <w:tcPr>
            <w:tcW w:type="dxa" w:w="1039"/>
          </w:tcPr>
          <w:p>
            <w:pPr>
              <w:spacing w:after="40"/>
            </w:pPr>
            <w:r>
              <w:rPr>
                <w:sz w:val="17"/>
              </w:rPr>
            </w:r>
            <w:r>
              <w:rPr>
                <w:rFonts w:ascii="IBM Plex Sans" w:hAnsi="IBM Plex Sans" w:cs="IBM Plex Sans"/>
                <w:b w:val="0"/>
                <w:i w:val="0"/>
                <w:color w:val="161412"/>
                <w:sz w:val="17"/>
              </w:rPr>
              <w:t>entrada y salida</w:t>
            </w:r>
          </w:p>
        </w:tc>
        <w:tc>
          <w:tcPr>
            <w:tcW w:type="dxa" w:w="1039"/>
          </w:tcPr>
          <w:p>
            <w:pPr>
              <w:spacing w:after="40"/>
            </w:pPr>
            <w:r>
              <w:rPr>
                <w:sz w:val="17"/>
              </w:rPr>
            </w:r>
            <w:r>
              <w:rPr>
                <w:rFonts w:ascii="IBM Plex Sans" w:hAnsi="IBM Plex Sans" w:cs="IBM Plex Sans"/>
                <w:b w:val="0"/>
                <w:i w:val="0"/>
                <w:color w:val="161412"/>
                <w:sz w:val="17"/>
              </w:rPr>
              <w:t>origen / retirada</w:t>
            </w:r>
          </w:p>
        </w:tc>
        <w:tc>
          <w:tcPr>
            <w:tcW w:type="dxa" w:w="1039"/>
          </w:tcPr>
          <w:p>
            <w:pPr>
              <w:spacing w:after="40"/>
            </w:pPr>
            <w:r>
              <w:rPr>
                <w:sz w:val="17"/>
              </w:rPr>
            </w:r>
            <w:r>
              <w:rPr>
                <w:rFonts w:ascii="IBM Plex Sans" w:hAnsi="IBM Plex Sans" w:cs="IBM Plex Sans"/>
                <w:b w:val="0"/>
                <w:i w:val="0"/>
                <w:color w:val="161412"/>
                <w:sz w:val="17"/>
              </w:rPr>
              <w:t>presencia local</w:t>
            </w:r>
          </w:p>
        </w:tc>
        <w:tc>
          <w:tcPr>
            <w:tcW w:type="dxa" w:w="1039"/>
          </w:tcPr>
          <w:p>
            <w:pPr>
              <w:spacing w:after="40"/>
            </w:pPr>
            <w:r>
              <w:rPr>
                <w:sz w:val="17"/>
              </w:rPr>
            </w:r>
            <w:r>
              <w:rPr>
                <w:rFonts w:ascii="IBM Plex Sans" w:hAnsi="IBM Plex Sans" w:cs="IBM Plex Sans"/>
                <w:b w:val="0"/>
                <w:i w:val="0"/>
                <w:color w:val="161412"/>
                <w:sz w:val="17"/>
              </w:rPr>
              <w:t>superficie / contenedor</w:t>
            </w:r>
          </w:p>
        </w:tc>
        <w:tc>
          <w:tcPr>
            <w:tcW w:type="dxa" w:w="1039"/>
          </w:tcPr>
          <w:p>
            <w:pPr>
              <w:spacing w:after="40"/>
            </w:pPr>
            <w:r>
              <w:rPr>
                <w:sz w:val="17"/>
              </w:rPr>
            </w:r>
            <w:r>
              <w:rPr>
                <w:rFonts w:ascii="IBM Plex Sans" w:hAnsi="IBM Plex Sans" w:cs="IBM Plex Sans"/>
                <w:b w:val="0"/>
                <w:i w:val="0"/>
                <w:color w:val="161412"/>
                <w:sz w:val="17"/>
              </w:rPr>
              <w:t>apoyo menor</w:t>
            </w:r>
          </w:p>
        </w:tc>
        <w:tc>
          <w:tcPr>
            <w:tcW w:type="dxa" w:w="1039"/>
          </w:tcPr>
          <w:p>
            <w:pPr>
              <w:spacing w:after="40"/>
            </w:pPr>
            <w:r>
              <w:rPr>
                <w:sz w:val="17"/>
              </w:rPr>
            </w:r>
            <w:r>
              <w:rPr>
                <w:rFonts w:ascii="IBM Plex Sans" w:hAnsi="IBM Plex Sans" w:cs="IBM Plex Sans"/>
                <w:b w:val="0"/>
                <w:i w:val="0"/>
                <w:color w:val="161412"/>
                <w:sz w:val="17"/>
              </w:rPr>
              <w:t>normalmente no</w:t>
            </w:r>
          </w:p>
        </w:tc>
        <w:tc>
          <w:tcPr>
            <w:tcW w:type="dxa" w:w="1039"/>
          </w:tcPr>
          <w:p>
            <w:pPr>
              <w:spacing w:after="40"/>
            </w:pPr>
            <w:r>
              <w:rPr>
                <w:sz w:val="17"/>
              </w:rPr>
            </w:r>
            <w:r>
              <w:rPr>
                <w:rFonts w:ascii="IBM Plex Sans" w:hAnsi="IBM Plex Sans" w:cs="IBM Plex Sans"/>
                <w:b w:val="0"/>
                <w:i w:val="0"/>
                <w:color w:val="161412"/>
                <w:sz w:val="17"/>
              </w:rPr>
              <w:t>normalmente no</w:t>
            </w:r>
          </w:p>
        </w:tc>
      </w:tr>
      <w:tr>
        <w:tc>
          <w:tcPr>
            <w:tcW w:type="dxa" w:w="1039"/>
          </w:tcPr>
          <w:p>
            <w:pPr>
              <w:spacing w:after="40"/>
            </w:pPr>
            <w:r>
              <w:rPr>
                <w:sz w:val="17"/>
              </w:rPr>
            </w:r>
            <w:r>
              <w:rPr>
                <w:rFonts w:ascii="IBM Plex Sans" w:hAnsi="IBM Plex Sans" w:cs="IBM Plex Sans"/>
                <w:b w:val="0"/>
                <w:i w:val="0"/>
                <w:color w:val="161412"/>
                <w:sz w:val="17"/>
              </w:rPr>
              <w:t>shift</w:t>
            </w:r>
          </w:p>
        </w:tc>
        <w:tc>
          <w:tcPr>
            <w:tcW w:type="dxa" w:w="1039"/>
          </w:tcPr>
          <w:p>
            <w:pPr>
              <w:spacing w:after="40"/>
            </w:pPr>
            <w:r>
              <w:rPr>
                <w:sz w:val="17"/>
              </w:rPr>
            </w:r>
            <w:r>
              <w:rPr>
                <w:rFonts w:ascii="IBM Plex Sans" w:hAnsi="IBM Plex Sans" w:cs="IBM Plex Sans"/>
                <w:b w:val="0"/>
                <w:i w:val="0"/>
                <w:color w:val="161412"/>
                <w:sz w:val="17"/>
              </w:rPr>
              <w:t>transición orientadora</w:t>
            </w:r>
          </w:p>
        </w:tc>
        <w:tc>
          <w:tcPr>
            <w:tcW w:type="dxa" w:w="1039"/>
          </w:tcPr>
          <w:p>
            <w:pPr>
              <w:spacing w:after="40"/>
            </w:pPr>
            <w:r>
              <w:rPr>
                <w:sz w:val="17"/>
              </w:rPr>
            </w:r>
            <w:r>
              <w:rPr>
                <w:rFonts w:ascii="IBM Plex Sans" w:hAnsi="IBM Plex Sans" w:cs="IBM Plex Sans"/>
                <w:b w:val="0"/>
                <w:i w:val="0"/>
                <w:color w:val="161412"/>
                <w:sz w:val="17"/>
              </w:rPr>
              <w:t>cruce de marco</w:t>
            </w:r>
          </w:p>
        </w:tc>
        <w:tc>
          <w:tcPr>
            <w:tcW w:type="dxa" w:w="1039"/>
          </w:tcPr>
          <w:p>
            <w:pPr>
              <w:spacing w:after="40"/>
            </w:pPr>
            <w:r>
              <w:rPr>
                <w:sz w:val="17"/>
              </w:rPr>
            </w:r>
            <w:r>
              <w:rPr>
                <w:rFonts w:ascii="IBM Plex Sans" w:hAnsi="IBM Plex Sans" w:cs="IBM Plex Sans"/>
                <w:b w:val="0"/>
                <w:i w:val="0"/>
                <w:color w:val="161412"/>
                <w:sz w:val="17"/>
              </w:rPr>
              <w:t>plano dominante / fondo</w:t>
            </w:r>
          </w:p>
        </w:tc>
        <w:tc>
          <w:tcPr>
            <w:tcW w:type="dxa" w:w="1039"/>
          </w:tcPr>
          <w:p>
            <w:pPr>
              <w:spacing w:after="40"/>
            </w:pPr>
            <w:r>
              <w:rPr>
                <w:sz w:val="17"/>
              </w:rPr>
            </w:r>
            <w:r>
              <w:rPr>
                <w:rFonts w:ascii="IBM Plex Sans" w:hAnsi="IBM Plex Sans" w:cs="IBM Plex Sans"/>
                <w:b w:val="0"/>
                <w:i w:val="0"/>
                <w:color w:val="161412"/>
                <w:sz w:val="17"/>
              </w:rPr>
              <w:t>estructura del nuevo contexto</w:t>
            </w:r>
          </w:p>
        </w:tc>
        <w:tc>
          <w:tcPr>
            <w:tcW w:type="dxa" w:w="1039"/>
          </w:tcPr>
          <w:p>
            <w:pPr>
              <w:spacing w:after="40"/>
            </w:pPr>
            <w:r>
              <w:rPr>
                <w:sz w:val="17"/>
              </w:rPr>
            </w:r>
            <w:r>
              <w:rPr>
                <w:rFonts w:ascii="IBM Plex Sans" w:hAnsi="IBM Plex Sans" w:cs="IBM Plex Sans"/>
                <w:b w:val="0"/>
                <w:i w:val="0"/>
                <w:color w:val="161412"/>
                <w:sz w:val="17"/>
              </w:rPr>
              <w:t>modo o estado</w:t>
            </w:r>
          </w:p>
        </w:tc>
        <w:tc>
          <w:tcPr>
            <w:tcW w:type="dxa" w:w="1039"/>
          </w:tcPr>
          <w:p>
            <w:pPr>
              <w:spacing w:after="40"/>
            </w:pPr>
            <w:r>
              <w:rPr>
                <w:sz w:val="17"/>
              </w:rPr>
            </w:r>
            <w:r>
              <w:rPr>
                <w:rFonts w:ascii="IBM Plex Sans" w:hAnsi="IBM Plex Sans" w:cs="IBM Plex Sans"/>
                <w:b w:val="0"/>
                <w:i w:val="0"/>
                <w:color w:val="161412"/>
                <w:sz w:val="17"/>
              </w:rPr>
              <w:t>raro</w:t>
            </w:r>
          </w:p>
        </w:tc>
        <w:tc>
          <w:tcPr>
            <w:tcW w:type="dxa" w:w="1039"/>
          </w:tcPr>
          <w:p>
            <w:pPr>
              <w:spacing w:after="40"/>
            </w:pPr>
            <w:r>
              <w:rPr>
                <w:sz w:val="17"/>
              </w:rPr>
            </w:r>
            <w:r>
              <w:rPr>
                <w:rFonts w:ascii="IBM Plex Sans" w:hAnsi="IBM Plex Sans" w:cs="IBM Plex Sans"/>
                <w:b w:val="0"/>
                <w:i w:val="0"/>
                <w:color w:val="161412"/>
                <w:sz w:val="17"/>
              </w:rPr>
              <w:t>raro</w:t>
            </w:r>
          </w:p>
        </w:tc>
      </w:tr>
      <w:tr>
        <w:tc>
          <w:tcPr>
            <w:tcW w:type="dxa" w:w="1039"/>
          </w:tcPr>
          <w:p>
            <w:pPr>
              <w:spacing w:after="40"/>
            </w:pPr>
            <w:r>
              <w:rPr>
                <w:sz w:val="17"/>
              </w:rPr>
            </w:r>
            <w:r>
              <w:rPr>
                <w:rFonts w:ascii="IBM Plex Sans" w:hAnsi="IBM Plex Sans" w:cs="IBM Plex Sans"/>
                <w:b w:val="0"/>
                <w:i w:val="0"/>
                <w:color w:val="161412"/>
                <w:sz w:val="17"/>
              </w:rPr>
              <w:t>sustain</w:t>
            </w:r>
          </w:p>
        </w:tc>
        <w:tc>
          <w:tcPr>
            <w:tcW w:type="dxa" w:w="1039"/>
          </w:tcPr>
          <w:p>
            <w:pPr>
              <w:spacing w:after="40"/>
            </w:pPr>
            <w:r>
              <w:rPr>
                <w:sz w:val="17"/>
              </w:rPr>
            </w:r>
            <w:r>
              <w:rPr>
                <w:rFonts w:ascii="IBM Plex Sans" w:hAnsi="IBM Plex Sans" w:cs="IBM Plex Sans"/>
                <w:b w:val="0"/>
                <w:i w:val="0"/>
                <w:color w:val="161412"/>
                <w:sz w:val="17"/>
              </w:rPr>
              <w:t>continuidad</w:t>
            </w:r>
          </w:p>
        </w:tc>
        <w:tc>
          <w:tcPr>
            <w:tcW w:type="dxa" w:w="1039"/>
          </w:tcPr>
          <w:p>
            <w:pPr>
              <w:spacing w:after="40"/>
            </w:pPr>
            <w:r>
              <w:rPr>
                <w:sz w:val="17"/>
              </w:rPr>
            </w:r>
            <w:r>
              <w:rPr>
                <w:rFonts w:ascii="IBM Plex Sans" w:hAnsi="IBM Plex Sans" w:cs="IBM Plex Sans"/>
                <w:b w:val="0"/>
                <w:i w:val="0"/>
                <w:color w:val="161412"/>
                <w:sz w:val="17"/>
              </w:rPr>
              <w:t>actividad o progreso</w:t>
            </w:r>
          </w:p>
        </w:tc>
        <w:tc>
          <w:tcPr>
            <w:tcW w:type="dxa" w:w="1039"/>
          </w:tcPr>
          <w:p>
            <w:pPr>
              <w:spacing w:after="40"/>
            </w:pPr>
            <w:r>
              <w:rPr>
                <w:sz w:val="17"/>
              </w:rPr>
            </w:r>
            <w:r>
              <w:rPr>
                <w:rFonts w:ascii="IBM Plex Sans" w:hAnsi="IBM Plex Sans" w:cs="IBM Plex Sans"/>
                <w:b w:val="0"/>
                <w:i w:val="0"/>
                <w:color w:val="161412"/>
                <w:sz w:val="17"/>
              </w:rPr>
              <w:t>estado persistente</w:t>
            </w:r>
          </w:p>
        </w:tc>
        <w:tc>
          <w:tcPr>
            <w:tcW w:type="dxa" w:w="1039"/>
          </w:tcPr>
          <w:p>
            <w:pPr>
              <w:spacing w:after="40"/>
            </w:pPr>
            <w:r>
              <w:rPr>
                <w:sz w:val="17"/>
              </w:rPr>
            </w:r>
            <w:r>
              <w:rPr>
                <w:rFonts w:ascii="IBM Plex Sans" w:hAnsi="IBM Plex Sans" w:cs="IBM Plex Sans"/>
                <w:b w:val="0"/>
                <w:i w:val="0"/>
                <w:color w:val="161412"/>
                <w:sz w:val="17"/>
              </w:rPr>
              <w:t>barra / skeleton / indicador</w:t>
            </w:r>
          </w:p>
        </w:tc>
        <w:tc>
          <w:tcPr>
            <w:tcW w:type="dxa" w:w="1039"/>
          </w:tcPr>
          <w:p>
            <w:pPr>
              <w:spacing w:after="40"/>
            </w:pPr>
            <w:r>
              <w:rPr>
                <w:sz w:val="17"/>
              </w:rPr>
            </w:r>
            <w:r>
              <w:rPr>
                <w:rFonts w:ascii="IBM Plex Sans" w:hAnsi="IBM Plex Sans" w:cs="IBM Plex Sans"/>
                <w:b w:val="0"/>
                <w:i w:val="0"/>
                <w:color w:val="161412"/>
                <w:sz w:val="17"/>
              </w:rPr>
              <w:t>bajo</w:t>
            </w:r>
          </w:p>
        </w:tc>
        <w:tc>
          <w:tcPr>
            <w:tcW w:type="dxa" w:w="1039"/>
          </w:tcPr>
          <w:p>
            <w:pPr>
              <w:spacing w:after="40"/>
            </w:pPr>
            <w:r>
              <w:rPr>
                <w:sz w:val="17"/>
              </w:rPr>
            </w:r>
            <w:r>
              <w:rPr>
                <w:rFonts w:ascii="IBM Plex Sans" w:hAnsi="IBM Plex Sans" w:cs="IBM Plex Sans"/>
                <w:b w:val="0"/>
                <w:i w:val="0"/>
                <w:color w:val="161412"/>
                <w:sz w:val="17"/>
              </w:rPr>
              <w:t>evitar loop</w:t>
            </w:r>
          </w:p>
        </w:tc>
        <w:tc>
          <w:tcPr>
            <w:tcW w:type="dxa" w:w="1039"/>
          </w:tcPr>
          <w:p>
            <w:pPr>
              <w:spacing w:after="40"/>
            </w:pPr>
            <w:r>
              <w:rPr>
                <w:sz w:val="17"/>
              </w:rPr>
            </w:r>
            <w:r>
              <w:rPr>
                <w:rFonts w:ascii="IBM Plex Sans" w:hAnsi="IBM Plex Sans" w:cs="IBM Plex Sans"/>
                <w:b w:val="0"/>
                <w:i w:val="0"/>
                <w:color w:val="161412"/>
                <w:sz w:val="17"/>
              </w:rPr>
              <w:t>evitar</w:t>
            </w:r>
          </w:p>
        </w:tc>
      </w:tr>
    </w:tbl>
    <w:p>
      <w:pPr>
        <w:spacing w:before="200" w:after="60"/>
        <w:jc w:val="center"/>
      </w:pPr>
      <w:r>
        <w:drawing>
          <wp:inline xmlns:a="http://schemas.openxmlformats.org/drawingml/2006/main" xmlns:pic="http://schemas.openxmlformats.org/drawingml/2006/picture">
            <wp:extent cx="5029200" cy="2932652"/>
            <wp:docPr id="73" name="Picture 73"/>
            <wp:cNvGraphicFramePr>
              <a:graphicFrameLocks noChangeAspect="1"/>
            </wp:cNvGraphicFramePr>
            <a:graphic>
              <a:graphicData uri="http://schemas.openxmlformats.org/drawingml/2006/picture">
                <pic:pic>
                  <pic:nvPicPr>
                    <pic:cNvPr id="0" name="figura-31-1.png"/>
                    <pic:cNvPicPr/>
                  </pic:nvPicPr>
                  <pic:blipFill>
                    <a:blip r:embed="rId81"/>
                    <a:stretch>
                      <a:fillRect/>
                    </a:stretch>
                  </pic:blipFill>
                  <pic:spPr>
                    <a:xfrm>
                      <a:off x="0" y="0"/>
                      <a:ext cx="5029200" cy="2932652"/>
                    </a:xfrm>
                    <a:prstGeom prst="rect"/>
                  </pic:spPr>
                </pic:pic>
              </a:graphicData>
            </a:graphic>
          </wp:inline>
        </w:drawing>
      </w:r>
    </w:p>
    <w:p>
      <w:pPr>
        <w:spacing w:before="320" w:after="40"/>
      </w:pPr>
      <w:r>
        <w:rPr>
          <w:rFonts w:ascii="IBM Plex Sans" w:hAnsi="IBM Plex Sans" w:cs="IBM Plex Sans"/>
          <w:b/>
          <w:color w:val="1F3A5F"/>
          <w:sz w:val="18"/>
        </w:rPr>
        <w:t xml:space="preserve">§ 4</w:t>
      </w:r>
    </w:p>
    <w:p>
      <w:pPr>
        <w:spacing w:after="160" w:line="240" w:lineRule="auto"/>
      </w:pPr>
      <w:r>
        <w:rPr>
          <w:rFonts w:ascii="Newsreader" w:hAnsi="Newsreader" w:cs="Newsreader"/>
          <w:color w:val="161412"/>
          <w:sz w:val="38"/>
        </w:rPr>
        <w:t xml:space="preserve">Lectura por familia</w:t>
      </w:r>
    </w:p>
    <w:p>
      <w:pPr>
        <w:spacing w:before="240" w:after="100"/>
      </w:pPr>
      <w:r>
        <w:rPr>
          <w:rFonts w:ascii="Newsreader" w:hAnsi="Newsreader" w:cs="Newsreader"/>
          <w:i/>
          <w:color w:val="1F3A5F"/>
          <w:sz w:val="28"/>
        </w:rPr>
        <w:t xml:space="preserve">Contact</w:t>
      </w:r>
    </w:p>
    <w:p>
      <w:pPr>
        <w:spacing w:after="120" w:line="320" w:lineRule="auto"/>
        <w:jc w:val="both"/>
      </w:pPr>
      <w:r>
        <w:rPr>
          <w:rFonts w:ascii="Newsreader" w:hAnsi="Newsreader" w:cs="Newsreader"/>
          <w:b w:val="0"/>
          <w:i w:val="0"/>
          <w:color w:val="161412"/>
        </w:rPr>
        <w:t xml:space="preserve">contact depende principalmente del tiempo: si la respuesta llega tarde, pierde su función aunque el motion sea bonito. El canal dominante es la latencia —el usuario debe percibir que el sistema ha sentido su acción—; motion puede ayudar con una microcompresión, la forma puede reforzar con un estado pressed, y sonido y háptica son opcionales. La función dominante es tiempo + motion → agencia inmediata, y el riesgo, convertir cada contacto en espectáculo.</w:t>
      </w:r>
    </w:p>
    <w:p>
      <w:pPr>
        <w:spacing w:before="240" w:after="100"/>
      </w:pPr>
      <w:r>
        <w:rPr>
          <w:rFonts w:ascii="Newsreader" w:hAnsi="Newsreader" w:cs="Newsreader"/>
          <w:i/>
          <w:color w:val="1F3A5F"/>
          <w:sz w:val="28"/>
        </w:rPr>
        <w:t xml:space="preserve">Commit</w:t>
      </w:r>
    </w:p>
    <w:p>
      <w:pPr>
        <w:spacing w:after="120" w:line="320" w:lineRule="auto"/>
        <w:jc w:val="both"/>
      </w:pPr>
      <w:r>
        <w:rPr>
          <w:rFonts w:ascii="Newsreader" w:hAnsi="Newsreader" w:cs="Newsreader"/>
          <w:b w:val="0"/>
          <w:i w:val="0"/>
          <w:color w:val="161412"/>
        </w:rPr>
        <w:t xml:space="preserve">commit necesita dejar huella. No basta con que algo cambie por un instante: el usuario debe percibir que algo quedó fijado, resuelto, eliminado, cancelado o restaurado. Motion puede comunicar asentamiento o retirada; forma y presencia sostienen el estado; el color puede reforzar el intent; sonido o háptica pueden marcar cierre en eventos relevantes. La función dominante es forma + presencia + motion → consecuencia perceptible, y los riesgos, el commit efímero sin huella y la sobrecelebración de lo rutinario.</w:t>
      </w:r>
    </w:p>
    <w:p>
      <w:pPr>
        <w:spacing w:before="240" w:after="100"/>
      </w:pPr>
      <w:r>
        <w:rPr>
          <w:rFonts w:ascii="Newsreader" w:hAnsi="Newsreader" w:cs="Newsreader"/>
          <w:i/>
          <w:color w:val="1F3A5F"/>
          <w:sz w:val="28"/>
        </w:rPr>
        <w:t xml:space="preserve">Signal</w:t>
      </w:r>
    </w:p>
    <w:p>
      <w:pPr>
        <w:spacing w:after="120" w:line="320" w:lineRule="auto"/>
        <w:jc w:val="both"/>
      </w:pPr>
      <w:r>
        <w:rPr>
          <w:rFonts w:ascii="Newsreader" w:hAnsi="Newsreader" w:cs="Newsreader"/>
          <w:b w:val="0"/>
          <w:i w:val="0"/>
          <w:color w:val="161412"/>
        </w:rPr>
        <w:t xml:space="preserve">signal necesita entrar en la atención. Sus canales fuertes son presencia, forma, color y texto; el sonido es útil cuando la señal debe alcanzar al usuario fuera del foco visual; motion puede introducir o enfatizar, pero dosificado. La función dominante es presencia + forma + texto + color → atención orientada, y los riesgos, depender solo del color o convertir todo en alerta.</w:t>
      </w:r>
    </w:p>
    <w:p>
      <w:pPr>
        <w:spacing w:before="240" w:after="100"/>
      </w:pPr>
      <w:r>
        <w:rPr>
          <w:rFonts w:ascii="Newsreader" w:hAnsi="Newsreader" w:cs="Newsreader"/>
          <w:i/>
          <w:color w:val="1F3A5F"/>
          <w:sz w:val="28"/>
        </w:rPr>
        <w:t xml:space="preserve">Handle</w:t>
      </w:r>
    </w:p>
    <w:p>
      <w:pPr>
        <w:spacing w:after="120" w:line="320" w:lineRule="auto"/>
        <w:jc w:val="both"/>
      </w:pPr>
      <w:r>
        <w:rPr>
          <w:rFonts w:ascii="Newsreader" w:hAnsi="Newsreader" w:cs="Newsreader"/>
          <w:b w:val="0"/>
          <w:i w:val="0"/>
          <w:color w:val="161412"/>
        </w:rPr>
        <w:t xml:space="preserve">handle requiere baja latencia, continuidad y profundidad. Motion es central porque sostiene el control; la profundidad indica que el objeto salió del flujo normal; la forma define objeto, agarre y zonas de destino; el color puede indicar válido o inválido, pero no debe dominar el carry. La función dominante es motion + profundidad + forma → control directo, y los riesgos, perder agencia por lag, destino ambiguo o falta de alternativa accesible.</w:t>
      </w:r>
    </w:p>
    <w:p>
      <w:pPr>
        <w:spacing w:before="240" w:after="100"/>
      </w:pPr>
      <w:r>
        <w:rPr>
          <w:rFonts w:ascii="Newsreader" w:hAnsi="Newsreader" w:cs="Newsreader"/>
          <w:i/>
          <w:color w:val="1F3A5F"/>
          <w:sz w:val="28"/>
        </w:rPr>
        <w:t xml:space="preserve">Emerge</w:t>
      </w:r>
    </w:p>
    <w:p>
      <w:pPr>
        <w:spacing w:after="120" w:line="320" w:lineRule="auto"/>
        <w:jc w:val="both"/>
      </w:pPr>
      <w:r>
        <w:rPr>
          <w:rFonts w:ascii="Newsreader" w:hAnsi="Newsreader" w:cs="Newsreader"/>
          <w:b w:val="0"/>
          <w:i w:val="0"/>
          <w:color w:val="161412"/>
        </w:rPr>
        <w:t xml:space="preserve">emerge necesita hacer legible la entrada o salida de algo en el campo perceptivo. Presencia y motion son centrales; la profundidad ayuda si la superficie flota; la forma define el tipo de superficie; color, sonido y háptica suelen ser secundarios. La función dominante es presencia + motion + forma → aparición reconocible, y el riesgo, que una aparición local se sienta como alerta o como cambio de contexto.</w:t>
      </w:r>
    </w:p>
    <w:p>
      <w:pPr>
        <w:spacing w:before="240" w:after="100"/>
      </w:pPr>
      <w:r>
        <w:rPr>
          <w:rFonts w:ascii="Newsreader" w:hAnsi="Newsreader" w:cs="Newsreader"/>
          <w:i/>
          <w:color w:val="1F3A5F"/>
          <w:sz w:val="28"/>
        </w:rPr>
        <w:t xml:space="preserve">Shift</w:t>
      </w:r>
    </w:p>
    <w:p>
      <w:pPr>
        <w:spacing w:after="120" w:line="320" w:lineRule="auto"/>
        <w:jc w:val="both"/>
      </w:pPr>
      <w:r>
        <w:rPr>
          <w:rFonts w:ascii="Newsreader" w:hAnsi="Newsreader" w:cs="Newsreader"/>
          <w:b w:val="0"/>
          <w:i w:val="0"/>
          <w:color w:val="161412"/>
        </w:rPr>
        <w:t xml:space="preserve">shift necesita orientar un cambio de contexto. Sus canales principales son profundidad, presencia, foco, estructura y motion; el color puede reforzar el modo activo; sonido y háptica son raros. La función dominante es profundidad + foco + estructura → cambio de contexto, y el riesgo, que el usuario no sepa dónde está, qué cambió o cómo volver.</w:t>
      </w:r>
    </w:p>
    <w:p>
      <w:pPr>
        <w:spacing w:before="240" w:after="100"/>
      </w:pPr>
      <w:r>
        <w:rPr>
          <w:rFonts w:ascii="Newsreader" w:hAnsi="Newsreader" w:cs="Newsreader"/>
          <w:i/>
          <w:color w:val="1F3A5F"/>
          <w:sz w:val="28"/>
        </w:rPr>
        <w:t xml:space="preserve">Sustain</w:t>
      </w:r>
    </w:p>
    <w:p>
      <w:pPr>
        <w:spacing w:after="120" w:line="320" w:lineRule="auto"/>
        <w:jc w:val="both"/>
      </w:pPr>
      <w:r>
        <w:rPr>
          <w:rFonts w:ascii="Newsreader" w:hAnsi="Newsreader" w:cs="Newsreader"/>
          <w:b w:val="0"/>
          <w:i w:val="0"/>
          <w:color w:val="161412"/>
        </w:rPr>
        <w:t xml:space="preserve">sustain necesita sostener continuidad sin fatigar. El canal principal es el tiempo; la presencia mantiene visible el estado; la forma representa el proceso; motion puede indicar actividad, pero con baja demanda; sonido y háptica deben evitarse. La función dominante es tiempo + presencia + forma → proceso vivo, y los riesgos, el spinner eterno, la espera silenciosa o el sustain que parece alarma.</w:t>
      </w:r>
    </w:p>
    <w:p>
      <w:pPr>
        <w:spacing w:before="240" w:after="100"/>
      </w:pPr>
      <w:r>
        <w:rPr>
          <w:rFonts w:ascii="Newsreader" w:hAnsi="Newsreader" w:cs="Newsreader"/>
          <w:i/>
          <w:color w:val="1F3A5F"/>
          <w:sz w:val="28"/>
        </w:rPr>
        <w:t xml:space="preserve">Delegate</w:t>
      </w:r>
    </w:p>
    <w:p>
      <w:pPr>
        <w:spacing w:after="120" w:line="320" w:lineRule="auto"/>
        <w:jc w:val="both"/>
      </w:pPr>
      <w:r>
        <w:rPr>
          <w:rFonts w:ascii="Newsreader" w:hAnsi="Newsreader" w:cs="Newsreader"/>
          <w:b w:val="0"/>
          <w:i w:val="0"/>
          <w:color w:val="161412"/>
        </w:rPr>
        <w:t xml:space="preserve">delegate no tiene canales propios: toma prestados los de las familias que desencadena y les añade una capa de autoría. Sus canales característicos son el texto y la forma de atribución —una marca de «automático», una mención del agente—, una presencia suficiente para que la acción del sistema no pase inadvertida y una saliencia moderada que no la convierta en alarma. La función dominante es forma + texto + presencia → autoría legible, y los riesgos, que las acciones del sistema parezcan del usuario o que ocurran sin dejar rastro.</w:t>
      </w:r>
    </w:p>
    <w:p>
      <w:pPr>
        <w:spacing w:before="320" w:after="40"/>
      </w:pPr>
      <w:r>
        <w:rPr>
          <w:rFonts w:ascii="IBM Plex Sans" w:hAnsi="IBM Plex Sans" w:cs="IBM Plex Sans"/>
          <w:b/>
          <w:color w:val="1F3A5F"/>
          <w:sz w:val="18"/>
        </w:rPr>
        <w:t xml:space="preserve">§ 5</w:t>
      </w:r>
    </w:p>
    <w:p>
      <w:pPr>
        <w:spacing w:after="160" w:line="240" w:lineRule="auto"/>
      </w:pPr>
      <w:r>
        <w:rPr>
          <w:rFonts w:ascii="Newsreader" w:hAnsi="Newsreader" w:cs="Newsreader"/>
          <w:color w:val="161412"/>
          <w:sz w:val="38"/>
        </w:rPr>
        <w:t xml:space="preserve">Matriz de intents y canales</w:t>
      </w:r>
    </w:p>
    <w:p>
      <w:pPr>
        <w:spacing w:after="120" w:line="320" w:lineRule="auto"/>
        <w:jc w:val="both"/>
      </w:pPr>
      <w:r>
        <w:rPr>
          <w:rFonts w:ascii="Newsreader" w:hAnsi="Newsreader" w:cs="Newsreader"/>
          <w:b w:val="0"/>
          <w:i w:val="0"/>
          <w:color w:val="161412"/>
        </w:rPr>
        <w:t xml:space="preserve">La segunda matriz cruza los intents con los canales. Aquí la pregunta cambia: ya no preguntamos qué familia es, sino cómo debe evaluarse afectivamente el evento. Los intents no definen el evento; lo modulan. Por eso esta matriz no se usa sola: siempre debe leerse junto a una familia.</w:t>
      </w:r>
    </w:p>
    <w:p>
      <w:pPr>
        <w:spacing w:after="200" w:before="40"/>
      </w:pPr>
      <w:r>
        <w:rPr>
          <w:rFonts w:ascii="IBM Plex Sans" w:hAnsi="IBM Plex Sans" w:cs="IBM Plex Sans"/>
          <w:b/>
          <w:color w:val="1F3A5F"/>
          <w:sz w:val="17"/>
        </w:rPr>
        <w:t xml:space="preserve">TABLA 31.2   </w:t>
      </w:r>
      <w:r>
        <w:rPr>
          <w:rFonts w:ascii="IBM Plex Sans" w:hAnsi="IBM Plex Sans" w:cs="IBM Plex Sans"/>
          <w:color w:val="3A352F"/>
          <w:sz w:val="18"/>
        </w:rPr>
        <w:t xml:space="preserve">Matriz intents × canales</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1039"/>
        <w:gridCol w:w="1039"/>
        <w:gridCol w:w="1039"/>
        <w:gridCol w:w="1039"/>
        <w:gridCol w:w="1039"/>
        <w:gridCol w:w="1039"/>
        <w:gridCol w:w="1039"/>
        <w:gridCol w:w="1039"/>
      </w:tblGrid>
      <w:tr>
        <w:tc>
          <w:tcPr>
            <w:tcW w:type="dxa" w:w="1039"/>
            <w:shd w:val="clear" w:color="auto" w:fill="EAE4D8"/>
          </w:tcPr>
          <w:p>
            <w:pPr>
              <w:spacing w:after="40"/>
            </w:pPr>
            <w:r>
              <w:rPr>
                <w:sz w:val="17"/>
              </w:rPr>
            </w:r>
            <w:r>
              <w:rPr>
                <w:rFonts w:ascii="IBM Plex Sans" w:hAnsi="IBM Plex Sans" w:cs="IBM Plex Sans"/>
                <w:b/>
                <w:i w:val="0"/>
                <w:color w:val="1F3A5F"/>
                <w:sz w:val="17"/>
              </w:rPr>
              <w:t>INTENT</w:t>
            </w:r>
          </w:p>
        </w:tc>
        <w:tc>
          <w:tcPr>
            <w:tcW w:type="dxa" w:w="1039"/>
            <w:shd w:val="clear" w:color="auto" w:fill="EAE4D8"/>
          </w:tcPr>
          <w:p>
            <w:pPr>
              <w:spacing w:after="40"/>
            </w:pPr>
            <w:r>
              <w:rPr>
                <w:sz w:val="17"/>
              </w:rPr>
            </w:r>
            <w:r>
              <w:rPr>
                <w:rFonts w:ascii="IBM Plex Sans" w:hAnsi="IBM Plex Sans" w:cs="IBM Plex Sans"/>
                <w:b/>
                <w:i w:val="0"/>
                <w:color w:val="1F3A5F"/>
                <w:sz w:val="17"/>
              </w:rPr>
              <w:t>TIEMPO</w:t>
            </w:r>
          </w:p>
        </w:tc>
        <w:tc>
          <w:tcPr>
            <w:tcW w:type="dxa" w:w="1039"/>
            <w:shd w:val="clear" w:color="auto" w:fill="EAE4D8"/>
          </w:tcPr>
          <w:p>
            <w:pPr>
              <w:spacing w:after="40"/>
            </w:pPr>
            <w:r>
              <w:rPr>
                <w:sz w:val="17"/>
              </w:rPr>
            </w:r>
            <w:r>
              <w:rPr>
                <w:rFonts w:ascii="IBM Plex Sans" w:hAnsi="IBM Plex Sans" w:cs="IBM Plex Sans"/>
                <w:b/>
                <w:i w:val="0"/>
                <w:color w:val="1F3A5F"/>
                <w:sz w:val="17"/>
              </w:rPr>
              <w:t>MOTION</w:t>
            </w:r>
          </w:p>
        </w:tc>
        <w:tc>
          <w:tcPr>
            <w:tcW w:type="dxa" w:w="1039"/>
            <w:shd w:val="clear" w:color="auto" w:fill="EAE4D8"/>
          </w:tcPr>
          <w:p>
            <w:pPr>
              <w:spacing w:after="40"/>
            </w:pPr>
            <w:r>
              <w:rPr>
                <w:sz w:val="17"/>
              </w:rPr>
            </w:r>
            <w:r>
              <w:rPr>
                <w:rFonts w:ascii="IBM Plex Sans" w:hAnsi="IBM Plex Sans" w:cs="IBM Plex Sans"/>
                <w:b/>
                <w:i w:val="0"/>
                <w:color w:val="1F3A5F"/>
                <w:sz w:val="17"/>
              </w:rPr>
              <w:t>PRESENCIA</w:t>
            </w:r>
          </w:p>
        </w:tc>
        <w:tc>
          <w:tcPr>
            <w:tcW w:type="dxa" w:w="1039"/>
            <w:shd w:val="clear" w:color="auto" w:fill="EAE4D8"/>
          </w:tcPr>
          <w:p>
            <w:pPr>
              <w:spacing w:after="40"/>
            </w:pPr>
            <w:r>
              <w:rPr>
                <w:sz w:val="17"/>
              </w:rPr>
            </w:r>
            <w:r>
              <w:rPr>
                <w:rFonts w:ascii="IBM Plex Sans" w:hAnsi="IBM Plex Sans" w:cs="IBM Plex Sans"/>
                <w:b/>
                <w:i w:val="0"/>
                <w:color w:val="1F3A5F"/>
                <w:sz w:val="17"/>
              </w:rPr>
              <w:t>FORMA</w:t>
            </w:r>
          </w:p>
        </w:tc>
        <w:tc>
          <w:tcPr>
            <w:tcW w:type="dxa" w:w="1039"/>
            <w:shd w:val="clear" w:color="auto" w:fill="EAE4D8"/>
          </w:tcPr>
          <w:p>
            <w:pPr>
              <w:spacing w:after="40"/>
            </w:pPr>
            <w:r>
              <w:rPr>
                <w:sz w:val="17"/>
              </w:rPr>
            </w:r>
            <w:r>
              <w:rPr>
                <w:rFonts w:ascii="IBM Plex Sans" w:hAnsi="IBM Plex Sans" w:cs="IBM Plex Sans"/>
                <w:b/>
                <w:i w:val="0"/>
                <w:color w:val="1F3A5F"/>
                <w:sz w:val="17"/>
              </w:rPr>
              <w:t>COLOR</w:t>
            </w:r>
          </w:p>
        </w:tc>
        <w:tc>
          <w:tcPr>
            <w:tcW w:type="dxa" w:w="1039"/>
            <w:shd w:val="clear" w:color="auto" w:fill="EAE4D8"/>
          </w:tcPr>
          <w:p>
            <w:pPr>
              <w:spacing w:after="40"/>
            </w:pPr>
            <w:r>
              <w:rPr>
                <w:sz w:val="17"/>
              </w:rPr>
            </w:r>
            <w:r>
              <w:rPr>
                <w:rFonts w:ascii="IBM Plex Sans" w:hAnsi="IBM Plex Sans" w:cs="IBM Plex Sans"/>
                <w:b/>
                <w:i w:val="0"/>
                <w:color w:val="1F3A5F"/>
                <w:sz w:val="17"/>
              </w:rPr>
              <w:t>SONIDO</w:t>
            </w:r>
          </w:p>
        </w:tc>
        <w:tc>
          <w:tcPr>
            <w:tcW w:type="dxa" w:w="1039"/>
            <w:shd w:val="clear" w:color="auto" w:fill="EAE4D8"/>
          </w:tcPr>
          <w:p>
            <w:pPr>
              <w:spacing w:after="40"/>
            </w:pPr>
            <w:r>
              <w:rPr>
                <w:sz w:val="17"/>
              </w:rPr>
            </w:r>
            <w:r>
              <w:rPr>
                <w:rFonts w:ascii="IBM Plex Sans" w:hAnsi="IBM Plex Sans" w:cs="IBM Plex Sans"/>
                <w:b/>
                <w:i w:val="0"/>
                <w:color w:val="1F3A5F"/>
                <w:sz w:val="17"/>
              </w:rPr>
              <w:t>HÁPTICA</w:t>
            </w:r>
          </w:p>
        </w:tc>
      </w:tr>
      <w:tr>
        <w:tc>
          <w:tcPr>
            <w:tcW w:type="dxa" w:w="1039"/>
          </w:tcPr>
          <w:p>
            <w:pPr>
              <w:spacing w:after="40"/>
            </w:pPr>
            <w:r>
              <w:rPr>
                <w:sz w:val="17"/>
              </w:rPr>
            </w:r>
            <w:r>
              <w:rPr>
                <w:rFonts w:ascii="IBM Plex Sans" w:hAnsi="IBM Plex Sans" w:cs="IBM Plex Sans"/>
                <w:b w:val="0"/>
                <w:i w:val="0"/>
                <w:color w:val="161412"/>
                <w:sz w:val="17"/>
              </w:rPr>
              <w:t>neutral</w:t>
            </w:r>
          </w:p>
        </w:tc>
        <w:tc>
          <w:tcPr>
            <w:tcW w:type="dxa" w:w="1039"/>
          </w:tcPr>
          <w:p>
            <w:pPr>
              <w:spacing w:after="40"/>
            </w:pPr>
            <w:r>
              <w:rPr>
                <w:sz w:val="17"/>
              </w:rPr>
            </w:r>
            <w:r>
              <w:rPr>
                <w:rFonts w:ascii="IBM Plex Sans" w:hAnsi="IBM Plex Sans" w:cs="IBM Plex Sans"/>
                <w:b w:val="0"/>
                <w:i w:val="0"/>
                <w:color w:val="161412"/>
                <w:sz w:val="17"/>
              </w:rPr>
              <w:t>funcional</w:t>
            </w:r>
          </w:p>
        </w:tc>
        <w:tc>
          <w:tcPr>
            <w:tcW w:type="dxa" w:w="1039"/>
          </w:tcPr>
          <w:p>
            <w:pPr>
              <w:spacing w:after="40"/>
            </w:pPr>
            <w:r>
              <w:rPr>
                <w:sz w:val="17"/>
              </w:rPr>
            </w:r>
            <w:r>
              <w:rPr>
                <w:rFonts w:ascii="IBM Plex Sans" w:hAnsi="IBM Plex Sans" w:cs="IBM Plex Sans"/>
                <w:b w:val="0"/>
                <w:i w:val="0"/>
                <w:color w:val="161412"/>
                <w:sz w:val="17"/>
              </w:rPr>
              <w:t>mínimo</w:t>
            </w:r>
          </w:p>
        </w:tc>
        <w:tc>
          <w:tcPr>
            <w:tcW w:type="dxa" w:w="1039"/>
          </w:tcPr>
          <w:p>
            <w:pPr>
              <w:spacing w:after="40"/>
            </w:pPr>
            <w:r>
              <w:rPr>
                <w:sz w:val="17"/>
              </w:rPr>
            </w:r>
            <w:r>
              <w:rPr>
                <w:rFonts w:ascii="IBM Plex Sans" w:hAnsi="IBM Plex Sans" w:cs="IBM Plex Sans"/>
                <w:b w:val="0"/>
                <w:i w:val="0"/>
                <w:color w:val="161412"/>
                <w:sz w:val="17"/>
              </w:rPr>
              <w:t>baja</w:t>
            </w:r>
          </w:p>
        </w:tc>
        <w:tc>
          <w:tcPr>
            <w:tcW w:type="dxa" w:w="1039"/>
          </w:tcPr>
          <w:p>
            <w:pPr>
              <w:spacing w:after="40"/>
            </w:pPr>
            <w:r>
              <w:rPr>
                <w:sz w:val="17"/>
              </w:rPr>
            </w:r>
            <w:r>
              <w:rPr>
                <w:rFonts w:ascii="IBM Plex Sans" w:hAnsi="IBM Plex Sans" w:cs="IBM Plex Sans"/>
                <w:b w:val="0"/>
                <w:i w:val="0"/>
                <w:color w:val="161412"/>
                <w:sz w:val="17"/>
              </w:rPr>
              <w:t>estructura clara</w:t>
            </w:r>
          </w:p>
        </w:tc>
        <w:tc>
          <w:tcPr>
            <w:tcW w:type="dxa" w:w="1039"/>
          </w:tcPr>
          <w:p>
            <w:pPr>
              <w:spacing w:after="40"/>
            </w:pPr>
            <w:r>
              <w:rPr>
                <w:sz w:val="17"/>
              </w:rPr>
            </w:r>
            <w:r>
              <w:rPr>
                <w:rFonts w:ascii="IBM Plex Sans" w:hAnsi="IBM Plex Sans" w:cs="IBM Plex Sans"/>
                <w:b w:val="0"/>
                <w:i w:val="0"/>
                <w:color w:val="161412"/>
                <w:sz w:val="17"/>
              </w:rPr>
              <w:t>sin carga</w:t>
            </w:r>
          </w:p>
        </w:tc>
        <w:tc>
          <w:tcPr>
            <w:tcW w:type="dxa" w:w="1039"/>
          </w:tcPr>
          <w:p>
            <w:pPr>
              <w:spacing w:after="40"/>
            </w:pPr>
            <w:r>
              <w:rPr>
                <w:sz w:val="17"/>
              </w:rPr>
            </w:r>
            <w:r>
              <w:rPr>
                <w:rFonts w:ascii="IBM Plex Sans" w:hAnsi="IBM Plex Sans" w:cs="IBM Plex Sans"/>
                <w:b w:val="0"/>
                <w:i w:val="0"/>
                <w:color w:val="161412"/>
                <w:sz w:val="17"/>
              </w:rPr>
              <w:t>normalmente no</w:t>
            </w:r>
          </w:p>
        </w:tc>
        <w:tc>
          <w:tcPr>
            <w:tcW w:type="dxa" w:w="1039"/>
          </w:tcPr>
          <w:p>
            <w:pPr>
              <w:spacing w:after="40"/>
            </w:pPr>
            <w:r>
              <w:rPr>
                <w:sz w:val="17"/>
              </w:rPr>
            </w:r>
            <w:r>
              <w:rPr>
                <w:rFonts w:ascii="IBM Plex Sans" w:hAnsi="IBM Plex Sans" w:cs="IBM Plex Sans"/>
                <w:b w:val="0"/>
                <w:i w:val="0"/>
                <w:color w:val="161412"/>
                <w:sz w:val="17"/>
              </w:rPr>
              <w:t>normalmente no</w:t>
            </w:r>
          </w:p>
        </w:tc>
      </w:tr>
      <w:tr>
        <w:tc>
          <w:tcPr>
            <w:tcW w:type="dxa" w:w="1039"/>
          </w:tcPr>
          <w:p>
            <w:pPr>
              <w:spacing w:after="40"/>
            </w:pPr>
            <w:r>
              <w:rPr>
                <w:sz w:val="17"/>
              </w:rPr>
            </w:r>
            <w:r>
              <w:rPr>
                <w:rFonts w:ascii="IBM Plex Sans" w:hAnsi="IBM Plex Sans" w:cs="IBM Plex Sans"/>
                <w:b w:val="0"/>
                <w:i w:val="0"/>
                <w:color w:val="161412"/>
                <w:sz w:val="17"/>
              </w:rPr>
              <w:t>affirm</w:t>
            </w:r>
          </w:p>
        </w:tc>
        <w:tc>
          <w:tcPr>
            <w:tcW w:type="dxa" w:w="1039"/>
          </w:tcPr>
          <w:p>
            <w:pPr>
              <w:spacing w:after="40"/>
            </w:pPr>
            <w:r>
              <w:rPr>
                <w:sz w:val="17"/>
              </w:rPr>
            </w:r>
            <w:r>
              <w:rPr>
                <w:rFonts w:ascii="IBM Plex Sans" w:hAnsi="IBM Plex Sans" w:cs="IBM Plex Sans"/>
                <w:b w:val="0"/>
                <w:i w:val="0"/>
                <w:color w:val="161412"/>
                <w:sz w:val="17"/>
              </w:rPr>
              <w:t>breve</w:t>
            </w:r>
          </w:p>
        </w:tc>
        <w:tc>
          <w:tcPr>
            <w:tcW w:type="dxa" w:w="1039"/>
          </w:tcPr>
          <w:p>
            <w:pPr>
              <w:spacing w:after="40"/>
            </w:pPr>
            <w:r>
              <w:rPr>
                <w:sz w:val="17"/>
              </w:rPr>
            </w:r>
            <w:r>
              <w:rPr>
                <w:rFonts w:ascii="IBM Plex Sans" w:hAnsi="IBM Plex Sans" w:cs="IBM Plex Sans"/>
                <w:b w:val="0"/>
                <w:i w:val="0"/>
                <w:color w:val="161412"/>
                <w:sz w:val="17"/>
              </w:rPr>
              <w:t>asentamiento suave</w:t>
            </w:r>
          </w:p>
        </w:tc>
        <w:tc>
          <w:tcPr>
            <w:tcW w:type="dxa" w:w="1039"/>
          </w:tcPr>
          <w:p>
            <w:pPr>
              <w:spacing w:after="40"/>
            </w:pPr>
            <w:r>
              <w:rPr>
                <w:sz w:val="17"/>
              </w:rPr>
            </w:r>
            <w:r>
              <w:rPr>
                <w:rFonts w:ascii="IBM Plex Sans" w:hAnsi="IBM Plex Sans" w:cs="IBM Plex Sans"/>
                <w:b w:val="0"/>
                <w:i w:val="0"/>
                <w:color w:val="161412"/>
                <w:sz w:val="17"/>
              </w:rPr>
              <w:t>baja / discreta</w:t>
            </w:r>
          </w:p>
        </w:tc>
        <w:tc>
          <w:tcPr>
            <w:tcW w:type="dxa" w:w="1039"/>
          </w:tcPr>
          <w:p>
            <w:pPr>
              <w:spacing w:after="40"/>
            </w:pPr>
            <w:r>
              <w:rPr>
                <w:sz w:val="17"/>
              </w:rPr>
            </w:r>
            <w:r>
              <w:rPr>
                <w:rFonts w:ascii="IBM Plex Sans" w:hAnsi="IBM Plex Sans" w:cs="IBM Plex Sans"/>
                <w:b w:val="0"/>
                <w:i w:val="0"/>
                <w:color w:val="161412"/>
                <w:sz w:val="17"/>
              </w:rPr>
              <w:t>marca ligera</w:t>
            </w:r>
          </w:p>
        </w:tc>
        <w:tc>
          <w:tcPr>
            <w:tcW w:type="dxa" w:w="1039"/>
          </w:tcPr>
          <w:p>
            <w:pPr>
              <w:spacing w:after="40"/>
            </w:pPr>
            <w:r>
              <w:rPr>
                <w:sz w:val="17"/>
              </w:rPr>
            </w:r>
            <w:r>
              <w:rPr>
                <w:rFonts w:ascii="IBM Plex Sans" w:hAnsi="IBM Plex Sans" w:cs="IBM Plex Sans"/>
                <w:b w:val="0"/>
                <w:i w:val="0"/>
                <w:color w:val="161412"/>
                <w:sz w:val="17"/>
              </w:rPr>
              <w:t>positivo discreto</w:t>
            </w:r>
          </w:p>
        </w:tc>
        <w:tc>
          <w:tcPr>
            <w:tcW w:type="dxa" w:w="1039"/>
          </w:tcPr>
          <w:p>
            <w:pPr>
              <w:spacing w:after="40"/>
            </w:pPr>
            <w:r>
              <w:rPr>
                <w:sz w:val="17"/>
              </w:rPr>
            </w:r>
            <w:r>
              <w:rPr>
                <w:rFonts w:ascii="IBM Plex Sans" w:hAnsi="IBM Plex Sans" w:cs="IBM Plex Sans"/>
                <w:b w:val="0"/>
                <w:i w:val="0"/>
                <w:color w:val="161412"/>
                <w:sz w:val="17"/>
              </w:rPr>
              <w:t>breve opcional</w:t>
            </w:r>
          </w:p>
        </w:tc>
        <w:tc>
          <w:tcPr>
            <w:tcW w:type="dxa" w:w="1039"/>
          </w:tcPr>
          <w:p>
            <w:pPr>
              <w:spacing w:after="40"/>
            </w:pPr>
            <w:r>
              <w:rPr>
                <w:sz w:val="17"/>
              </w:rPr>
            </w:r>
            <w:r>
              <w:rPr>
                <w:rFonts w:ascii="IBM Plex Sans" w:hAnsi="IBM Plex Sans" w:cs="IBM Plex Sans"/>
                <w:b w:val="0"/>
                <w:i w:val="0"/>
                <w:color w:val="161412"/>
                <w:sz w:val="17"/>
              </w:rPr>
              <w:t>pulso suave</w:t>
            </w:r>
          </w:p>
        </w:tc>
      </w:tr>
      <w:tr>
        <w:tc>
          <w:tcPr>
            <w:tcW w:type="dxa" w:w="1039"/>
          </w:tcPr>
          <w:p>
            <w:pPr>
              <w:spacing w:after="40"/>
            </w:pPr>
            <w:r>
              <w:rPr>
                <w:sz w:val="17"/>
              </w:rPr>
            </w:r>
            <w:r>
              <w:rPr>
                <w:rFonts w:ascii="IBM Plex Sans" w:hAnsi="IBM Plex Sans" w:cs="IBM Plex Sans"/>
                <w:b w:val="0"/>
                <w:i w:val="0"/>
                <w:color w:val="161412"/>
                <w:sz w:val="17"/>
              </w:rPr>
              <w:t>fulfill</w:t>
            </w:r>
          </w:p>
        </w:tc>
        <w:tc>
          <w:tcPr>
            <w:tcW w:type="dxa" w:w="1039"/>
          </w:tcPr>
          <w:p>
            <w:pPr>
              <w:spacing w:after="40"/>
            </w:pPr>
            <w:r>
              <w:rPr>
                <w:sz w:val="17"/>
              </w:rPr>
            </w:r>
            <w:r>
              <w:rPr>
                <w:rFonts w:ascii="IBM Plex Sans" w:hAnsi="IBM Plex Sans" w:cs="IBM Plex Sans"/>
                <w:b w:val="0"/>
                <w:i w:val="0"/>
                <w:color w:val="161412"/>
                <w:sz w:val="17"/>
              </w:rPr>
              <w:t>cierre más marcado</w:t>
            </w:r>
          </w:p>
        </w:tc>
        <w:tc>
          <w:tcPr>
            <w:tcW w:type="dxa" w:w="1039"/>
          </w:tcPr>
          <w:p>
            <w:pPr>
              <w:spacing w:after="40"/>
            </w:pPr>
            <w:r>
              <w:rPr>
                <w:sz w:val="17"/>
              </w:rPr>
            </w:r>
            <w:r>
              <w:rPr>
                <w:rFonts w:ascii="IBM Plex Sans" w:hAnsi="IBM Plex Sans" w:cs="IBM Plex Sans"/>
                <w:b w:val="0"/>
                <w:i w:val="0"/>
                <w:color w:val="161412"/>
                <w:sz w:val="17"/>
              </w:rPr>
              <w:t>resolución visible</w:t>
            </w:r>
          </w:p>
        </w:tc>
        <w:tc>
          <w:tcPr>
            <w:tcW w:type="dxa" w:w="1039"/>
          </w:tcPr>
          <w:p>
            <w:pPr>
              <w:spacing w:after="40"/>
            </w:pPr>
            <w:r>
              <w:rPr>
                <w:sz w:val="17"/>
              </w:rPr>
            </w:r>
            <w:r>
              <w:rPr>
                <w:rFonts w:ascii="IBM Plex Sans" w:hAnsi="IBM Plex Sans" w:cs="IBM Plex Sans"/>
                <w:b w:val="0"/>
                <w:i w:val="0"/>
                <w:color w:val="161412"/>
                <w:sz w:val="17"/>
              </w:rPr>
              <w:t>media</w:t>
            </w:r>
          </w:p>
        </w:tc>
        <w:tc>
          <w:tcPr>
            <w:tcW w:type="dxa" w:w="1039"/>
          </w:tcPr>
          <w:p>
            <w:pPr>
              <w:spacing w:after="40"/>
            </w:pPr>
            <w:r>
              <w:rPr>
                <w:sz w:val="17"/>
              </w:rPr>
            </w:r>
            <w:r>
              <w:rPr>
                <w:rFonts w:ascii="IBM Plex Sans" w:hAnsi="IBM Plex Sans" w:cs="IBM Plex Sans"/>
                <w:b w:val="0"/>
                <w:i w:val="0"/>
                <w:color w:val="161412"/>
                <w:sz w:val="17"/>
              </w:rPr>
              <w:t>final claro</w:t>
            </w:r>
          </w:p>
        </w:tc>
        <w:tc>
          <w:tcPr>
            <w:tcW w:type="dxa" w:w="1039"/>
          </w:tcPr>
          <w:p>
            <w:pPr>
              <w:spacing w:after="40"/>
            </w:pPr>
            <w:r>
              <w:rPr>
                <w:sz w:val="17"/>
              </w:rPr>
            </w:r>
            <w:r>
              <w:rPr>
                <w:rFonts w:ascii="IBM Plex Sans" w:hAnsi="IBM Plex Sans" w:cs="IBM Plex Sans"/>
                <w:b w:val="0"/>
                <w:i w:val="0"/>
                <w:color w:val="161412"/>
                <w:sz w:val="17"/>
              </w:rPr>
              <w:t>positivo claro</w:t>
            </w:r>
          </w:p>
        </w:tc>
        <w:tc>
          <w:tcPr>
            <w:tcW w:type="dxa" w:w="1039"/>
          </w:tcPr>
          <w:p>
            <w:pPr>
              <w:spacing w:after="40"/>
            </w:pPr>
            <w:r>
              <w:rPr>
                <w:sz w:val="17"/>
              </w:rPr>
            </w:r>
            <w:r>
              <w:rPr>
                <w:rFonts w:ascii="IBM Plex Sans" w:hAnsi="IBM Plex Sans" w:cs="IBM Plex Sans"/>
                <w:b w:val="0"/>
                <w:i w:val="0"/>
                <w:color w:val="161412"/>
                <w:sz w:val="17"/>
              </w:rPr>
              <w:t>ascendente breve</w:t>
            </w:r>
          </w:p>
        </w:tc>
        <w:tc>
          <w:tcPr>
            <w:tcW w:type="dxa" w:w="1039"/>
          </w:tcPr>
          <w:p>
            <w:pPr>
              <w:spacing w:after="40"/>
            </w:pPr>
            <w:r>
              <w:rPr>
                <w:sz w:val="17"/>
              </w:rPr>
            </w:r>
            <w:r>
              <w:rPr>
                <w:rFonts w:ascii="IBM Plex Sans" w:hAnsi="IBM Plex Sans" w:cs="IBM Plex Sans"/>
                <w:b w:val="0"/>
                <w:i w:val="0"/>
                <w:color w:val="161412"/>
                <w:sz w:val="17"/>
              </w:rPr>
              <w:t>pulso definido</w:t>
            </w:r>
          </w:p>
        </w:tc>
      </w:tr>
      <w:tr>
        <w:tc>
          <w:tcPr>
            <w:tcW w:type="dxa" w:w="1039"/>
          </w:tcPr>
          <w:p>
            <w:pPr>
              <w:spacing w:after="40"/>
            </w:pPr>
            <w:r>
              <w:rPr>
                <w:sz w:val="17"/>
              </w:rPr>
            </w:r>
            <w:r>
              <w:rPr>
                <w:rFonts w:ascii="IBM Plex Sans" w:hAnsi="IBM Plex Sans" w:cs="IBM Plex Sans"/>
                <w:b w:val="0"/>
                <w:i w:val="0"/>
                <w:color w:val="161412"/>
                <w:sz w:val="17"/>
              </w:rPr>
              <w:t>risk</w:t>
            </w:r>
          </w:p>
        </w:tc>
        <w:tc>
          <w:tcPr>
            <w:tcW w:type="dxa" w:w="1039"/>
          </w:tcPr>
          <w:p>
            <w:pPr>
              <w:spacing w:after="40"/>
            </w:pPr>
            <w:r>
              <w:rPr>
                <w:sz w:val="17"/>
              </w:rPr>
            </w:r>
            <w:r>
              <w:rPr>
                <w:rFonts w:ascii="IBM Plex Sans" w:hAnsi="IBM Plex Sans" w:cs="IBM Plex Sans"/>
                <w:b w:val="0"/>
                <w:i w:val="0"/>
                <w:color w:val="161412"/>
                <w:sz w:val="17"/>
              </w:rPr>
              <w:t>persistente</w:t>
            </w:r>
          </w:p>
        </w:tc>
        <w:tc>
          <w:tcPr>
            <w:tcW w:type="dxa" w:w="1039"/>
          </w:tcPr>
          <w:p>
            <w:pPr>
              <w:spacing w:after="40"/>
            </w:pPr>
            <w:r>
              <w:rPr>
                <w:sz w:val="17"/>
              </w:rPr>
            </w:r>
            <w:r>
              <w:rPr>
                <w:rFonts w:ascii="IBM Plex Sans" w:hAnsi="IBM Plex Sans" w:cs="IBM Plex Sans"/>
                <w:b w:val="0"/>
                <w:i w:val="0"/>
                <w:color w:val="161412"/>
                <w:sz w:val="17"/>
              </w:rPr>
              <w:t>tensión moderada</w:t>
            </w:r>
          </w:p>
        </w:tc>
        <w:tc>
          <w:tcPr>
            <w:tcW w:type="dxa" w:w="1039"/>
          </w:tcPr>
          <w:p>
            <w:pPr>
              <w:spacing w:after="40"/>
            </w:pPr>
            <w:r>
              <w:rPr>
                <w:sz w:val="17"/>
              </w:rPr>
            </w:r>
            <w:r>
              <w:rPr>
                <w:rFonts w:ascii="IBM Plex Sans" w:hAnsi="IBM Plex Sans" w:cs="IBM Plex Sans"/>
                <w:b w:val="0"/>
                <w:i w:val="0"/>
                <w:color w:val="161412"/>
                <w:sz w:val="17"/>
              </w:rPr>
              <w:t>local y estable</w:t>
            </w:r>
          </w:p>
        </w:tc>
        <w:tc>
          <w:tcPr>
            <w:tcW w:type="dxa" w:w="1039"/>
          </w:tcPr>
          <w:p>
            <w:pPr>
              <w:spacing w:after="40"/>
            </w:pPr>
            <w:r>
              <w:rPr>
                <w:sz w:val="17"/>
              </w:rPr>
            </w:r>
            <w:r>
              <w:rPr>
                <w:rFonts w:ascii="IBM Plex Sans" w:hAnsi="IBM Plex Sans" w:cs="IBM Plex Sans"/>
                <w:b w:val="0"/>
                <w:i w:val="0"/>
                <w:color w:val="161412"/>
                <w:sz w:val="17"/>
              </w:rPr>
              <w:t>callout / borde / icono</w:t>
            </w:r>
          </w:p>
        </w:tc>
        <w:tc>
          <w:tcPr>
            <w:tcW w:type="dxa" w:w="1039"/>
          </w:tcPr>
          <w:p>
            <w:pPr>
              <w:spacing w:after="40"/>
            </w:pPr>
            <w:r>
              <w:rPr>
                <w:sz w:val="17"/>
              </w:rPr>
            </w:r>
            <w:r>
              <w:rPr>
                <w:rFonts w:ascii="IBM Plex Sans" w:hAnsi="IBM Plex Sans" w:cs="IBM Plex Sans"/>
                <w:b w:val="0"/>
                <w:i w:val="0"/>
                <w:color w:val="161412"/>
                <w:sz w:val="17"/>
              </w:rPr>
              <w:t>advertencia moderada</w:t>
            </w:r>
          </w:p>
        </w:tc>
        <w:tc>
          <w:tcPr>
            <w:tcW w:type="dxa" w:w="1039"/>
          </w:tcPr>
          <w:p>
            <w:pPr>
              <w:spacing w:after="40"/>
            </w:pPr>
            <w:r>
              <w:rPr>
                <w:sz w:val="17"/>
              </w:rPr>
            </w:r>
            <w:r>
              <w:rPr>
                <w:rFonts w:ascii="IBM Plex Sans" w:hAnsi="IBM Plex Sans" w:cs="IBM Plex Sans"/>
                <w:b w:val="0"/>
                <w:i w:val="0"/>
                <w:color w:val="161412"/>
                <w:sz w:val="17"/>
              </w:rPr>
              <w:t>seco contenido</w:t>
            </w:r>
          </w:p>
        </w:tc>
        <w:tc>
          <w:tcPr>
            <w:tcW w:type="dxa" w:w="1039"/>
          </w:tcPr>
          <w:p>
            <w:pPr>
              <w:spacing w:after="40"/>
            </w:pPr>
            <w:r>
              <w:rPr>
                <w:sz w:val="17"/>
              </w:rPr>
            </w:r>
            <w:r>
              <w:rPr>
                <w:rFonts w:ascii="IBM Plex Sans" w:hAnsi="IBM Plex Sans" w:cs="IBM Plex Sans"/>
                <w:b w:val="0"/>
                <w:i w:val="0"/>
                <w:color w:val="161412"/>
                <w:sz w:val="17"/>
              </w:rPr>
              <w:t>pulso contenido</w:t>
            </w:r>
          </w:p>
        </w:tc>
      </w:tr>
      <w:tr>
        <w:tc>
          <w:tcPr>
            <w:tcW w:type="dxa" w:w="1039"/>
          </w:tcPr>
          <w:p>
            <w:pPr>
              <w:spacing w:after="40"/>
            </w:pPr>
            <w:r>
              <w:rPr>
                <w:sz w:val="17"/>
              </w:rPr>
            </w:r>
            <w:r>
              <w:rPr>
                <w:rFonts w:ascii="IBM Plex Sans" w:hAnsi="IBM Plex Sans" w:cs="IBM Plex Sans"/>
                <w:b w:val="0"/>
                <w:i w:val="0"/>
                <w:color w:val="161412"/>
                <w:sz w:val="17"/>
              </w:rPr>
              <w:t>threat</w:t>
            </w:r>
          </w:p>
        </w:tc>
        <w:tc>
          <w:tcPr>
            <w:tcW w:type="dxa" w:w="1039"/>
          </w:tcPr>
          <w:p>
            <w:pPr>
              <w:spacing w:after="40"/>
            </w:pPr>
            <w:r>
              <w:rPr>
                <w:sz w:val="17"/>
              </w:rPr>
            </w:r>
            <w:r>
              <w:rPr>
                <w:rFonts w:ascii="IBM Plex Sans" w:hAnsi="IBM Plex Sans" w:cs="IBM Plex Sans"/>
                <w:b w:val="0"/>
                <w:i w:val="0"/>
                <w:color w:val="161412"/>
                <w:sz w:val="17"/>
              </w:rPr>
              <w:t>entrada rápida</w:t>
            </w:r>
          </w:p>
        </w:tc>
        <w:tc>
          <w:tcPr>
            <w:tcW w:type="dxa" w:w="1039"/>
          </w:tcPr>
          <w:p>
            <w:pPr>
              <w:spacing w:after="40"/>
            </w:pPr>
            <w:r>
              <w:rPr>
                <w:sz w:val="17"/>
              </w:rPr>
            </w:r>
            <w:r>
              <w:rPr>
                <w:rFonts w:ascii="IBM Plex Sans" w:hAnsi="IBM Plex Sans" w:cs="IBM Plex Sans"/>
                <w:b w:val="0"/>
                <w:i w:val="0"/>
                <w:color w:val="161412"/>
                <w:sz w:val="17"/>
              </w:rPr>
              <w:t>saliente / tenso</w:t>
            </w:r>
          </w:p>
        </w:tc>
        <w:tc>
          <w:tcPr>
            <w:tcW w:type="dxa" w:w="1039"/>
          </w:tcPr>
          <w:p>
            <w:pPr>
              <w:spacing w:after="40"/>
            </w:pPr>
            <w:r>
              <w:rPr>
                <w:sz w:val="17"/>
              </w:rPr>
            </w:r>
            <w:r>
              <w:rPr>
                <w:rFonts w:ascii="IBM Plex Sans" w:hAnsi="IBM Plex Sans" w:cs="IBM Plex Sans"/>
                <w:b w:val="0"/>
                <w:i w:val="0"/>
                <w:color w:val="161412"/>
                <w:sz w:val="17"/>
              </w:rPr>
              <w:t>dominante</w:t>
            </w:r>
          </w:p>
        </w:tc>
        <w:tc>
          <w:tcPr>
            <w:tcW w:type="dxa" w:w="1039"/>
          </w:tcPr>
          <w:p>
            <w:pPr>
              <w:spacing w:after="40"/>
            </w:pPr>
            <w:r>
              <w:rPr>
                <w:sz w:val="17"/>
              </w:rPr>
            </w:r>
            <w:r>
              <w:rPr>
                <w:rFonts w:ascii="IBM Plex Sans" w:hAnsi="IBM Plex Sans" w:cs="IBM Plex Sans"/>
                <w:b w:val="0"/>
                <w:i w:val="0"/>
                <w:color w:val="161412"/>
                <w:sz w:val="17"/>
              </w:rPr>
              <w:t>bloque crítico</w:t>
            </w:r>
          </w:p>
        </w:tc>
        <w:tc>
          <w:tcPr>
            <w:tcW w:type="dxa" w:w="1039"/>
          </w:tcPr>
          <w:p>
            <w:pPr>
              <w:spacing w:after="40"/>
            </w:pPr>
            <w:r>
              <w:rPr>
                <w:sz w:val="17"/>
              </w:rPr>
            </w:r>
            <w:r>
              <w:rPr>
                <w:rFonts w:ascii="IBM Plex Sans" w:hAnsi="IBM Plex Sans" w:cs="IBM Plex Sans"/>
                <w:b w:val="0"/>
                <w:i w:val="0"/>
                <w:color w:val="161412"/>
                <w:sz w:val="17"/>
              </w:rPr>
              <w:t>alta saliencia</w:t>
            </w:r>
          </w:p>
        </w:tc>
        <w:tc>
          <w:tcPr>
            <w:tcW w:type="dxa" w:w="1039"/>
          </w:tcPr>
          <w:p>
            <w:pPr>
              <w:spacing w:after="40"/>
            </w:pPr>
            <w:r>
              <w:rPr>
                <w:sz w:val="17"/>
              </w:rPr>
            </w:r>
            <w:r>
              <w:rPr>
                <w:rFonts w:ascii="IBM Plex Sans" w:hAnsi="IBM Plex Sans" w:cs="IBM Plex Sans"/>
                <w:b w:val="0"/>
                <w:i w:val="0"/>
                <w:color w:val="161412"/>
                <w:sz w:val="17"/>
              </w:rPr>
              <w:t>urgente opcional</w:t>
            </w:r>
          </w:p>
        </w:tc>
        <w:tc>
          <w:tcPr>
            <w:tcW w:type="dxa" w:w="1039"/>
          </w:tcPr>
          <w:p>
            <w:pPr>
              <w:spacing w:after="40"/>
            </w:pPr>
            <w:r>
              <w:rPr>
                <w:sz w:val="17"/>
              </w:rPr>
            </w:r>
            <w:r>
              <w:rPr>
                <w:rFonts w:ascii="IBM Plex Sans" w:hAnsi="IBM Plex Sans" w:cs="IBM Plex Sans"/>
                <w:b w:val="0"/>
                <w:i w:val="0"/>
                <w:color w:val="161412"/>
                <w:sz w:val="17"/>
              </w:rPr>
              <w:t>vibración fuerte</w:t>
            </w:r>
          </w:p>
        </w:tc>
      </w:tr>
      <w:tr>
        <w:tc>
          <w:tcPr>
            <w:tcW w:type="dxa" w:w="1039"/>
          </w:tcPr>
          <w:p>
            <w:pPr>
              <w:spacing w:after="40"/>
            </w:pPr>
            <w:r>
              <w:rPr>
                <w:sz w:val="17"/>
              </w:rPr>
            </w:r>
            <w:r>
              <w:rPr>
                <w:rFonts w:ascii="IBM Plex Sans" w:hAnsi="IBM Plex Sans" w:cs="IBM Plex Sans"/>
                <w:b w:val="0"/>
                <w:i w:val="0"/>
                <w:color w:val="161412"/>
                <w:sz w:val="17"/>
              </w:rPr>
              <w:t>loss</w:t>
            </w:r>
          </w:p>
        </w:tc>
        <w:tc>
          <w:tcPr>
            <w:tcW w:type="dxa" w:w="1039"/>
          </w:tcPr>
          <w:p>
            <w:pPr>
              <w:spacing w:after="40"/>
            </w:pPr>
            <w:r>
              <w:rPr>
                <w:sz w:val="17"/>
              </w:rPr>
            </w:r>
            <w:r>
              <w:rPr>
                <w:rFonts w:ascii="IBM Plex Sans" w:hAnsi="IBM Plex Sans" w:cs="IBM Plex Sans"/>
                <w:b w:val="0"/>
                <w:i w:val="0"/>
                <w:color w:val="161412"/>
                <w:sz w:val="17"/>
              </w:rPr>
              <w:t>breve + huella</w:t>
            </w:r>
          </w:p>
        </w:tc>
        <w:tc>
          <w:tcPr>
            <w:tcW w:type="dxa" w:w="1039"/>
          </w:tcPr>
          <w:p>
            <w:pPr>
              <w:spacing w:after="40"/>
            </w:pPr>
            <w:r>
              <w:rPr>
                <w:sz w:val="17"/>
              </w:rPr>
            </w:r>
            <w:r>
              <w:rPr>
                <w:rFonts w:ascii="IBM Plex Sans" w:hAnsi="IBM Plex Sans" w:cs="IBM Plex Sans"/>
                <w:b w:val="0"/>
                <w:i w:val="0"/>
                <w:color w:val="161412"/>
                <w:sz w:val="17"/>
              </w:rPr>
              <w:t>retirada / descenso</w:t>
            </w:r>
          </w:p>
        </w:tc>
        <w:tc>
          <w:tcPr>
            <w:tcW w:type="dxa" w:w="1039"/>
          </w:tcPr>
          <w:p>
            <w:pPr>
              <w:spacing w:after="40"/>
            </w:pPr>
            <w:r>
              <w:rPr>
                <w:sz w:val="17"/>
              </w:rPr>
            </w:r>
            <w:r>
              <w:rPr>
                <w:rFonts w:ascii="IBM Plex Sans" w:hAnsi="IBM Plex Sans" w:cs="IBM Plex Sans"/>
                <w:b w:val="0"/>
                <w:i w:val="0"/>
                <w:color w:val="161412"/>
                <w:sz w:val="17"/>
              </w:rPr>
              <w:t>ausencia visible</w:t>
            </w:r>
          </w:p>
        </w:tc>
        <w:tc>
          <w:tcPr>
            <w:tcW w:type="dxa" w:w="1039"/>
          </w:tcPr>
          <w:p>
            <w:pPr>
              <w:spacing w:after="40"/>
            </w:pPr>
            <w:r>
              <w:rPr>
                <w:sz w:val="17"/>
              </w:rPr>
            </w:r>
            <w:r>
              <w:rPr>
                <w:rFonts w:ascii="IBM Plex Sans" w:hAnsi="IBM Plex Sans" w:cs="IBM Plex Sans"/>
                <w:b w:val="0"/>
                <w:i w:val="0"/>
                <w:color w:val="161412"/>
                <w:sz w:val="17"/>
              </w:rPr>
              <w:t>undo / registro / tachado</w:t>
            </w:r>
          </w:p>
        </w:tc>
        <w:tc>
          <w:tcPr>
            <w:tcW w:type="dxa" w:w="1039"/>
          </w:tcPr>
          <w:p>
            <w:pPr>
              <w:spacing w:after="40"/>
            </w:pPr>
            <w:r>
              <w:rPr>
                <w:sz w:val="17"/>
              </w:rPr>
            </w:r>
            <w:r>
              <w:rPr>
                <w:rFonts w:ascii="IBM Plex Sans" w:hAnsi="IBM Plex Sans" w:cs="IBM Plex Sans"/>
                <w:b w:val="0"/>
                <w:i w:val="0"/>
                <w:color w:val="161412"/>
                <w:sz w:val="17"/>
              </w:rPr>
              <w:t>grave / desaturado</w:t>
            </w:r>
          </w:p>
        </w:tc>
        <w:tc>
          <w:tcPr>
            <w:tcW w:type="dxa" w:w="1039"/>
          </w:tcPr>
          <w:p>
            <w:pPr>
              <w:spacing w:after="40"/>
            </w:pPr>
            <w:r>
              <w:rPr>
                <w:sz w:val="17"/>
              </w:rPr>
            </w:r>
            <w:r>
              <w:rPr>
                <w:rFonts w:ascii="IBM Plex Sans" w:hAnsi="IBM Plex Sans" w:cs="IBM Plex Sans"/>
                <w:b w:val="0"/>
                <w:i w:val="0"/>
                <w:color w:val="161412"/>
                <w:sz w:val="17"/>
              </w:rPr>
              <w:t>seco / grave</w:t>
            </w:r>
          </w:p>
        </w:tc>
        <w:tc>
          <w:tcPr>
            <w:tcW w:type="dxa" w:w="1039"/>
          </w:tcPr>
          <w:p>
            <w:pPr>
              <w:spacing w:after="40"/>
            </w:pPr>
            <w:r>
              <w:rPr>
                <w:sz w:val="17"/>
              </w:rPr>
            </w:r>
            <w:r>
              <w:rPr>
                <w:rFonts w:ascii="IBM Plex Sans" w:hAnsi="IBM Plex Sans" w:cs="IBM Plex Sans"/>
                <w:b w:val="0"/>
                <w:i w:val="0"/>
                <w:color w:val="161412"/>
                <w:sz w:val="17"/>
              </w:rPr>
              <w:t>pulso seco</w:t>
            </w:r>
          </w:p>
        </w:tc>
      </w:tr>
    </w:tbl>
    <w:p>
      <w:pPr>
        <w:spacing w:before="320" w:after="40"/>
      </w:pPr>
      <w:r>
        <w:rPr>
          <w:rFonts w:ascii="IBM Plex Sans" w:hAnsi="IBM Plex Sans" w:cs="IBM Plex Sans"/>
          <w:b/>
          <w:color w:val="1F3A5F"/>
          <w:sz w:val="18"/>
        </w:rPr>
        <w:t xml:space="preserve">§ 6</w:t>
      </w:r>
    </w:p>
    <w:p>
      <w:pPr>
        <w:spacing w:after="160" w:line="240" w:lineRule="auto"/>
      </w:pPr>
      <w:r>
        <w:rPr>
          <w:rFonts w:ascii="Newsreader" w:hAnsi="Newsreader" w:cs="Newsreader"/>
          <w:color w:val="161412"/>
          <w:sz w:val="38"/>
        </w:rPr>
        <w:t xml:space="preserve">Lectura por intent</w:t>
      </w:r>
    </w:p>
    <w:p>
      <w:pPr>
        <w:spacing w:after="120" w:line="320" w:lineRule="auto"/>
        <w:jc w:val="both"/>
      </w:pPr>
      <w:r>
        <w:rPr>
          <w:rFonts w:ascii="Newsreader" w:hAnsi="Newsreader" w:cs="Newsreader"/>
          <w:b/>
          <w:i w:val="0"/>
          <w:color w:val="161412"/>
        </w:rPr>
        <w:t xml:space="preserve">neutral</w:t>
      </w:r>
      <w:r>
        <w:rPr>
          <w:rFonts w:ascii="Newsreader" w:hAnsi="Newsreader" w:cs="Newsreader"/>
          <w:b w:val="0"/>
          <w:i w:val="0"/>
          <w:color w:val="161412"/>
        </w:rPr>
        <w:t xml:space="preserve"> es ausencia de juicio afectivo fuerte, no ausencia de estructura. Puede necesitar forma y texto, pero no carga intensa de color, sonido o motion. Su riesgo es hacer invisible lo que necesita ser notado.</w:t>
      </w:r>
    </w:p>
    <w:p>
      <w:pPr>
        <w:spacing w:after="120" w:line="320" w:lineRule="auto"/>
        <w:jc w:val="both"/>
      </w:pPr>
      <w:r>
        <w:rPr>
          <w:rFonts w:ascii="Newsreader" w:hAnsi="Newsreader" w:cs="Newsreader"/>
          <w:b/>
          <w:i w:val="0"/>
          <w:color w:val="161412"/>
        </w:rPr>
        <w:t xml:space="preserve">affirm</w:t>
      </w:r>
      <w:r>
        <w:rPr>
          <w:rFonts w:ascii="Newsreader" w:hAnsi="Newsreader" w:cs="Newsreader"/>
          <w:b w:val="0"/>
          <w:i w:val="0"/>
          <w:color w:val="161412"/>
        </w:rPr>
        <w:t xml:space="preserve"> confirma suavemente, con baja activación positiva: marca ligera, color discreto, asentamiento breve. No dice «objetivo logrado»; dice «todo va bien». Su riesgo es celebrar lo rutinario.</w:t>
      </w:r>
    </w:p>
    <w:p>
      <w:pPr>
        <w:spacing w:after="120" w:line="320" w:lineRule="auto"/>
        <w:jc w:val="both"/>
      </w:pPr>
      <w:r>
        <w:rPr>
          <w:rFonts w:ascii="Newsreader" w:hAnsi="Newsreader" w:cs="Newsreader"/>
          <w:b/>
          <w:i w:val="0"/>
          <w:color w:val="161412"/>
        </w:rPr>
        <w:t xml:space="preserve">fulfill</w:t>
      </w:r>
      <w:r>
        <w:rPr>
          <w:rFonts w:ascii="Newsreader" w:hAnsi="Newsreader" w:cs="Newsreader"/>
          <w:b w:val="0"/>
          <w:i w:val="0"/>
          <w:color w:val="161412"/>
        </w:rPr>
        <w:t xml:space="preserve"> es resolución positiva, con mayor activación que affirm porque cierra una tensión: motion resolutivo, color positivo visible, sonido ascendente opcional. Sus riesgos son trivializar el logro o convertirlo en espectáculo.</w:t>
      </w:r>
    </w:p>
    <w:p>
      <w:pPr>
        <w:spacing w:after="120" w:line="320" w:lineRule="auto"/>
        <w:jc w:val="both"/>
      </w:pPr>
      <w:r>
        <w:rPr>
          <w:rFonts w:ascii="Newsreader" w:hAnsi="Newsreader" w:cs="Newsreader"/>
          <w:b/>
          <w:i w:val="0"/>
          <w:color w:val="161412"/>
        </w:rPr>
        <w:t xml:space="preserve">risk</w:t>
      </w:r>
      <w:r>
        <w:rPr>
          <w:rFonts w:ascii="Newsreader" w:hAnsi="Newsreader" w:cs="Newsreader"/>
          <w:b w:val="0"/>
          <w:i w:val="0"/>
          <w:color w:val="161412"/>
        </w:rPr>
        <w:t xml:space="preserve"> señala un problema corregible, en la región negativa moderada: callout local, color de advertencia, icono, texto, persistencia hasta la corrección. Dice «revisa esto», no «actúa ahora». Su riesgo es expresarse como amenaza.</w:t>
      </w:r>
    </w:p>
    <w:p>
      <w:pPr>
        <w:spacing w:after="120" w:line="320" w:lineRule="auto"/>
        <w:jc w:val="both"/>
      </w:pPr>
      <w:r>
        <w:rPr>
          <w:rFonts w:ascii="Newsreader" w:hAnsi="Newsreader" w:cs="Newsreader"/>
          <w:b/>
          <w:i w:val="0"/>
          <w:color w:val="161412"/>
        </w:rPr>
        <w:t xml:space="preserve">threat</w:t>
      </w:r>
      <w:r>
        <w:rPr>
          <w:rFonts w:ascii="Newsreader" w:hAnsi="Newsreader" w:cs="Newsreader"/>
          <w:b w:val="0"/>
          <w:i w:val="0"/>
          <w:color w:val="161412"/>
        </w:rPr>
        <w:t xml:space="preserve"> es amenaza activa, de alta activación negativa: presencia dominante, alta saliencia, forma crítica, sonido opcional. Dice «atiende ahora». Su riesgo es usarse para todo y destruir su fuerza.</w:t>
      </w:r>
    </w:p>
    <w:p>
      <w:pPr>
        <w:spacing w:after="120" w:line="320" w:lineRule="auto"/>
        <w:jc w:val="both"/>
      </w:pPr>
      <w:r>
        <w:rPr>
          <w:rFonts w:ascii="Newsreader" w:hAnsi="Newsreader" w:cs="Newsreader"/>
          <w:b/>
          <w:i w:val="0"/>
          <w:color w:val="161412"/>
        </w:rPr>
        <w:t xml:space="preserve">loss</w:t>
      </w:r>
      <w:r>
        <w:rPr>
          <w:rFonts w:ascii="Newsreader" w:hAnsi="Newsreader" w:cs="Newsreader"/>
          <w:b w:val="0"/>
          <w:i w:val="0"/>
          <w:color w:val="161412"/>
        </w:rPr>
        <w:t xml:space="preserve"> es pérdida consumada: comparte valencia negativa con threat, pero con menor activación y otra temporalidad. Se expresa con retirada, ausencia, huella, undo y color grave; dice «esto ya se perdió», sin alarma sostenida. Su riesgo es sonar como amenaza cuando ya no hay prevención posible.</w:t>
      </w:r>
    </w:p>
    <w:p>
      <w:pPr>
        <w:spacing w:before="320" w:after="40"/>
      </w:pPr>
      <w:r>
        <w:rPr>
          <w:rFonts w:ascii="IBM Plex Sans" w:hAnsi="IBM Plex Sans" w:cs="IBM Plex Sans"/>
          <w:b/>
          <w:color w:val="1F3A5F"/>
          <w:sz w:val="18"/>
        </w:rPr>
        <w:t xml:space="preserve">§ 7</w:t>
      </w:r>
    </w:p>
    <w:p>
      <w:pPr>
        <w:spacing w:after="160" w:line="240" w:lineRule="auto"/>
      </w:pPr>
      <w:r>
        <w:rPr>
          <w:rFonts w:ascii="Newsreader" w:hAnsi="Newsreader" w:cs="Newsreader"/>
          <w:color w:val="161412"/>
          <w:sz w:val="38"/>
        </w:rPr>
        <w:t xml:space="preserve">Cómo usar las matrices juntas</w:t>
      </w:r>
    </w:p>
    <w:p>
      <w:pPr>
        <w:spacing w:after="120" w:line="320" w:lineRule="auto"/>
        <w:jc w:val="both"/>
      </w:pPr>
      <w:r>
        <w:rPr>
          <w:rFonts w:ascii="Newsreader" w:hAnsi="Newsreader" w:cs="Newsreader"/>
          <w:b w:val="0"/>
          <w:i w:val="0"/>
          <w:color w:val="161412"/>
        </w:rPr>
        <w:t xml:space="preserve">Las dos matrices deben cruzarse: no basta con elegir familia ni basta con elegir intent; la lectura final surge de la combinación. En commit.save + affirm, la familia pide huella, cierre y estado persistente, y el intent pide baja activación y confirmación suave; el resultado es una marca discreta de guardado, color positivo bajo, sin sonido por defecto, motion mínimo.</w:t>
      </w:r>
    </w:p>
    <w:p>
      <w:pPr>
        <w:spacing w:after="120" w:line="320" w:lineRule="auto"/>
        <w:jc w:val="both"/>
      </w:pPr>
      <w:r>
        <w:rPr>
          <w:rFonts w:ascii="Newsreader" w:hAnsi="Newsreader" w:cs="Newsreader"/>
          <w:b w:val="0"/>
          <w:i w:val="0"/>
          <w:color w:val="161412"/>
        </w:rPr>
        <w:t xml:space="preserve">En signal.alert + threat, la familia pide atención, presencia, texto y forma clara, y el intent pide alta activación y acción inmediata; el resultado es presencia dominante, forma crítica, texto claro, color saliente, sonido opcional y persistencia hasta la acción.</w:t>
      </w:r>
    </w:p>
    <w:p>
      <w:pPr>
        <w:spacing w:before="200" w:after="60"/>
        <w:jc w:val="center"/>
      </w:pPr>
      <w:r>
        <w:drawing>
          <wp:inline xmlns:a="http://schemas.openxmlformats.org/drawingml/2006/main" xmlns:pic="http://schemas.openxmlformats.org/drawingml/2006/picture">
            <wp:extent cx="5029200" cy="2514600"/>
            <wp:docPr id="74" name="Picture 74"/>
            <wp:cNvGraphicFramePr>
              <a:graphicFrameLocks noChangeAspect="1"/>
            </wp:cNvGraphicFramePr>
            <a:graphic>
              <a:graphicData uri="http://schemas.openxmlformats.org/drawingml/2006/picture">
                <pic:pic>
                  <pic:nvPicPr>
                    <pic:cNvPr id="0" name="figura-31-2.png"/>
                    <pic:cNvPicPr/>
                  </pic:nvPicPr>
                  <pic:blipFill>
                    <a:blip r:embed="rId82"/>
                    <a:stretch>
                      <a:fillRect/>
                    </a:stretch>
                  </pic:blipFill>
                  <pic:spPr>
                    <a:xfrm>
                      <a:off x="0" y="0"/>
                      <a:ext cx="5029200" cy="2514600"/>
                    </a:xfrm>
                    <a:prstGeom prst="rect"/>
                  </pic:spPr>
                </pic:pic>
              </a:graphicData>
            </a:graphic>
          </wp:inline>
        </w:drawing>
      </w:r>
    </w:p>
    <w:p>
      <w:pPr>
        <w:spacing w:after="120" w:line="320" w:lineRule="auto"/>
        <w:jc w:val="both"/>
      </w:pPr>
      <w:r>
        <w:rPr>
          <w:rFonts w:ascii="Newsreader" w:hAnsi="Newsreader" w:cs="Newsreader"/>
          <w:b w:val="0"/>
          <w:i w:val="0"/>
          <w:color w:val="161412"/>
        </w:rPr>
        <w:t xml:space="preserve">En commit.delete + loss, la familia pide consecuencia, huella y cierre, y el intent pide gravedad con activación contenida; el resultado es la retirada del objeto, un mensaje de pérdida, undo si existe, color grave o desaturado, y ninguna alarma sostenida.</w:t>
      </w:r>
    </w:p>
    <w:p>
      <w:pPr>
        <w:spacing w:before="320" w:after="40"/>
      </w:pPr>
      <w:r>
        <w:rPr>
          <w:rFonts w:ascii="IBM Plex Sans" w:hAnsi="IBM Plex Sans" w:cs="IBM Plex Sans"/>
          <w:b/>
          <w:color w:val="1F3A5F"/>
          <w:sz w:val="18"/>
        </w:rPr>
        <w:t xml:space="preserve">§ 8</w:t>
      </w:r>
    </w:p>
    <w:p>
      <w:pPr>
        <w:spacing w:after="160" w:line="240" w:lineRule="auto"/>
      </w:pPr>
      <w:r>
        <w:rPr>
          <w:rFonts w:ascii="Newsreader" w:hAnsi="Newsreader" w:cs="Newsreader"/>
          <w:color w:val="161412"/>
          <w:sz w:val="38"/>
        </w:rPr>
        <w:t xml:space="preserve">Celdas prohibidas o raras</w:t>
      </w:r>
    </w:p>
    <w:p>
      <w:pPr>
        <w:spacing w:after="120" w:line="320" w:lineRule="auto"/>
        <w:jc w:val="both"/>
      </w:pPr>
      <w:r>
        <w:rPr>
          <w:rFonts w:ascii="Newsreader" w:hAnsi="Newsreader" w:cs="Newsreader"/>
          <w:b w:val="0"/>
          <w:i w:val="0"/>
          <w:color w:val="161412"/>
        </w:rPr>
        <w:t xml:space="preserve">No todas las combinaciones tienen el mismo sentido, y algunas casi nunca lo tienen. emerge.open + threat es normalmente incorrecta: la amenaza está en el contenido o en la señal, no en la apertura; mejor emerge.open → signal.warn + threat, con una excepción estrecha: la aparición que es la única advertencia (Capítulo 9). sustain.progress + fulfill confunde el proceso con el resultado; mejor sustain.progress → commit.complete + fulfill. handle.carry + loss adelanta una pérdida que solo ocurre en el resultado; mejor handle.drop → commit.delete + loss. Y contact.press + fulfill convierte el contacto en culminación; mejor contact.press → sustain.progress → commit.complete + fulfill.</w:t>
      </w:r>
    </w:p>
    <w:p>
      <w:pPr>
        <w:spacing w:after="200" w:before="40"/>
      </w:pPr>
      <w:r>
        <w:rPr>
          <w:rFonts w:ascii="IBM Plex Sans" w:hAnsi="IBM Plex Sans" w:cs="IBM Plex Sans"/>
          <w:b/>
          <w:color w:val="1F3A5F"/>
          <w:sz w:val="17"/>
        </w:rPr>
        <w:t xml:space="preserve">TABLA 31.3   </w:t>
      </w:r>
      <w:r>
        <w:rPr>
          <w:rFonts w:ascii="IBM Plex Sans" w:hAnsi="IBM Plex Sans" w:cs="IBM Plex Sans"/>
          <w:color w:val="3A352F"/>
          <w:sz w:val="18"/>
        </w:rPr>
        <w:t xml:space="preserve">Combinaciones problemáticas y alternativas</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COMBINACIÓN</w:t>
            </w:r>
          </w:p>
        </w:tc>
        <w:tc>
          <w:tcPr>
            <w:tcW w:type="dxa" w:w="2772"/>
            <w:shd w:val="clear" w:color="auto" w:fill="EAE4D8"/>
          </w:tcPr>
          <w:p>
            <w:pPr>
              <w:spacing w:after="40"/>
            </w:pPr>
            <w:r>
              <w:rPr>
                <w:sz w:val="17"/>
              </w:rPr>
            </w:r>
            <w:r>
              <w:rPr>
                <w:rFonts w:ascii="IBM Plex Sans" w:hAnsi="IBM Plex Sans" w:cs="IBM Plex Sans"/>
                <w:b/>
                <w:i w:val="0"/>
                <w:color w:val="1F3A5F"/>
                <w:sz w:val="17"/>
              </w:rPr>
              <w:t>PROBLEMA</w:t>
            </w:r>
          </w:p>
        </w:tc>
        <w:tc>
          <w:tcPr>
            <w:tcW w:type="dxa" w:w="2772"/>
            <w:shd w:val="clear" w:color="auto" w:fill="EAE4D8"/>
          </w:tcPr>
          <w:p>
            <w:pPr>
              <w:spacing w:after="40"/>
            </w:pPr>
            <w:r>
              <w:rPr>
                <w:sz w:val="17"/>
              </w:rPr>
            </w:r>
            <w:r>
              <w:rPr>
                <w:rFonts w:ascii="IBM Plex Sans" w:hAnsi="IBM Plex Sans" w:cs="IBM Plex Sans"/>
                <w:b/>
                <w:i w:val="0"/>
                <w:color w:val="1F3A5F"/>
                <w:sz w:val="17"/>
              </w:rPr>
              <w:t>ALTERNATIVA</w:t>
            </w:r>
          </w:p>
        </w:tc>
      </w:tr>
      <w:tr>
        <w:tc>
          <w:tcPr>
            <w:tcW w:type="dxa" w:w="2772"/>
          </w:tcPr>
          <w:p>
            <w:pPr>
              <w:spacing w:after="40"/>
            </w:pPr>
            <w:r>
              <w:rPr>
                <w:sz w:val="17"/>
              </w:rPr>
            </w:r>
            <w:r>
              <w:rPr>
                <w:rFonts w:ascii="IBM Plex Sans" w:hAnsi="IBM Plex Sans" w:cs="IBM Plex Sans"/>
                <w:b w:val="0"/>
                <w:i w:val="0"/>
                <w:color w:val="161412"/>
                <w:sz w:val="17"/>
              </w:rPr>
              <w:t>emerge.open + threat</w:t>
            </w:r>
          </w:p>
        </w:tc>
        <w:tc>
          <w:tcPr>
            <w:tcW w:type="dxa" w:w="2772"/>
          </w:tcPr>
          <w:p>
            <w:pPr>
              <w:spacing w:after="40"/>
            </w:pPr>
            <w:r>
              <w:rPr>
                <w:sz w:val="17"/>
              </w:rPr>
            </w:r>
            <w:r>
              <w:rPr>
                <w:rFonts w:ascii="IBM Plex Sans" w:hAnsi="IBM Plex Sans" w:cs="IBM Plex Sans"/>
                <w:b w:val="0"/>
                <w:i w:val="0"/>
                <w:color w:val="161412"/>
                <w:sz w:val="17"/>
              </w:rPr>
              <w:t>evalúa el marco, no el contenido</w:t>
            </w:r>
          </w:p>
        </w:tc>
        <w:tc>
          <w:tcPr>
            <w:tcW w:type="dxa" w:w="2772"/>
          </w:tcPr>
          <w:p>
            <w:pPr>
              <w:spacing w:after="40"/>
            </w:pPr>
            <w:r>
              <w:rPr>
                <w:sz w:val="17"/>
              </w:rPr>
            </w:r>
            <w:r>
              <w:rPr>
                <w:rFonts w:ascii="IBM Plex Sans" w:hAnsi="IBM Plex Sans" w:cs="IBM Plex Sans"/>
                <w:b w:val="0"/>
                <w:i w:val="0"/>
                <w:color w:val="161412"/>
                <w:sz w:val="17"/>
              </w:rPr>
              <w:t>emerge.open → signal.warn + threat</w:t>
            </w:r>
          </w:p>
        </w:tc>
      </w:tr>
      <w:tr>
        <w:tc>
          <w:tcPr>
            <w:tcW w:type="dxa" w:w="2772"/>
          </w:tcPr>
          <w:p>
            <w:pPr>
              <w:spacing w:after="40"/>
            </w:pPr>
            <w:r>
              <w:rPr>
                <w:sz w:val="17"/>
              </w:rPr>
            </w:r>
            <w:r>
              <w:rPr>
                <w:rFonts w:ascii="IBM Plex Sans" w:hAnsi="IBM Plex Sans" w:cs="IBM Plex Sans"/>
                <w:b w:val="0"/>
                <w:i w:val="0"/>
                <w:color w:val="161412"/>
                <w:sz w:val="17"/>
              </w:rPr>
              <w:t>sustain.progress + fulfill</w:t>
            </w:r>
          </w:p>
        </w:tc>
        <w:tc>
          <w:tcPr>
            <w:tcW w:type="dxa" w:w="2772"/>
          </w:tcPr>
          <w:p>
            <w:pPr>
              <w:spacing w:after="40"/>
            </w:pPr>
            <w:r>
              <w:rPr>
                <w:sz w:val="17"/>
              </w:rPr>
            </w:r>
            <w:r>
              <w:rPr>
                <w:rFonts w:ascii="IBM Plex Sans" w:hAnsi="IBM Plex Sans" w:cs="IBM Plex Sans"/>
                <w:b w:val="0"/>
                <w:i w:val="0"/>
                <w:color w:val="161412"/>
                <w:sz w:val="17"/>
              </w:rPr>
              <w:t>confunde proceso y resultado</w:t>
            </w:r>
          </w:p>
        </w:tc>
        <w:tc>
          <w:tcPr>
            <w:tcW w:type="dxa" w:w="2772"/>
          </w:tcPr>
          <w:p>
            <w:pPr>
              <w:spacing w:after="40"/>
            </w:pPr>
            <w:r>
              <w:rPr>
                <w:sz w:val="17"/>
              </w:rPr>
            </w:r>
            <w:r>
              <w:rPr>
                <w:rFonts w:ascii="IBM Plex Sans" w:hAnsi="IBM Plex Sans" w:cs="IBM Plex Sans"/>
                <w:b w:val="0"/>
                <w:i w:val="0"/>
                <w:color w:val="161412"/>
                <w:sz w:val="17"/>
              </w:rPr>
              <w:t>sustain.progress → commit.complete + fulfill</w:t>
            </w:r>
          </w:p>
        </w:tc>
      </w:tr>
      <w:tr>
        <w:tc>
          <w:tcPr>
            <w:tcW w:type="dxa" w:w="2772"/>
          </w:tcPr>
          <w:p>
            <w:pPr>
              <w:spacing w:after="40"/>
            </w:pPr>
            <w:r>
              <w:rPr>
                <w:sz w:val="17"/>
              </w:rPr>
            </w:r>
            <w:r>
              <w:rPr>
                <w:rFonts w:ascii="IBM Plex Sans" w:hAnsi="IBM Plex Sans" w:cs="IBM Plex Sans"/>
                <w:b w:val="0"/>
                <w:i w:val="0"/>
                <w:color w:val="161412"/>
                <w:sz w:val="17"/>
              </w:rPr>
              <w:t>contact.press + loss</w:t>
            </w:r>
          </w:p>
        </w:tc>
        <w:tc>
          <w:tcPr>
            <w:tcW w:type="dxa" w:w="2772"/>
          </w:tcPr>
          <w:p>
            <w:pPr>
              <w:spacing w:after="40"/>
            </w:pPr>
            <w:r>
              <w:rPr>
                <w:sz w:val="17"/>
              </w:rPr>
            </w:r>
            <w:r>
              <w:rPr>
                <w:rFonts w:ascii="IBM Plex Sans" w:hAnsi="IBM Plex Sans" w:cs="IBM Plex Sans"/>
                <w:b w:val="0"/>
                <w:i w:val="0"/>
                <w:color w:val="161412"/>
                <w:sz w:val="17"/>
              </w:rPr>
              <w:t>confunde recepción y consecuencia</w:t>
            </w:r>
          </w:p>
        </w:tc>
        <w:tc>
          <w:tcPr>
            <w:tcW w:type="dxa" w:w="2772"/>
          </w:tcPr>
          <w:p>
            <w:pPr>
              <w:spacing w:after="40"/>
            </w:pPr>
            <w:r>
              <w:rPr>
                <w:sz w:val="17"/>
              </w:rPr>
            </w:r>
            <w:r>
              <w:rPr>
                <w:rFonts w:ascii="IBM Plex Sans" w:hAnsi="IBM Plex Sans" w:cs="IBM Plex Sans"/>
                <w:b w:val="0"/>
                <w:i w:val="0"/>
                <w:color w:val="161412"/>
                <w:sz w:val="17"/>
              </w:rPr>
              <w:t>contact.press → commit.delete + loss</w:t>
            </w:r>
          </w:p>
        </w:tc>
      </w:tr>
      <w:tr>
        <w:tc>
          <w:tcPr>
            <w:tcW w:type="dxa" w:w="2772"/>
          </w:tcPr>
          <w:p>
            <w:pPr>
              <w:spacing w:after="40"/>
            </w:pPr>
            <w:r>
              <w:rPr>
                <w:sz w:val="17"/>
              </w:rPr>
            </w:r>
            <w:r>
              <w:rPr>
                <w:rFonts w:ascii="IBM Plex Sans" w:hAnsi="IBM Plex Sans" w:cs="IBM Plex Sans"/>
                <w:b w:val="0"/>
                <w:i w:val="0"/>
                <w:color w:val="161412"/>
                <w:sz w:val="17"/>
              </w:rPr>
              <w:t>handle.carry + loss</w:t>
            </w:r>
          </w:p>
        </w:tc>
        <w:tc>
          <w:tcPr>
            <w:tcW w:type="dxa" w:w="2772"/>
          </w:tcPr>
          <w:p>
            <w:pPr>
              <w:spacing w:after="40"/>
            </w:pPr>
            <w:r>
              <w:rPr>
                <w:sz w:val="17"/>
              </w:rPr>
            </w:r>
            <w:r>
              <w:rPr>
                <w:rFonts w:ascii="IBM Plex Sans" w:hAnsi="IBM Plex Sans" w:cs="IBM Plex Sans"/>
                <w:b w:val="0"/>
                <w:i w:val="0"/>
                <w:color w:val="161412"/>
                <w:sz w:val="17"/>
              </w:rPr>
              <w:t>evalúa antes del drop</w:t>
            </w:r>
          </w:p>
        </w:tc>
        <w:tc>
          <w:tcPr>
            <w:tcW w:type="dxa" w:w="2772"/>
          </w:tcPr>
          <w:p>
            <w:pPr>
              <w:spacing w:after="40"/>
            </w:pPr>
            <w:r>
              <w:rPr>
                <w:sz w:val="17"/>
              </w:rPr>
            </w:r>
            <w:r>
              <w:rPr>
                <w:rFonts w:ascii="IBM Plex Sans" w:hAnsi="IBM Plex Sans" w:cs="IBM Plex Sans"/>
                <w:b w:val="0"/>
                <w:i w:val="0"/>
                <w:color w:val="161412"/>
                <w:sz w:val="17"/>
              </w:rPr>
              <w:t>handle.drop → commit.delete + loss</w:t>
            </w:r>
          </w:p>
        </w:tc>
      </w:tr>
      <w:tr>
        <w:tc>
          <w:tcPr>
            <w:tcW w:type="dxa" w:w="2772"/>
          </w:tcPr>
          <w:p>
            <w:pPr>
              <w:spacing w:after="40"/>
            </w:pPr>
            <w:r>
              <w:rPr>
                <w:sz w:val="17"/>
              </w:rPr>
            </w:r>
            <w:r>
              <w:rPr>
                <w:rFonts w:ascii="IBM Plex Sans" w:hAnsi="IBM Plex Sans" w:cs="IBM Plex Sans"/>
                <w:b w:val="0"/>
                <w:i w:val="0"/>
                <w:color w:val="161412"/>
                <w:sz w:val="17"/>
              </w:rPr>
              <w:t>shift.enter-mode + risk</w:t>
            </w:r>
          </w:p>
        </w:tc>
        <w:tc>
          <w:tcPr>
            <w:tcW w:type="dxa" w:w="2772"/>
          </w:tcPr>
          <w:p>
            <w:pPr>
              <w:spacing w:after="40"/>
            </w:pPr>
            <w:r>
              <w:rPr>
                <w:sz w:val="17"/>
              </w:rPr>
            </w:r>
            <w:r>
              <w:rPr>
                <w:rFonts w:ascii="IBM Plex Sans" w:hAnsi="IBM Plex Sans" w:cs="IBM Plex Sans"/>
                <w:b w:val="0"/>
                <w:i w:val="0"/>
                <w:color w:val="161412"/>
                <w:sz w:val="17"/>
              </w:rPr>
              <w:t>evalúa el cambio de contexto</w:t>
            </w:r>
          </w:p>
        </w:tc>
        <w:tc>
          <w:tcPr>
            <w:tcW w:type="dxa" w:w="2772"/>
          </w:tcPr>
          <w:p>
            <w:pPr>
              <w:spacing w:after="40"/>
            </w:pPr>
            <w:r>
              <w:rPr>
                <w:sz w:val="17"/>
              </w:rPr>
            </w:r>
            <w:r>
              <w:rPr>
                <w:rFonts w:ascii="IBM Plex Sans" w:hAnsi="IBM Plex Sans" w:cs="IBM Plex Sans"/>
                <w:b w:val="0"/>
                <w:i w:val="0"/>
                <w:color w:val="161412"/>
                <w:sz w:val="17"/>
              </w:rPr>
              <w:t>shift.enter-mode → signal.warn + risk</w:t>
            </w:r>
          </w:p>
        </w:tc>
      </w:tr>
    </w:tbl>
    <w:p>
      <w:pPr>
        <w:spacing w:before="320" w:after="40"/>
      </w:pPr>
      <w:r>
        <w:rPr>
          <w:rFonts w:ascii="IBM Plex Sans" w:hAnsi="IBM Plex Sans" w:cs="IBM Plex Sans"/>
          <w:b/>
          <w:color w:val="1F3A5F"/>
          <w:sz w:val="18"/>
        </w:rPr>
        <w:t xml:space="preserve">§ 9</w:t>
      </w:r>
    </w:p>
    <w:p>
      <w:pPr>
        <w:spacing w:after="160" w:line="240" w:lineRule="auto"/>
      </w:pPr>
      <w:r>
        <w:rPr>
          <w:rFonts w:ascii="Newsreader" w:hAnsi="Newsreader" w:cs="Newsreader"/>
          <w:color w:val="161412"/>
          <w:sz w:val="38"/>
        </w:rPr>
        <w:t xml:space="preserve">Matrices y accesibilidad</w:t>
      </w:r>
    </w:p>
    <w:p>
      <w:pPr>
        <w:spacing w:after="120" w:line="320" w:lineRule="auto"/>
        <w:jc w:val="both"/>
      </w:pPr>
      <w:r>
        <w:rPr>
          <w:rFonts w:ascii="Newsreader" w:hAnsi="Newsreader" w:cs="Newsreader"/>
          <w:b w:val="0"/>
          <w:i w:val="0"/>
          <w:color w:val="161412"/>
        </w:rPr>
        <w:t xml:space="preserve">Las matrices también sirven para revisar accesibilidad: si un evento depende de un solo canal, la matriz lo revela. Un signal.warn + risk que solo se expresa con color amarillo está diciendo que le faltan forma, texto, persistencia, icono y relación con el campo. Un commit.select + affirm que solo se expresa con verde carece de check, borde, estado persistente y forma seleccionada. Un sustain.progress que solo es un spinner necesita texto, estado, quizá progreso real y anuncio controlado.</w:t>
      </w:r>
    </w:p>
    <w:p>
      <w:pPr>
        <w:spacing w:after="120" w:line="320" w:lineRule="auto"/>
        <w:jc w:val="both"/>
      </w:pPr>
      <w:r>
        <w:rPr>
          <w:rFonts w:ascii="Newsreader" w:hAnsi="Newsreader" w:cs="Newsreader"/>
          <w:b w:val="0"/>
          <w:i w:val="0"/>
          <w:color w:val="161412"/>
        </w:rPr>
        <w:t xml:space="preserve">La matriz obliga a preguntar, canal por canal: ¿cuál domina? ¿Cuál respalda? ¿Cuál falla? ¿Cuál sobra?</w:t>
      </w:r>
    </w:p>
    <w:p>
      <w:pPr>
        <w:spacing w:before="320" w:after="40"/>
      </w:pPr>
      <w:r>
        <w:rPr>
          <w:rFonts w:ascii="IBM Plex Sans" w:hAnsi="IBM Plex Sans" w:cs="IBM Plex Sans"/>
          <w:b/>
          <w:color w:val="1F3A5F"/>
          <w:sz w:val="18"/>
        </w:rPr>
        <w:t xml:space="preserve">§ 10</w:t>
      </w:r>
    </w:p>
    <w:p>
      <w:pPr>
        <w:spacing w:after="160" w:line="240" w:lineRule="auto"/>
      </w:pPr>
      <w:r>
        <w:rPr>
          <w:rFonts w:ascii="Newsreader" w:hAnsi="Newsreader" w:cs="Newsreader"/>
          <w:color w:val="161412"/>
          <w:sz w:val="38"/>
        </w:rPr>
        <w:t xml:space="preserve">Antipatrones de matriz</w:t>
      </w:r>
    </w:p>
    <w:p>
      <w:pPr>
        <w:spacing w:after="120" w:line="320" w:lineRule="auto"/>
        <w:jc w:val="both"/>
      </w:pPr>
      <w:r>
        <w:rPr>
          <w:rFonts w:ascii="Newsreader" w:hAnsi="Newsreader" w:cs="Newsreader"/>
          <w:b/>
          <w:i w:val="0"/>
          <w:color w:val="161412"/>
        </w:rPr>
        <w:t xml:space="preserve">Usar todos los canales porque la matriz los menciona.</w:t>
      </w:r>
      <w:r>
        <w:rPr>
          <w:rFonts w:ascii="Newsreader" w:hAnsi="Newsreader" w:cs="Newsreader"/>
          <w:b w:val="0"/>
          <w:i w:val="0"/>
          <w:color w:val="161412"/>
        </w:rPr>
        <w:t xml:space="preserve"> La matriz no obliga a activar todo: muestra posibilidades y funciones, y también sirve para quitar. Si un commit.save + affirm ya tiene marca visual persistente y color positivo, añadir sonido, háptica y motion resolutivo probablemente sobra. La pregunta no es solo «¿qué canal puedo añadir?», sino «¿qué canal puedo omitir sin perder la lectura?».</w:t>
      </w:r>
    </w:p>
    <w:p>
      <w:pPr>
        <w:spacing w:after="120" w:line="320" w:lineRule="auto"/>
        <w:jc w:val="both"/>
      </w:pPr>
      <w:r>
        <w:rPr>
          <w:rFonts w:ascii="Newsreader" w:hAnsi="Newsreader" w:cs="Newsreader"/>
          <w:b/>
          <w:i w:val="0"/>
          <w:color w:val="161412"/>
        </w:rPr>
        <w:t xml:space="preserve">Interpretar la matriz como receta fija.</w:t>
      </w:r>
      <w:r>
        <w:rPr>
          <w:rFonts w:ascii="Newsreader" w:hAnsi="Newsreader" w:cs="Newsreader"/>
          <w:b w:val="0"/>
          <w:i w:val="0"/>
          <w:color w:val="161412"/>
        </w:rPr>
        <w:t xml:space="preserve"> Cada contexto modifica la decisión: una app médica, una herramienta creativa y un dashboard financiero no deberían modular igual.</w:t>
      </w:r>
    </w:p>
    <w:p>
      <w:pPr>
        <w:spacing w:after="120" w:line="320" w:lineRule="auto"/>
        <w:jc w:val="both"/>
      </w:pPr>
      <w:r>
        <w:rPr>
          <w:rFonts w:ascii="Newsreader" w:hAnsi="Newsreader" w:cs="Newsreader"/>
          <w:b/>
          <w:i w:val="0"/>
          <w:color w:val="161412"/>
        </w:rPr>
        <w:t xml:space="preserve">Confundir canal dominante con canal único.</w:t>
      </w:r>
      <w:r>
        <w:rPr>
          <w:rFonts w:ascii="Newsreader" w:hAnsi="Newsreader" w:cs="Newsreader"/>
          <w:b w:val="0"/>
          <w:i w:val="0"/>
          <w:color w:val="161412"/>
        </w:rPr>
        <w:t xml:space="preserve"> Dominante no significa exclusivo: el canal que lidera necesita respaldo de al menos otro.</w:t>
      </w:r>
    </w:p>
    <w:p>
      <w:pPr>
        <w:spacing w:after="120" w:line="320" w:lineRule="auto"/>
        <w:jc w:val="both"/>
      </w:pPr>
      <w:r>
        <w:rPr>
          <w:rFonts w:ascii="Newsreader" w:hAnsi="Newsreader" w:cs="Newsreader"/>
          <w:b/>
          <w:i w:val="0"/>
          <w:color w:val="161412"/>
        </w:rPr>
        <w:t xml:space="preserve">Usar intent sin familia.</w:t>
      </w:r>
      <w:r>
        <w:rPr>
          <w:rFonts w:ascii="Newsreader" w:hAnsi="Newsreader" w:cs="Newsreader"/>
          <w:b w:val="0"/>
          <w:i w:val="0"/>
          <w:color w:val="161412"/>
        </w:rPr>
        <w:t xml:space="preserve"> risk, por sí solo, no dice qué ocurrió. Hace falta la familia que lo ancle: signal.warn + risk, commit.fail + risk o handle.drop + risk.</w:t>
      </w:r>
    </w:p>
    <w:p>
      <w:pPr>
        <w:spacing w:after="120" w:line="320" w:lineRule="auto"/>
        <w:jc w:val="both"/>
      </w:pPr>
      <w:r>
        <w:rPr>
          <w:rFonts w:ascii="Newsreader" w:hAnsi="Newsreader" w:cs="Newsreader"/>
          <w:b/>
          <w:i w:val="0"/>
          <w:color w:val="161412"/>
        </w:rPr>
        <w:t xml:space="preserve">Usar familia sin canal suficiente.</w:t>
      </w:r>
      <w:r>
        <w:rPr>
          <w:rFonts w:ascii="Newsreader" w:hAnsi="Newsreader" w:cs="Newsreader"/>
          <w:b w:val="0"/>
          <w:i w:val="0"/>
          <w:color w:val="161412"/>
        </w:rPr>
        <w:t xml:space="preserve"> Un commit.delete + loss sin huella, sin texto y sin ausencia significativa puede sencillamente no entenderse.</w:t>
      </w:r>
    </w:p>
    <w:p>
      <w:pPr>
        <w:spacing w:before="320" w:after="40"/>
      </w:pPr>
      <w:r>
        <w:rPr>
          <w:rFonts w:ascii="IBM Plex Sans" w:hAnsi="IBM Plex Sans" w:cs="IBM Plex Sans"/>
          <w:b/>
          <w:color w:val="1F3A5F"/>
          <w:sz w:val="18"/>
        </w:rPr>
        <w:t xml:space="preserve">§ 11</w:t>
      </w:r>
    </w:p>
    <w:p>
      <w:pPr>
        <w:spacing w:after="160" w:line="240" w:lineRule="auto"/>
      </w:pPr>
      <w:r>
        <w:rPr>
          <w:rFonts w:ascii="Newsreader" w:hAnsi="Newsreader" w:cs="Newsreader"/>
          <w:color w:val="161412"/>
          <w:sz w:val="38"/>
        </w:rPr>
        <w:t xml:space="preserve">Síntesis</w:t>
      </w:r>
    </w:p>
    <w:p>
      <w:pPr>
        <w:spacing w:after="120" w:line="320" w:lineRule="auto"/>
        <w:jc w:val="both"/>
      </w:pPr>
      <w:r>
        <w:rPr>
          <w:rFonts w:ascii="Newsreader" w:hAnsi="Newsreader" w:cs="Newsreader"/>
          <w:b w:val="0"/>
          <w:i w:val="0"/>
          <w:color w:val="161412"/>
        </w:rPr>
        <w:t xml:space="preserve">Las matrices semánticas convierten la gramática en herramienta. La de familias responde a qué tipo de evento es y qué canales suelen hacerlo legible; la de intents, a cómo debe evaluarse y qué modulación perceptiva necesita. Usadas juntas permiten pasar de una decisión vaga —«pon feedback de success»— a una decisión semántica: commit.save + affirm → huella discreta → color positivo leve → sin sonido por defecto → persistencia breve.</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Una matriz semántica no prescribe efectos. Organiza funciones perceptivas.</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No conviene preguntar primero qué canal usar, sino qué evento debe percibirse y qué función debe cumplir cada canal.</w:t>
      </w:r>
    </w:p>
    <w:p>
      <w:r>
        <w:br w:type="page"/>
      </w:r>
    </w:p>
    <w:p>
      <w:pPr>
        <w:spacing w:after="40"/>
      </w:pPr>
      <w:r>
        <w:rPr>
          <w:rFonts w:ascii="IBM Plex Sans" w:hAnsi="IBM Plex Sans" w:cs="IBM Plex Sans"/>
          <w:b/>
          <w:color w:val="1F3A5F"/>
          <w:sz w:val="18"/>
        </w:rPr>
        <w:t>CAPÍTULO 32</w:t>
      </w:r>
    </w:p>
    <w:p>
      <w:pPr>
        <w:spacing w:after="80" w:line="240" w:lineRule="auto"/>
      </w:pPr>
      <w:r>
        <w:rPr>
          <w:rFonts w:ascii="IBM Plex Sans" w:hAnsi="IBM Plex Sans" w:cs="IBM Plex Sans"/>
          <w:color w:val="161412"/>
          <w:sz w:val="220"/>
        </w:rPr>
        <w:t>32</w:t>
      </w:r>
    </w:p>
    <w:p>
      <w:pPr>
        <w:spacing w:after="60" w:line="240" w:lineRule="auto"/>
      </w:pPr>
      <w:r>
        <w:rPr>
          <w:rFonts w:ascii="Newsreader" w:hAnsi="Newsreader" w:cs="Newsreader"/>
          <w:color w:val="161412"/>
          <w:sz w:val="60"/>
        </w:rPr>
        <w:t>Rangos psicoperceptivos orientativos</w:t>
      </w:r>
    </w:p>
    <w:p>
      <w:pPr>
        <w:spacing w:after="280"/>
      </w:pPr>
      <w:r>
        <w:rPr>
          <w:rFonts w:ascii="IBM Plex Sans" w:hAnsi="IBM Plex Sans" w:cs="IBM Plex Sans"/>
          <w:color w:val="6A635A"/>
          <w:sz w:val="26"/>
        </w:rPr>
        <w:t>Duración, intensidad, persistencia y fatiga</w:t>
      </w:r>
    </w:p>
    <w:p>
      <w:pPr>
        <w:pBdr>
          <w:bottom w:val="single" w:sz="4" w:space="4" w:color="1F3A5F"/>
        </w:pBdr>
      </w:pPr>
    </w:p>
    <w:p>
      <w:pPr>
        <w:spacing w:after="120" w:line="320" w:lineRule="auto"/>
        <w:jc w:val="both"/>
      </w:pPr>
      <w:r>
        <w:rPr>
          <w:rFonts w:ascii="Newsreader" w:hAnsi="Newsreader" w:cs="Newsreader"/>
          <w:b w:val="0"/>
          <w:i w:val="0"/>
          <w:color w:val="161412"/>
        </w:rPr>
        <w:t xml:space="preserve">El capítulo anterior convirtió las familias, los intents y los canales en matrices de decisión. Pero una matriz todavía deja abierta una pregunta práctica:</w:t>
      </w: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¿Cuánto debe durar, persistir o intensificarse cada evento para conservar su lectura?</w:t>
      </w:r>
    </w:p>
    <w:p>
      <w:pPr>
        <w:spacing w:after="120" w:line="320" w:lineRule="auto"/>
        <w:jc w:val="both"/>
      </w:pPr>
      <w:r>
        <w:rPr>
          <w:rFonts w:ascii="Newsreader" w:hAnsi="Newsreader" w:cs="Newsreader"/>
          <w:b w:val="0"/>
          <w:i w:val="0"/>
          <w:color w:val="161412"/>
        </w:rPr>
        <w:t xml:space="preserve">Cuánto debe durar un contact.press. Cuánta presencia necesita un signal.warn + risk. Cuánta intensidad puede tener un signal.alert + threat. Cuánto tiempo debe permanecer un undo. Cuánto motion empieza a fatigar. Cuándo un sustain.progress deja de tranquilizar y empieza a desesperar. Cuándo un sonido breve ayuda y cuándo invade.</w:t>
      </w:r>
    </w:p>
    <w:p>
      <w:pPr>
        <w:spacing w:after="120" w:line="320" w:lineRule="auto"/>
        <w:jc w:val="both"/>
      </w:pPr>
      <w:r>
        <w:rPr>
          <w:rFonts w:ascii="Newsreader" w:hAnsi="Newsreader" w:cs="Newsreader"/>
          <w:b w:val="0"/>
          <w:i w:val="0"/>
          <w:color w:val="161412"/>
        </w:rPr>
        <w:t xml:space="preserve">Esta pregunta es peligrosa. Si damos valores demasiado concretos, caemos en falsa precisión; si no damos ninguno, dejamos al lector igual que antes. Por eso este capítulo no propone leyes: propone rangos psicoperceptivos orientativos. Un rango no dice «usa siempre 120 ms»; dice algo más útil. Esta clase de evento suele necesitar una temporalidad breve para preservar su función perceptiva. O esta señal debe persistir mientras el usuario pueda actuar sobre ella. O esta intensidad debe mantenerse baja porque el evento ocurre con mucha frecuencia. Los rangos son regiones de diseño, no números sagrados.</w:t>
      </w:r>
    </w:p>
    <w:p>
      <w:pPr>
        <w:spacing w:before="320" w:after="40"/>
      </w:pPr>
      <w:r>
        <w:rPr>
          <w:rFonts w:ascii="IBM Plex Sans" w:hAnsi="IBM Plex Sans" w:cs="IBM Plex Sans"/>
          <w:b/>
          <w:color w:val="1F3A5F"/>
          <w:sz w:val="18"/>
        </w:rPr>
        <w:t xml:space="preserve">§ 1</w:t>
      </w:r>
    </w:p>
    <w:p>
      <w:pPr>
        <w:spacing w:after="160" w:line="240" w:lineRule="auto"/>
      </w:pPr>
      <w:r>
        <w:rPr>
          <w:rFonts w:ascii="Newsreader" w:hAnsi="Newsreader" w:cs="Newsreader"/>
          <w:color w:val="161412"/>
          <w:sz w:val="38"/>
        </w:rPr>
        <w:t xml:space="preserve">Por qué hablar de rangos</w:t>
      </w:r>
    </w:p>
    <w:p>
      <w:pPr>
        <w:spacing w:after="120" w:line="320" w:lineRule="auto"/>
        <w:jc w:val="both"/>
      </w:pPr>
      <w:r>
        <w:rPr>
          <w:rFonts w:ascii="Newsreader" w:hAnsi="Newsreader" w:cs="Newsreader"/>
          <w:b w:val="0"/>
          <w:i w:val="0"/>
          <w:color w:val="161412"/>
        </w:rPr>
        <w:t xml:space="preserve">La semántica perceptiva no solo depende de qué canal usamos; también depende de cuánto lo usamos. Un motion correcto puede fallar por exceso de duración; un color adecuado, por exceso de saturación; una señal necesaria, por desaparecer demasiado pronto. Un sonido útil, por repetirse demasiado; un loader, por durar sin explicar nada; una vibración, por ser demasiado intensa o demasiado frecuente. El canal no trabaja solo por presencia o ausencia: trabaja por intensidad, duración, ritmo, persistencia, frecuencia y contexto.</w:t>
      </w:r>
    </w:p>
    <w:p>
      <w:pPr>
        <w:spacing w:before="160" w:after="40"/>
        <w:pBdr>
          <w:left w:val="single" w:sz="18" w:space="12" w:color="1F3A5F"/>
        </w:pBdr>
      </w:pPr>
      <w:r>
        <w:rPr>
          <w:rFonts w:ascii="IBM Plex Sans" w:hAnsi="IBM Plex Sans" w:cs="IBM Plex Sans"/>
          <w:b/>
          <w:color w:val="1F3A5F"/>
          <w:sz w:val="16"/>
        </w:rPr>
        <w:t xml:space="preserve">DISTINCIÓN</w:t>
      </w:r>
    </w:p>
    <w:p>
      <w:pPr>
        <w:spacing w:after="120" w:line="312" w:lineRule="auto"/>
        <w:pBdr>
          <w:left w:val="single" w:sz="18" w:space="12" w:color="1F3A5F"/>
        </w:pBdr>
      </w:pPr>
      <w:r>
        <w:rPr>
          <w:rFonts w:ascii="Newsreader" w:hAnsi="Newsreader" w:cs="Newsreader"/>
          <w:b w:val="0"/>
          <w:i/>
          <w:color w:val="3A352F"/>
        </w:rPr>
        <w:t xml:space="preserve">Un rango psicoperceptivo no es una ley. Es una zona en la que un evento conserva mejor su lectura.</w:t>
      </w:r>
    </w:p>
    <w:p>
      <w:pPr>
        <w:spacing w:before="320" w:after="40"/>
      </w:pPr>
      <w:r>
        <w:rPr>
          <w:rFonts w:ascii="IBM Plex Sans" w:hAnsi="IBM Plex Sans" w:cs="IBM Plex Sans"/>
          <w:b/>
          <w:color w:val="1F3A5F"/>
          <w:sz w:val="18"/>
        </w:rPr>
        <w:t xml:space="preserve">§ 2</w:t>
      </w:r>
    </w:p>
    <w:p>
      <w:pPr>
        <w:spacing w:after="160" w:line="240" w:lineRule="auto"/>
      </w:pPr>
      <w:r>
        <w:rPr>
          <w:rFonts w:ascii="Newsreader" w:hAnsi="Newsreader" w:cs="Newsreader"/>
          <w:color w:val="161412"/>
          <w:sz w:val="38"/>
        </w:rPr>
        <w:t xml:space="preserve">Fundamento: umbrales, atención y fatiga</w:t>
      </w:r>
    </w:p>
    <w:p>
      <w:pPr>
        <w:spacing w:after="120" w:line="320" w:lineRule="auto"/>
        <w:jc w:val="both"/>
      </w:pPr>
      <w:r>
        <w:rPr>
          <w:rFonts w:ascii="Newsreader" w:hAnsi="Newsreader" w:cs="Newsreader"/>
          <w:b w:val="0"/>
          <w:i w:val="0"/>
          <w:color w:val="161412"/>
        </w:rPr>
        <w:t xml:space="preserve">Los rangos se apoyan en tres ideas ya desarrolladas en la Parte II.</w:t>
      </w:r>
    </w:p>
    <w:p>
      <w:pPr>
        <w:spacing w:before="240" w:after="100"/>
      </w:pPr>
      <w:r>
        <w:rPr>
          <w:rFonts w:ascii="Newsreader" w:hAnsi="Newsreader" w:cs="Newsreader"/>
          <w:i/>
          <w:color w:val="1F3A5F"/>
          <w:sz w:val="28"/>
        </w:rPr>
        <w:t xml:space="preserve">Ventanas de percepción</w:t>
      </w:r>
    </w:p>
    <w:p>
      <w:pPr>
        <w:spacing w:after="120" w:line="320" w:lineRule="auto"/>
        <w:jc w:val="both"/>
      </w:pPr>
      <w:r>
        <w:rPr>
          <w:rFonts w:ascii="Newsreader" w:hAnsi="Newsreader" w:cs="Newsreader"/>
          <w:b w:val="0"/>
          <w:i w:val="0"/>
          <w:color w:val="161412"/>
        </w:rPr>
        <w:t xml:space="preserve">El Capítulo 12 explicó que el tiempo modifica la lectura del evento: una respuesta muy próxima a la acción se percibe como contacto; una más tardía, como reacción; una espera prolongada exige señal explícita. Por eso contact necesita vivir cerca del gesto.</w:t>
      </w:r>
    </w:p>
    <w:p>
      <w:pPr>
        <w:spacing w:before="240" w:after="100"/>
      </w:pPr>
      <w:r>
        <w:rPr>
          <w:rFonts w:ascii="Newsreader" w:hAnsi="Newsreader" w:cs="Newsreader"/>
          <w:i/>
          <w:color w:val="1F3A5F"/>
          <w:sz w:val="28"/>
        </w:rPr>
        <w:t xml:space="preserve">Activación atencional</w:t>
      </w:r>
    </w:p>
    <w:p>
      <w:pPr>
        <w:spacing w:after="120" w:line="320" w:lineRule="auto"/>
        <w:jc w:val="both"/>
      </w:pPr>
      <w:r>
        <w:rPr>
          <w:rFonts w:ascii="Newsreader" w:hAnsi="Newsreader" w:cs="Newsreader"/>
          <w:b w:val="0"/>
          <w:i w:val="0"/>
          <w:color w:val="161412"/>
        </w:rPr>
        <w:t xml:space="preserve">Los intents ocupan posiciones distintas del espacio valencia/activación que el Capítulo 10 cartografió — de la baja activación de affirm a la alta de threat. Por eso no todos deben tener la misma intensidad, duración o persistencia.</w:t>
      </w:r>
    </w:p>
    <w:p>
      <w:pPr>
        <w:spacing w:before="240" w:after="100"/>
      </w:pPr>
      <w:r>
        <w:rPr>
          <w:rFonts w:ascii="Newsreader" w:hAnsi="Newsreader" w:cs="Newsreader"/>
          <w:i/>
          <w:color w:val="1F3A5F"/>
          <w:sz w:val="28"/>
        </w:rPr>
        <w:t xml:space="preserve">Fatiga sensorial</w:t>
      </w:r>
    </w:p>
    <w:p>
      <w:pPr>
        <w:spacing w:after="120" w:line="320" w:lineRule="auto"/>
        <w:jc w:val="both"/>
      </w:pPr>
      <w:r>
        <w:rPr>
          <w:rFonts w:ascii="Newsreader" w:hAnsi="Newsreader" w:cs="Newsreader"/>
          <w:b w:val="0"/>
          <w:i w:val="0"/>
          <w:color w:val="161412"/>
        </w:rPr>
        <w:t xml:space="preserve">Un canal puede funcionar bien una vez y volverse insoportable por repetición. Un sonido de confirmación puede ser agradable una vez y molesto cincuenta veces. Una microvibración puede reforzar el contacto en un gesto aislado y fatigar en un teclado; un motion de éxito puede resultar expresivo una vez y ridículo si ocurre cada minuto. La frecuencia modifica el rango aceptable.</w:t>
      </w:r>
    </w:p>
    <w:p>
      <w:pPr>
        <w:spacing w:before="200" w:after="60"/>
        <w:jc w:val="center"/>
      </w:pPr>
      <w:r>
        <w:drawing>
          <wp:inline xmlns:a="http://schemas.openxmlformats.org/drawingml/2006/main" xmlns:pic="http://schemas.openxmlformats.org/drawingml/2006/picture">
            <wp:extent cx="5029200" cy="2376297"/>
            <wp:docPr id="75" name="Picture 75"/>
            <wp:cNvGraphicFramePr>
              <a:graphicFrameLocks noChangeAspect="1"/>
            </wp:cNvGraphicFramePr>
            <a:graphic>
              <a:graphicData uri="http://schemas.openxmlformats.org/drawingml/2006/picture">
                <pic:pic>
                  <pic:nvPicPr>
                    <pic:cNvPr id="0" name="figura-32-1.png"/>
                    <pic:cNvPicPr/>
                  </pic:nvPicPr>
                  <pic:blipFill>
                    <a:blip r:embed="rId83"/>
                    <a:stretch>
                      <a:fillRect/>
                    </a:stretch>
                  </pic:blipFill>
                  <pic:spPr>
                    <a:xfrm>
                      <a:off x="0" y="0"/>
                      <a:ext cx="5029200" cy="2376297"/>
                    </a:xfrm>
                    <a:prstGeom prst="rect"/>
                  </pic:spPr>
                </pic:pic>
              </a:graphicData>
            </a:graphic>
          </wp:inline>
        </w:drawing>
      </w:r>
    </w:p>
    <w:p>
      <w:pPr>
        <w:spacing w:before="320" w:after="40"/>
      </w:pPr>
      <w:r>
        <w:rPr>
          <w:rFonts w:ascii="IBM Plex Sans" w:hAnsi="IBM Plex Sans" w:cs="IBM Plex Sans"/>
          <w:b/>
          <w:color w:val="1F3A5F"/>
          <w:sz w:val="18"/>
        </w:rPr>
        <w:t xml:space="preserve">§ 3</w:t>
      </w:r>
    </w:p>
    <w:p>
      <w:pPr>
        <w:spacing w:after="160" w:line="240" w:lineRule="auto"/>
      </w:pPr>
      <w:r>
        <w:rPr>
          <w:rFonts w:ascii="Newsreader" w:hAnsi="Newsreader" w:cs="Newsreader"/>
          <w:color w:val="161412"/>
          <w:sz w:val="38"/>
        </w:rPr>
        <w:t xml:space="preserve">Rangos temporales orientativos</w:t>
      </w:r>
    </w:p>
    <w:p>
      <w:pPr>
        <w:spacing w:after="120" w:line="320" w:lineRule="auto"/>
        <w:jc w:val="both"/>
      </w:pPr>
      <w:r>
        <w:rPr>
          <w:rFonts w:ascii="Newsreader" w:hAnsi="Newsreader" w:cs="Newsreader"/>
          <w:b w:val="0"/>
          <w:i w:val="0"/>
          <w:color w:val="161412"/>
        </w:rPr>
        <w:t xml:space="preserve">No hay valores universales, pero sí regiones útiles. La tabla siguiente las resume por evento.</w:t>
      </w:r>
    </w:p>
    <w:p>
      <w:pPr>
        <w:spacing w:after="200" w:before="40"/>
      </w:pPr>
      <w:r>
        <w:rPr>
          <w:rFonts w:ascii="IBM Plex Sans" w:hAnsi="IBM Plex Sans" w:cs="IBM Plex Sans"/>
          <w:b/>
          <w:color w:val="1F3A5F"/>
          <w:sz w:val="17"/>
        </w:rPr>
        <w:t xml:space="preserve">TABLA 32.1   </w:t>
      </w:r>
      <w:r>
        <w:rPr>
          <w:rFonts w:ascii="IBM Plex Sans" w:hAnsi="IBM Plex Sans" w:cs="IBM Plex Sans"/>
          <w:color w:val="3A352F"/>
          <w:sz w:val="18"/>
        </w:rPr>
        <w:t xml:space="preserve">Regiones temporales orientativas por evento</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EVENTO</w:t>
            </w:r>
          </w:p>
        </w:tc>
        <w:tc>
          <w:tcPr>
            <w:tcW w:type="dxa" w:w="2772"/>
            <w:shd w:val="clear" w:color="auto" w:fill="EAE4D8"/>
          </w:tcPr>
          <w:p>
            <w:pPr>
              <w:spacing w:after="40"/>
            </w:pPr>
            <w:r>
              <w:rPr>
                <w:sz w:val="17"/>
              </w:rPr>
            </w:r>
            <w:r>
              <w:rPr>
                <w:rFonts w:ascii="IBM Plex Sans" w:hAnsi="IBM Plex Sans" w:cs="IBM Plex Sans"/>
                <w:b/>
                <w:i w:val="0"/>
                <w:color w:val="1F3A5F"/>
                <w:sz w:val="17"/>
              </w:rPr>
              <w:t>REGIÓN TEMPORAL ORIENTATIVA</w:t>
            </w:r>
          </w:p>
        </w:tc>
        <w:tc>
          <w:tcPr>
            <w:tcW w:type="dxa" w:w="2772"/>
            <w:shd w:val="clear" w:color="auto" w:fill="EAE4D8"/>
          </w:tcPr>
          <w:p>
            <w:pPr>
              <w:spacing w:after="40"/>
            </w:pPr>
            <w:r>
              <w:rPr>
                <w:sz w:val="17"/>
              </w:rPr>
            </w:r>
            <w:r>
              <w:rPr>
                <w:rFonts w:ascii="IBM Plex Sans" w:hAnsi="IBM Plex Sans" w:cs="IBM Plex Sans"/>
                <w:b/>
                <w:i w:val="0"/>
                <w:color w:val="1F3A5F"/>
                <w:sz w:val="17"/>
              </w:rPr>
              <w:t>FUNDAMENTO</w:t>
            </w:r>
          </w:p>
        </w:tc>
      </w:tr>
      <w:tr>
        <w:tc>
          <w:tcPr>
            <w:tcW w:type="dxa" w:w="2772"/>
          </w:tcPr>
          <w:p>
            <w:pPr>
              <w:spacing w:after="40"/>
            </w:pPr>
            <w:r>
              <w:rPr>
                <w:sz w:val="17"/>
              </w:rPr>
            </w:r>
            <w:r>
              <w:rPr>
                <w:rFonts w:ascii="IBM Plex Sans" w:hAnsi="IBM Plex Sans" w:cs="IBM Plex Sans"/>
                <w:b w:val="0"/>
                <w:i w:val="0"/>
                <w:color w:val="161412"/>
                <w:sz w:val="17"/>
              </w:rPr>
              <w:t>contact.press</w:t>
            </w:r>
          </w:p>
        </w:tc>
        <w:tc>
          <w:tcPr>
            <w:tcW w:type="dxa" w:w="2772"/>
          </w:tcPr>
          <w:p>
            <w:pPr>
              <w:spacing w:after="40"/>
            </w:pPr>
            <w:r>
              <w:rPr>
                <w:sz w:val="17"/>
              </w:rPr>
            </w:r>
            <w:r>
              <w:rPr>
                <w:rFonts w:ascii="IBM Plex Sans" w:hAnsi="IBM Plex Sans" w:cs="IBM Plex Sans"/>
                <w:b w:val="0"/>
                <w:i w:val="0"/>
                <w:color w:val="161412"/>
                <w:sz w:val="17"/>
              </w:rPr>
              <w:t>dentro de la ventana de atribución causal</w:t>
            </w:r>
          </w:p>
        </w:tc>
        <w:tc>
          <w:tcPr>
            <w:tcW w:type="dxa" w:w="2772"/>
          </w:tcPr>
          <w:p>
            <w:pPr>
              <w:spacing w:after="40"/>
            </w:pPr>
            <w:r>
              <w:rPr>
                <w:sz w:val="17"/>
              </w:rPr>
            </w:r>
            <w:r>
              <w:rPr>
                <w:rFonts w:ascii="IBM Plex Sans" w:hAnsi="IBM Plex Sans" w:cs="IBM Plex Sans"/>
                <w:b w:val="0"/>
                <w:i w:val="0"/>
                <w:color w:val="161412"/>
                <w:sz w:val="17"/>
              </w:rPr>
              <w:t>agencia acción-respuesta</w:t>
            </w:r>
          </w:p>
        </w:tc>
      </w:tr>
      <w:tr>
        <w:tc>
          <w:tcPr>
            <w:tcW w:type="dxa" w:w="2772"/>
          </w:tcPr>
          <w:p>
            <w:pPr>
              <w:spacing w:after="40"/>
            </w:pPr>
            <w:r>
              <w:rPr>
                <w:sz w:val="17"/>
              </w:rPr>
            </w:r>
            <w:r>
              <w:rPr>
                <w:rFonts w:ascii="IBM Plex Sans" w:hAnsi="IBM Plex Sans" w:cs="IBM Plex Sans"/>
                <w:b w:val="0"/>
                <w:i w:val="0"/>
                <w:color w:val="161412"/>
                <w:sz w:val="17"/>
              </w:rPr>
              <w:t>commit.save + affirm</w:t>
            </w:r>
          </w:p>
        </w:tc>
        <w:tc>
          <w:tcPr>
            <w:tcW w:type="dxa" w:w="2772"/>
          </w:tcPr>
          <w:p>
            <w:pPr>
              <w:spacing w:after="40"/>
            </w:pPr>
            <w:r>
              <w:rPr>
                <w:sz w:val="17"/>
              </w:rPr>
            </w:r>
            <w:r>
              <w:rPr>
                <w:rFonts w:ascii="IBM Plex Sans" w:hAnsi="IBM Plex Sans" w:cs="IBM Plex Sans"/>
                <w:b w:val="0"/>
                <w:i w:val="0"/>
                <w:color w:val="161412"/>
                <w:sz w:val="17"/>
              </w:rPr>
              <w:t>breve, sin interrumpir flujo</w:t>
            </w:r>
          </w:p>
        </w:tc>
        <w:tc>
          <w:tcPr>
            <w:tcW w:type="dxa" w:w="2772"/>
          </w:tcPr>
          <w:p>
            <w:pPr>
              <w:spacing w:after="40"/>
            </w:pPr>
            <w:r>
              <w:rPr>
                <w:sz w:val="17"/>
              </w:rPr>
            </w:r>
            <w:r>
              <w:rPr>
                <w:rFonts w:ascii="IBM Plex Sans" w:hAnsi="IBM Plex Sans" w:cs="IBM Plex Sans"/>
                <w:b w:val="0"/>
                <w:i w:val="0"/>
                <w:color w:val="161412"/>
                <w:sz w:val="17"/>
              </w:rPr>
              <w:t>confirmación suave</w:t>
            </w:r>
          </w:p>
        </w:tc>
      </w:tr>
      <w:tr>
        <w:tc>
          <w:tcPr>
            <w:tcW w:type="dxa" w:w="2772"/>
          </w:tcPr>
          <w:p>
            <w:pPr>
              <w:spacing w:after="40"/>
            </w:pPr>
            <w:r>
              <w:rPr>
                <w:sz w:val="17"/>
              </w:rPr>
            </w:r>
            <w:r>
              <w:rPr>
                <w:rFonts w:ascii="IBM Plex Sans" w:hAnsi="IBM Plex Sans" w:cs="IBM Plex Sans"/>
                <w:b w:val="0"/>
                <w:i w:val="0"/>
                <w:color w:val="161412"/>
                <w:sz w:val="17"/>
              </w:rPr>
              <w:t>commit.complete + fulfill</w:t>
            </w:r>
          </w:p>
        </w:tc>
        <w:tc>
          <w:tcPr>
            <w:tcW w:type="dxa" w:w="2772"/>
          </w:tcPr>
          <w:p>
            <w:pPr>
              <w:spacing w:after="40"/>
            </w:pPr>
            <w:r>
              <w:rPr>
                <w:sz w:val="17"/>
              </w:rPr>
            </w:r>
            <w:r>
              <w:rPr>
                <w:rFonts w:ascii="IBM Plex Sans" w:hAnsi="IBM Plex Sans" w:cs="IBM Plex Sans"/>
                <w:b w:val="0"/>
                <w:i w:val="0"/>
                <w:color w:val="161412"/>
                <w:sz w:val="17"/>
              </w:rPr>
              <w:t>breve-media, más resolutivo</w:t>
            </w:r>
          </w:p>
        </w:tc>
        <w:tc>
          <w:tcPr>
            <w:tcW w:type="dxa" w:w="2772"/>
          </w:tcPr>
          <w:p>
            <w:pPr>
              <w:spacing w:after="40"/>
            </w:pPr>
            <w:r>
              <w:rPr>
                <w:sz w:val="17"/>
              </w:rPr>
            </w:r>
            <w:r>
              <w:rPr>
                <w:rFonts w:ascii="IBM Plex Sans" w:hAnsi="IBM Plex Sans" w:cs="IBM Plex Sans"/>
                <w:b w:val="0"/>
                <w:i w:val="0"/>
                <w:color w:val="161412"/>
                <w:sz w:val="17"/>
              </w:rPr>
              <w:t>cierre de tensión</w:t>
            </w:r>
          </w:p>
        </w:tc>
      </w:tr>
      <w:tr>
        <w:tc>
          <w:tcPr>
            <w:tcW w:type="dxa" w:w="2772"/>
          </w:tcPr>
          <w:p>
            <w:pPr>
              <w:spacing w:after="40"/>
            </w:pPr>
            <w:r>
              <w:rPr>
                <w:sz w:val="17"/>
              </w:rPr>
            </w:r>
            <w:r>
              <w:rPr>
                <w:rFonts w:ascii="IBM Plex Sans" w:hAnsi="IBM Plex Sans" w:cs="IBM Plex Sans"/>
                <w:b w:val="0"/>
                <w:i w:val="0"/>
                <w:color w:val="161412"/>
                <w:sz w:val="17"/>
              </w:rPr>
              <w:t>emerge.tooltip</w:t>
            </w:r>
          </w:p>
        </w:tc>
        <w:tc>
          <w:tcPr>
            <w:tcW w:type="dxa" w:w="2772"/>
          </w:tcPr>
          <w:p>
            <w:pPr>
              <w:spacing w:after="40"/>
            </w:pPr>
            <w:r>
              <w:rPr>
                <w:sz w:val="17"/>
              </w:rPr>
            </w:r>
            <w:r>
              <w:rPr>
                <w:rFonts w:ascii="IBM Plex Sans" w:hAnsi="IBM Plex Sans" w:cs="IBM Plex Sans"/>
                <w:b w:val="0"/>
                <w:i w:val="0"/>
                <w:color w:val="161412"/>
                <w:sz w:val="17"/>
              </w:rPr>
              <w:t>breve-media</w:t>
            </w:r>
          </w:p>
        </w:tc>
        <w:tc>
          <w:tcPr>
            <w:tcW w:type="dxa" w:w="2772"/>
          </w:tcPr>
          <w:p>
            <w:pPr>
              <w:spacing w:after="40"/>
            </w:pPr>
            <w:r>
              <w:rPr>
                <w:sz w:val="17"/>
              </w:rPr>
            </w:r>
            <w:r>
              <w:rPr>
                <w:rFonts w:ascii="IBM Plex Sans" w:hAnsi="IBM Plex Sans" w:cs="IBM Plex Sans"/>
                <w:b w:val="0"/>
                <w:i w:val="0"/>
                <w:color w:val="161412"/>
                <w:sz w:val="17"/>
              </w:rPr>
              <w:t>aparición auxiliar</w:t>
            </w:r>
          </w:p>
        </w:tc>
      </w:tr>
      <w:tr>
        <w:tc>
          <w:tcPr>
            <w:tcW w:type="dxa" w:w="2772"/>
          </w:tcPr>
          <w:p>
            <w:pPr>
              <w:spacing w:after="40"/>
            </w:pPr>
            <w:r>
              <w:rPr>
                <w:sz w:val="17"/>
              </w:rPr>
            </w:r>
            <w:r>
              <w:rPr>
                <w:rFonts w:ascii="IBM Plex Sans" w:hAnsi="IBM Plex Sans" w:cs="IBM Plex Sans"/>
                <w:b w:val="0"/>
                <w:i w:val="0"/>
                <w:color w:val="161412"/>
                <w:sz w:val="17"/>
              </w:rPr>
              <w:t>emerge.dropdown</w:t>
            </w:r>
          </w:p>
        </w:tc>
        <w:tc>
          <w:tcPr>
            <w:tcW w:type="dxa" w:w="2772"/>
          </w:tcPr>
          <w:p>
            <w:pPr>
              <w:spacing w:after="40"/>
            </w:pPr>
            <w:r>
              <w:rPr>
                <w:sz w:val="17"/>
              </w:rPr>
            </w:r>
            <w:r>
              <w:rPr>
                <w:rFonts w:ascii="IBM Plex Sans" w:hAnsi="IBM Plex Sans" w:cs="IBM Plex Sans"/>
                <w:b w:val="0"/>
                <w:i w:val="0"/>
                <w:color w:val="161412"/>
                <w:sz w:val="17"/>
              </w:rPr>
              <w:t>breve</w:t>
            </w:r>
          </w:p>
        </w:tc>
        <w:tc>
          <w:tcPr>
            <w:tcW w:type="dxa" w:w="2772"/>
          </w:tcPr>
          <w:p>
            <w:pPr>
              <w:spacing w:after="40"/>
            </w:pPr>
            <w:r>
              <w:rPr>
                <w:sz w:val="17"/>
              </w:rPr>
            </w:r>
            <w:r>
              <w:rPr>
                <w:rFonts w:ascii="IBM Plex Sans" w:hAnsi="IBM Plex Sans" w:cs="IBM Plex Sans"/>
                <w:b w:val="0"/>
                <w:i w:val="0"/>
                <w:color w:val="161412"/>
                <w:sz w:val="17"/>
              </w:rPr>
              <w:t>opciones locales</w:t>
            </w:r>
          </w:p>
        </w:tc>
      </w:tr>
      <w:tr>
        <w:tc>
          <w:tcPr>
            <w:tcW w:type="dxa" w:w="2772"/>
          </w:tcPr>
          <w:p>
            <w:pPr>
              <w:spacing w:after="40"/>
            </w:pPr>
            <w:r>
              <w:rPr>
                <w:sz w:val="17"/>
              </w:rPr>
            </w:r>
            <w:r>
              <w:rPr>
                <w:rFonts w:ascii="IBM Plex Sans" w:hAnsi="IBM Plex Sans" w:cs="IBM Plex Sans"/>
                <w:b w:val="0"/>
                <w:i w:val="0"/>
                <w:color w:val="161412"/>
                <w:sz w:val="17"/>
              </w:rPr>
              <w:t>shift.enter-mode</w:t>
            </w:r>
          </w:p>
        </w:tc>
        <w:tc>
          <w:tcPr>
            <w:tcW w:type="dxa" w:w="2772"/>
          </w:tcPr>
          <w:p>
            <w:pPr>
              <w:spacing w:after="40"/>
            </w:pPr>
            <w:r>
              <w:rPr>
                <w:sz w:val="17"/>
              </w:rPr>
            </w:r>
            <w:r>
              <w:rPr>
                <w:rFonts w:ascii="IBM Plex Sans" w:hAnsi="IBM Plex Sans" w:cs="IBM Plex Sans"/>
                <w:b w:val="0"/>
                <w:i w:val="0"/>
                <w:color w:val="161412"/>
                <w:sz w:val="17"/>
              </w:rPr>
              <w:t>media, con orientación</w:t>
            </w:r>
          </w:p>
        </w:tc>
        <w:tc>
          <w:tcPr>
            <w:tcW w:type="dxa" w:w="2772"/>
          </w:tcPr>
          <w:p>
            <w:pPr>
              <w:spacing w:after="40"/>
            </w:pPr>
            <w:r>
              <w:rPr>
                <w:sz w:val="17"/>
              </w:rPr>
            </w:r>
            <w:r>
              <w:rPr>
                <w:rFonts w:ascii="IBM Plex Sans" w:hAnsi="IBM Plex Sans" w:cs="IBM Plex Sans"/>
                <w:b w:val="0"/>
                <w:i w:val="0"/>
                <w:color w:val="161412"/>
                <w:sz w:val="17"/>
              </w:rPr>
              <w:t>cambio de contexto</w:t>
            </w:r>
          </w:p>
        </w:tc>
      </w:tr>
      <w:tr>
        <w:tc>
          <w:tcPr>
            <w:tcW w:type="dxa" w:w="2772"/>
          </w:tcPr>
          <w:p>
            <w:pPr>
              <w:spacing w:after="40"/>
            </w:pPr>
            <w:r>
              <w:rPr>
                <w:sz w:val="17"/>
              </w:rPr>
            </w:r>
            <w:r>
              <w:rPr>
                <w:rFonts w:ascii="IBM Plex Sans" w:hAnsi="IBM Plex Sans" w:cs="IBM Plex Sans"/>
                <w:b w:val="0"/>
                <w:i w:val="0"/>
                <w:color w:val="161412"/>
                <w:sz w:val="17"/>
              </w:rPr>
              <w:t>signal.warn + risk</w:t>
            </w:r>
          </w:p>
        </w:tc>
        <w:tc>
          <w:tcPr>
            <w:tcW w:type="dxa" w:w="2772"/>
          </w:tcPr>
          <w:p>
            <w:pPr>
              <w:spacing w:after="40"/>
            </w:pPr>
            <w:r>
              <w:rPr>
                <w:sz w:val="17"/>
              </w:rPr>
            </w:r>
            <w:r>
              <w:rPr>
                <w:rFonts w:ascii="IBM Plex Sans" w:hAnsi="IBM Plex Sans" w:cs="IBM Plex Sans"/>
                <w:b w:val="0"/>
                <w:i w:val="0"/>
                <w:color w:val="161412"/>
                <w:sz w:val="17"/>
              </w:rPr>
              <w:t>persistente hasta corrección</w:t>
            </w:r>
          </w:p>
        </w:tc>
        <w:tc>
          <w:tcPr>
            <w:tcW w:type="dxa" w:w="2772"/>
          </w:tcPr>
          <w:p>
            <w:pPr>
              <w:spacing w:after="40"/>
            </w:pPr>
            <w:r>
              <w:rPr>
                <w:sz w:val="17"/>
              </w:rPr>
            </w:r>
            <w:r>
              <w:rPr>
                <w:rFonts w:ascii="IBM Plex Sans" w:hAnsi="IBM Plex Sans" w:cs="IBM Plex Sans"/>
                <w:b w:val="0"/>
                <w:i w:val="0"/>
                <w:color w:val="161412"/>
                <w:sz w:val="17"/>
              </w:rPr>
              <w:t>permitir acción correctiva</w:t>
            </w:r>
          </w:p>
        </w:tc>
      </w:tr>
      <w:tr>
        <w:tc>
          <w:tcPr>
            <w:tcW w:type="dxa" w:w="2772"/>
          </w:tcPr>
          <w:p>
            <w:pPr>
              <w:spacing w:after="40"/>
            </w:pPr>
            <w:r>
              <w:rPr>
                <w:sz w:val="17"/>
              </w:rPr>
            </w:r>
            <w:r>
              <w:rPr>
                <w:rFonts w:ascii="IBM Plex Sans" w:hAnsi="IBM Plex Sans" w:cs="IBM Plex Sans"/>
                <w:b w:val="0"/>
                <w:i w:val="0"/>
                <w:color w:val="161412"/>
                <w:sz w:val="17"/>
              </w:rPr>
              <w:t>signal.alert + threat</w:t>
            </w:r>
          </w:p>
        </w:tc>
        <w:tc>
          <w:tcPr>
            <w:tcW w:type="dxa" w:w="2772"/>
          </w:tcPr>
          <w:p>
            <w:pPr>
              <w:spacing w:after="40"/>
            </w:pPr>
            <w:r>
              <w:rPr>
                <w:sz w:val="17"/>
              </w:rPr>
            </w:r>
            <w:r>
              <w:rPr>
                <w:rFonts w:ascii="IBM Plex Sans" w:hAnsi="IBM Plex Sans" w:cs="IBM Plex Sans"/>
                <w:b w:val="0"/>
                <w:i w:val="0"/>
                <w:color w:val="161412"/>
                <w:sz w:val="17"/>
              </w:rPr>
              <w:t>entrada rápida + persistencia hasta acción</w:t>
            </w:r>
          </w:p>
        </w:tc>
        <w:tc>
          <w:tcPr>
            <w:tcW w:type="dxa" w:w="2772"/>
          </w:tcPr>
          <w:p>
            <w:pPr>
              <w:spacing w:after="40"/>
            </w:pPr>
            <w:r>
              <w:rPr>
                <w:sz w:val="17"/>
              </w:rPr>
            </w:r>
            <w:r>
              <w:rPr>
                <w:rFonts w:ascii="IBM Plex Sans" w:hAnsi="IBM Plex Sans" w:cs="IBM Plex Sans"/>
                <w:b w:val="0"/>
                <w:i w:val="0"/>
                <w:color w:val="161412"/>
                <w:sz w:val="17"/>
              </w:rPr>
              <w:t>urgencia</w:t>
            </w:r>
          </w:p>
        </w:tc>
      </w:tr>
      <w:tr>
        <w:tc>
          <w:tcPr>
            <w:tcW w:type="dxa" w:w="2772"/>
          </w:tcPr>
          <w:p>
            <w:pPr>
              <w:spacing w:after="40"/>
            </w:pPr>
            <w:r>
              <w:rPr>
                <w:sz w:val="17"/>
              </w:rPr>
            </w:r>
            <w:r>
              <w:rPr>
                <w:rFonts w:ascii="IBM Plex Sans" w:hAnsi="IBM Plex Sans" w:cs="IBM Plex Sans"/>
                <w:b w:val="0"/>
                <w:i w:val="0"/>
                <w:color w:val="161412"/>
                <w:sz w:val="17"/>
              </w:rPr>
              <w:t>commit.delete + loss</w:t>
            </w:r>
          </w:p>
        </w:tc>
        <w:tc>
          <w:tcPr>
            <w:tcW w:type="dxa" w:w="2772"/>
          </w:tcPr>
          <w:p>
            <w:pPr>
              <w:spacing w:after="40"/>
            </w:pPr>
            <w:r>
              <w:rPr>
                <w:sz w:val="17"/>
              </w:rPr>
            </w:r>
            <w:r>
              <w:rPr>
                <w:rFonts w:ascii="IBM Plex Sans" w:hAnsi="IBM Plex Sans" w:cs="IBM Plex Sans"/>
                <w:b w:val="0"/>
                <w:i w:val="0"/>
                <w:color w:val="161412"/>
                <w:sz w:val="17"/>
              </w:rPr>
              <w:t>breve + huella</w:t>
            </w:r>
          </w:p>
        </w:tc>
        <w:tc>
          <w:tcPr>
            <w:tcW w:type="dxa" w:w="2772"/>
          </w:tcPr>
          <w:p>
            <w:pPr>
              <w:spacing w:after="40"/>
            </w:pPr>
            <w:r>
              <w:rPr>
                <w:sz w:val="17"/>
              </w:rPr>
            </w:r>
            <w:r>
              <w:rPr>
                <w:rFonts w:ascii="IBM Plex Sans" w:hAnsi="IBM Plex Sans" w:cs="IBM Plex Sans"/>
                <w:b w:val="0"/>
                <w:i w:val="0"/>
                <w:color w:val="161412"/>
                <w:sz w:val="17"/>
              </w:rPr>
              <w:t>consecuencia consumada</w:t>
            </w:r>
          </w:p>
        </w:tc>
      </w:tr>
      <w:tr>
        <w:tc>
          <w:tcPr>
            <w:tcW w:type="dxa" w:w="2772"/>
          </w:tcPr>
          <w:p>
            <w:pPr>
              <w:spacing w:after="40"/>
            </w:pPr>
            <w:r>
              <w:rPr>
                <w:sz w:val="17"/>
              </w:rPr>
            </w:r>
            <w:r>
              <w:rPr>
                <w:rFonts w:ascii="IBM Plex Sans" w:hAnsi="IBM Plex Sans" w:cs="IBM Plex Sans"/>
                <w:b w:val="0"/>
                <w:i w:val="0"/>
                <w:color w:val="161412"/>
                <w:sz w:val="17"/>
              </w:rPr>
              <w:t>sustain.progress</w:t>
            </w:r>
          </w:p>
        </w:tc>
        <w:tc>
          <w:tcPr>
            <w:tcW w:type="dxa" w:w="2772"/>
          </w:tcPr>
          <w:p>
            <w:pPr>
              <w:spacing w:after="40"/>
            </w:pPr>
            <w:r>
              <w:rPr>
                <w:sz w:val="17"/>
              </w:rPr>
            </w:r>
            <w:r>
              <w:rPr>
                <w:rFonts w:ascii="IBM Plex Sans" w:hAnsi="IBM Plex Sans" w:cs="IBM Plex Sans"/>
                <w:b w:val="0"/>
                <w:i w:val="0"/>
                <w:color w:val="161412"/>
                <w:sz w:val="17"/>
              </w:rPr>
              <w:t>mientras dure el proceso</w:t>
            </w:r>
          </w:p>
        </w:tc>
        <w:tc>
          <w:tcPr>
            <w:tcW w:type="dxa" w:w="2772"/>
          </w:tcPr>
          <w:p>
            <w:pPr>
              <w:spacing w:after="40"/>
            </w:pPr>
            <w:r>
              <w:rPr>
                <w:sz w:val="17"/>
              </w:rPr>
            </w:r>
            <w:r>
              <w:rPr>
                <w:rFonts w:ascii="IBM Plex Sans" w:hAnsi="IBM Plex Sans" w:cs="IBM Plex Sans"/>
                <w:b w:val="0"/>
                <w:i w:val="0"/>
                <w:color w:val="161412"/>
                <w:sz w:val="17"/>
              </w:rPr>
              <w:t>continuidad</w:t>
            </w:r>
          </w:p>
        </w:tc>
      </w:tr>
      <w:tr>
        <w:tc>
          <w:tcPr>
            <w:tcW w:type="dxa" w:w="2772"/>
          </w:tcPr>
          <w:p>
            <w:pPr>
              <w:spacing w:after="40"/>
            </w:pPr>
            <w:r>
              <w:rPr>
                <w:sz w:val="17"/>
              </w:rPr>
            </w:r>
            <w:r>
              <w:rPr>
                <w:rFonts w:ascii="IBM Plex Sans" w:hAnsi="IBM Plex Sans" w:cs="IBM Plex Sans"/>
                <w:b w:val="0"/>
                <w:i w:val="0"/>
                <w:color w:val="161412"/>
                <w:sz w:val="17"/>
              </w:rPr>
              <w:t>handle.carry</w:t>
            </w:r>
          </w:p>
        </w:tc>
        <w:tc>
          <w:tcPr>
            <w:tcW w:type="dxa" w:w="2772"/>
          </w:tcPr>
          <w:p>
            <w:pPr>
              <w:spacing w:after="40"/>
            </w:pPr>
            <w:r>
              <w:rPr>
                <w:sz w:val="17"/>
              </w:rPr>
            </w:r>
            <w:r>
              <w:rPr>
                <w:rFonts w:ascii="IBM Plex Sans" w:hAnsi="IBM Plex Sans" w:cs="IBM Plex Sans"/>
                <w:b w:val="0"/>
                <w:i w:val="0"/>
                <w:color w:val="161412"/>
                <w:sz w:val="17"/>
              </w:rPr>
              <w:t>baja latencia continua</w:t>
            </w:r>
          </w:p>
        </w:tc>
        <w:tc>
          <w:tcPr>
            <w:tcW w:type="dxa" w:w="2772"/>
          </w:tcPr>
          <w:p>
            <w:pPr>
              <w:spacing w:after="40"/>
            </w:pPr>
            <w:r>
              <w:rPr>
                <w:sz w:val="17"/>
              </w:rPr>
            </w:r>
            <w:r>
              <w:rPr>
                <w:rFonts w:ascii="IBM Plex Sans" w:hAnsi="IBM Plex Sans" w:cs="IBM Plex Sans"/>
                <w:b w:val="0"/>
                <w:i w:val="0"/>
                <w:color w:val="161412"/>
                <w:sz w:val="17"/>
              </w:rPr>
              <w:t>control directo</w:t>
            </w:r>
          </w:p>
        </w:tc>
      </w:tr>
    </w:tbl>
    <w:p>
      <w:pPr>
        <w:spacing w:after="120" w:line="320" w:lineRule="auto"/>
        <w:jc w:val="both"/>
      </w:pPr>
      <w:r>
        <w:rPr>
          <w:rFonts w:ascii="Newsreader" w:hAnsi="Newsreader" w:cs="Newsreader"/>
          <w:b w:val="0"/>
          <w:i w:val="0"/>
          <w:color w:val="161412"/>
        </w:rPr>
        <w:t xml:space="preserve">Lo importante no es memorizar la tabla, sino entender su lógica. Un contact demasiado largo deja de ser contacto; un signal.warn + risk demasiado breve no permite corregir. Un sustain.progress sin continuidad parece bloqueo; un loss sin huella puede parecer simple desaparición.</w:t>
      </w:r>
    </w:p>
    <w:p>
      <w:pPr>
        <w:spacing w:before="320" w:after="40"/>
      </w:pPr>
      <w:r>
        <w:rPr>
          <w:rFonts w:ascii="IBM Plex Sans" w:hAnsi="IBM Plex Sans" w:cs="IBM Plex Sans"/>
          <w:b/>
          <w:color w:val="1F3A5F"/>
          <w:sz w:val="18"/>
        </w:rPr>
        <w:t xml:space="preserve">§ 4</w:t>
      </w:r>
    </w:p>
    <w:p>
      <w:pPr>
        <w:spacing w:after="160" w:line="240" w:lineRule="auto"/>
      </w:pPr>
      <w:r>
        <w:rPr>
          <w:rFonts w:ascii="Newsreader" w:hAnsi="Newsreader" w:cs="Newsreader"/>
          <w:color w:val="161412"/>
          <w:sz w:val="38"/>
        </w:rPr>
        <w:t xml:space="preserve">contact: el rango de la agencia</w:t>
      </w:r>
    </w:p>
    <w:p>
      <w:pPr>
        <w:spacing w:after="120" w:line="320" w:lineRule="auto"/>
        <w:jc w:val="both"/>
      </w:pPr>
      <w:r>
        <w:rPr>
          <w:rFonts w:ascii="Newsreader" w:hAnsi="Newsreader" w:cs="Newsreader"/>
          <w:b w:val="0"/>
          <w:i w:val="0"/>
          <w:color w:val="161412"/>
        </w:rPr>
        <w:t xml:space="preserve">contact es la familia más sensible al tiempo. Su pregunta —¿el sistema ha sentido mi acción?— solo puede responderse dentro de la ventana de atribución causal descrita en el Capítulo 12. No necesita durar mucho: necesita empezar pronto. Un buen contact.press puede ser casi instantáneo y muy breve —estado pressed, microcompresión, cambio de foco, pulso háptico leve, click opcional—; su función no es expresar belleza, sino preservar agencia.</w:t>
      </w:r>
    </w:p>
    <w:p>
      <w:pPr>
        <w:spacing w:after="120" w:line="320" w:lineRule="auto"/>
        <w:jc w:val="both"/>
      </w:pPr>
      <w:r>
        <w:rPr>
          <w:rFonts w:ascii="Newsreader" w:hAnsi="Newsreader" w:cs="Newsreader"/>
          <w:b w:val="0"/>
          <w:i w:val="0"/>
          <w:color w:val="161412"/>
        </w:rPr>
        <w:t xml:space="preserve">Si el sistema no puede ejecutar la operación inmediatamente, debe al menos responder al contacto y después sostener el proceso: contact.press → sustain.progress → commit.save + affirm. El antipatrón correspondiente es el silencio seguido de resultado: el sistema puede haber funcionado, pero el usuario no percibe agencia.</w:t>
      </w:r>
    </w:p>
    <w:p>
      <w:pPr>
        <w:spacing w:before="320" w:after="40"/>
      </w:pPr>
      <w:r>
        <w:rPr>
          <w:rFonts w:ascii="IBM Plex Sans" w:hAnsi="IBM Plex Sans" w:cs="IBM Plex Sans"/>
          <w:b/>
          <w:color w:val="1F3A5F"/>
          <w:sz w:val="18"/>
        </w:rPr>
        <w:t xml:space="preserve">§ 5</w:t>
      </w:r>
    </w:p>
    <w:p>
      <w:pPr>
        <w:spacing w:after="160" w:line="240" w:lineRule="auto"/>
      </w:pPr>
      <w:r>
        <w:rPr>
          <w:rFonts w:ascii="Newsreader" w:hAnsi="Newsreader" w:cs="Newsreader"/>
          <w:color w:val="161412"/>
          <w:sz w:val="38"/>
        </w:rPr>
        <w:t xml:space="preserve">commit: el rango del cierre</w:t>
      </w:r>
    </w:p>
    <w:p>
      <w:pPr>
        <w:spacing w:after="120" w:line="320" w:lineRule="auto"/>
        <w:jc w:val="both"/>
      </w:pPr>
      <w:r>
        <w:rPr>
          <w:rFonts w:ascii="Newsreader" w:hAnsi="Newsreader" w:cs="Newsreader"/>
          <w:b w:val="0"/>
          <w:i w:val="0"/>
          <w:color w:val="161412"/>
        </w:rPr>
        <w:t xml:space="preserve">commit necesita una señal de cierre: ni tan breve que pase desapercibida, ni tan larga que teatralice el resultado. La duración depende del intent. Un commit.save + affirm pide confirmación suave, breve y discreta —«guardado, puedes seguir»—. Un commit.complete + fulfill admite más duración, motion o presencia —«objetivo cumplido»—. Un commit.delete + loss pide cierre breve pero huella suficiente —«esto ya no está disponible»—. La clave es que commit no siempre necesita más intensidad: necesita claridad de consecuencia.</w:t>
      </w:r>
    </w:p>
    <w:p>
      <w:pPr>
        <w:spacing w:before="320" w:after="40"/>
      </w:pPr>
      <w:r>
        <w:rPr>
          <w:rFonts w:ascii="IBM Plex Sans" w:hAnsi="IBM Plex Sans" w:cs="IBM Plex Sans"/>
          <w:b/>
          <w:color w:val="1F3A5F"/>
          <w:sz w:val="18"/>
        </w:rPr>
        <w:t xml:space="preserve">§ 6</w:t>
      </w:r>
    </w:p>
    <w:p>
      <w:pPr>
        <w:spacing w:after="160" w:line="240" w:lineRule="auto"/>
      </w:pPr>
      <w:r>
        <w:rPr>
          <w:rFonts w:ascii="Newsreader" w:hAnsi="Newsreader" w:cs="Newsreader"/>
          <w:color w:val="161412"/>
          <w:sz w:val="38"/>
        </w:rPr>
        <w:t xml:space="preserve">signal: el rango de la atención</w:t>
      </w:r>
    </w:p>
    <w:p>
      <w:pPr>
        <w:spacing w:after="120" w:line="320" w:lineRule="auto"/>
        <w:jc w:val="both"/>
      </w:pPr>
      <w:r>
        <w:rPr>
          <w:rFonts w:ascii="Newsreader" w:hAnsi="Newsreader" w:cs="Newsreader"/>
          <w:b w:val="0"/>
          <w:i w:val="0"/>
          <w:color w:val="161412"/>
        </w:rPr>
        <w:t xml:space="preserve">signal trabaja con atención, y la atención tiene coste. Una señal demasiado débil se pierde; demasiado fuerte, fatiga; demasiado breve, no se procesa; demasiado persistente, se convierte en ruido. Un risk necesita tiempo para que el usuario lo procese y corrija; un threat necesita entrar rápido y permanecer mientras la acción sea necesaria —pero una amenaza no debería gritar indefinidamente—.</w:t>
      </w:r>
    </w:p>
    <w:p>
      <w:pPr>
        <w:spacing w:after="200" w:before="40"/>
      </w:pPr>
      <w:r>
        <w:rPr>
          <w:rFonts w:ascii="IBM Plex Sans" w:hAnsi="IBM Plex Sans" w:cs="IBM Plex Sans"/>
          <w:b/>
          <w:color w:val="1F3A5F"/>
          <w:sz w:val="17"/>
        </w:rPr>
        <w:t xml:space="preserve">TABLA 32.2   </w:t>
      </w:r>
      <w:r>
        <w:rPr>
          <w:rFonts w:ascii="IBM Plex Sans" w:hAnsi="IBM Plex Sans" w:cs="IBM Plex Sans"/>
          <w:color w:val="3A352F"/>
          <w:sz w:val="18"/>
        </w:rPr>
        <w:t xml:space="preserve">Persistencia e intensidad orientativas de signal</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SIGNAL</w:t>
            </w:r>
          </w:p>
        </w:tc>
        <w:tc>
          <w:tcPr>
            <w:tcW w:type="dxa" w:w="2772"/>
            <w:shd w:val="clear" w:color="auto" w:fill="EAE4D8"/>
          </w:tcPr>
          <w:p>
            <w:pPr>
              <w:spacing w:after="40"/>
            </w:pPr>
            <w:r>
              <w:rPr>
                <w:sz w:val="17"/>
              </w:rPr>
            </w:r>
            <w:r>
              <w:rPr>
                <w:rFonts w:ascii="IBM Plex Sans" w:hAnsi="IBM Plex Sans" w:cs="IBM Plex Sans"/>
                <w:b/>
                <w:i w:val="0"/>
                <w:color w:val="1F3A5F"/>
                <w:sz w:val="17"/>
              </w:rPr>
              <w:t>PERSISTENCIA</w:t>
            </w:r>
          </w:p>
        </w:tc>
        <w:tc>
          <w:tcPr>
            <w:tcW w:type="dxa" w:w="2772"/>
            <w:shd w:val="clear" w:color="auto" w:fill="EAE4D8"/>
          </w:tcPr>
          <w:p>
            <w:pPr>
              <w:spacing w:after="40"/>
            </w:pPr>
            <w:r>
              <w:rPr>
                <w:sz w:val="17"/>
              </w:rPr>
            </w:r>
            <w:r>
              <w:rPr>
                <w:rFonts w:ascii="IBM Plex Sans" w:hAnsi="IBM Plex Sans" w:cs="IBM Plex Sans"/>
                <w:b/>
                <w:i w:val="0"/>
                <w:color w:val="1F3A5F"/>
                <w:sz w:val="17"/>
              </w:rPr>
              <w:t>INTENSIDAD</w:t>
            </w:r>
          </w:p>
        </w:tc>
      </w:tr>
      <w:tr>
        <w:tc>
          <w:tcPr>
            <w:tcW w:type="dxa" w:w="2772"/>
          </w:tcPr>
          <w:p>
            <w:pPr>
              <w:spacing w:after="40"/>
            </w:pPr>
            <w:r>
              <w:rPr>
                <w:sz w:val="17"/>
              </w:rPr>
            </w:r>
            <w:r>
              <w:rPr>
                <w:rFonts w:ascii="IBM Plex Sans" w:hAnsi="IBM Plex Sans" w:cs="IBM Plex Sans"/>
                <w:b w:val="0"/>
                <w:i w:val="0"/>
                <w:color w:val="161412"/>
                <w:sz w:val="17"/>
              </w:rPr>
              <w:t>signal.announce + neutral</w:t>
            </w:r>
          </w:p>
        </w:tc>
        <w:tc>
          <w:tcPr>
            <w:tcW w:type="dxa" w:w="2772"/>
          </w:tcPr>
          <w:p>
            <w:pPr>
              <w:spacing w:after="40"/>
            </w:pPr>
            <w:r>
              <w:rPr>
                <w:sz w:val="17"/>
              </w:rPr>
            </w:r>
            <w:r>
              <w:rPr>
                <w:rFonts w:ascii="IBM Plex Sans" w:hAnsi="IBM Plex Sans" w:cs="IBM Plex Sans"/>
                <w:b w:val="0"/>
                <w:i w:val="0"/>
                <w:color w:val="161412"/>
                <w:sz w:val="17"/>
              </w:rPr>
              <w:t>breve o contextual</w:t>
            </w:r>
          </w:p>
        </w:tc>
        <w:tc>
          <w:tcPr>
            <w:tcW w:type="dxa" w:w="2772"/>
          </w:tcPr>
          <w:p>
            <w:pPr>
              <w:spacing w:after="40"/>
            </w:pPr>
            <w:r>
              <w:rPr>
                <w:sz w:val="17"/>
              </w:rPr>
            </w:r>
            <w:r>
              <w:rPr>
                <w:rFonts w:ascii="IBM Plex Sans" w:hAnsi="IBM Plex Sans" w:cs="IBM Plex Sans"/>
                <w:b w:val="0"/>
                <w:i w:val="0"/>
                <w:color w:val="161412"/>
                <w:sz w:val="17"/>
              </w:rPr>
              <w:t>baja</w:t>
            </w:r>
          </w:p>
        </w:tc>
      </w:tr>
      <w:tr>
        <w:tc>
          <w:tcPr>
            <w:tcW w:type="dxa" w:w="2772"/>
          </w:tcPr>
          <w:p>
            <w:pPr>
              <w:spacing w:after="40"/>
            </w:pPr>
            <w:r>
              <w:rPr>
                <w:sz w:val="17"/>
              </w:rPr>
            </w:r>
            <w:r>
              <w:rPr>
                <w:rFonts w:ascii="IBM Plex Sans" w:hAnsi="IBM Plex Sans" w:cs="IBM Plex Sans"/>
                <w:b w:val="0"/>
                <w:i w:val="0"/>
                <w:color w:val="161412"/>
                <w:sz w:val="17"/>
              </w:rPr>
              <w:t>signal.notify + neutral</w:t>
            </w:r>
          </w:p>
        </w:tc>
        <w:tc>
          <w:tcPr>
            <w:tcW w:type="dxa" w:w="2772"/>
          </w:tcPr>
          <w:p>
            <w:pPr>
              <w:spacing w:after="40"/>
            </w:pPr>
            <w:r>
              <w:rPr>
                <w:sz w:val="17"/>
              </w:rPr>
            </w:r>
            <w:r>
              <w:rPr>
                <w:rFonts w:ascii="IBM Plex Sans" w:hAnsi="IBM Plex Sans" w:cs="IBM Plex Sans"/>
                <w:b w:val="0"/>
                <w:i w:val="0"/>
                <w:color w:val="161412"/>
                <w:sz w:val="17"/>
              </w:rPr>
              <w:t>breve-media</w:t>
            </w:r>
          </w:p>
        </w:tc>
        <w:tc>
          <w:tcPr>
            <w:tcW w:type="dxa" w:w="2772"/>
          </w:tcPr>
          <w:p>
            <w:pPr>
              <w:spacing w:after="40"/>
            </w:pPr>
            <w:r>
              <w:rPr>
                <w:sz w:val="17"/>
              </w:rPr>
            </w:r>
            <w:r>
              <w:rPr>
                <w:rFonts w:ascii="IBM Plex Sans" w:hAnsi="IBM Plex Sans" w:cs="IBM Plex Sans"/>
                <w:b w:val="0"/>
                <w:i w:val="0"/>
                <w:color w:val="161412"/>
                <w:sz w:val="17"/>
              </w:rPr>
              <w:t>baja-media</w:t>
            </w:r>
          </w:p>
        </w:tc>
      </w:tr>
      <w:tr>
        <w:tc>
          <w:tcPr>
            <w:tcW w:type="dxa" w:w="2772"/>
          </w:tcPr>
          <w:p>
            <w:pPr>
              <w:spacing w:after="40"/>
            </w:pPr>
            <w:r>
              <w:rPr>
                <w:sz w:val="17"/>
              </w:rPr>
            </w:r>
            <w:r>
              <w:rPr>
                <w:rFonts w:ascii="IBM Plex Sans" w:hAnsi="IBM Plex Sans" w:cs="IBM Plex Sans"/>
                <w:b w:val="0"/>
                <w:i w:val="0"/>
                <w:color w:val="161412"/>
                <w:sz w:val="17"/>
              </w:rPr>
              <w:t>signal.warn + risk</w:t>
            </w:r>
          </w:p>
        </w:tc>
        <w:tc>
          <w:tcPr>
            <w:tcW w:type="dxa" w:w="2772"/>
          </w:tcPr>
          <w:p>
            <w:pPr>
              <w:spacing w:after="40"/>
            </w:pPr>
            <w:r>
              <w:rPr>
                <w:sz w:val="17"/>
              </w:rPr>
            </w:r>
            <w:r>
              <w:rPr>
                <w:rFonts w:ascii="IBM Plex Sans" w:hAnsi="IBM Plex Sans" w:cs="IBM Plex Sans"/>
                <w:b w:val="0"/>
                <w:i w:val="0"/>
                <w:color w:val="161412"/>
                <w:sz w:val="17"/>
              </w:rPr>
              <w:t>hasta corrección/cierre</w:t>
            </w:r>
          </w:p>
        </w:tc>
        <w:tc>
          <w:tcPr>
            <w:tcW w:type="dxa" w:w="2772"/>
          </w:tcPr>
          <w:p>
            <w:pPr>
              <w:spacing w:after="40"/>
            </w:pPr>
            <w:r>
              <w:rPr>
                <w:sz w:val="17"/>
              </w:rPr>
            </w:r>
            <w:r>
              <w:rPr>
                <w:rFonts w:ascii="IBM Plex Sans" w:hAnsi="IBM Plex Sans" w:cs="IBM Plex Sans"/>
                <w:b w:val="0"/>
                <w:i w:val="0"/>
                <w:color w:val="161412"/>
                <w:sz w:val="17"/>
              </w:rPr>
              <w:t>media</w:t>
            </w:r>
          </w:p>
        </w:tc>
      </w:tr>
      <w:tr>
        <w:tc>
          <w:tcPr>
            <w:tcW w:type="dxa" w:w="2772"/>
          </w:tcPr>
          <w:p>
            <w:pPr>
              <w:spacing w:after="40"/>
            </w:pPr>
            <w:r>
              <w:rPr>
                <w:sz w:val="17"/>
              </w:rPr>
            </w:r>
            <w:r>
              <w:rPr>
                <w:rFonts w:ascii="IBM Plex Sans" w:hAnsi="IBM Plex Sans" w:cs="IBM Plex Sans"/>
                <w:b w:val="0"/>
                <w:i w:val="0"/>
                <w:color w:val="161412"/>
                <w:sz w:val="17"/>
              </w:rPr>
              <w:t>signal.alert + threat</w:t>
            </w:r>
          </w:p>
        </w:tc>
        <w:tc>
          <w:tcPr>
            <w:tcW w:type="dxa" w:w="2772"/>
          </w:tcPr>
          <w:p>
            <w:pPr>
              <w:spacing w:after="40"/>
            </w:pPr>
            <w:r>
              <w:rPr>
                <w:sz w:val="17"/>
              </w:rPr>
            </w:r>
            <w:r>
              <w:rPr>
                <w:rFonts w:ascii="IBM Plex Sans" w:hAnsi="IBM Plex Sans" w:cs="IBM Plex Sans"/>
                <w:b w:val="0"/>
                <w:i w:val="0"/>
                <w:color w:val="161412"/>
                <w:sz w:val="17"/>
              </w:rPr>
              <w:t>hasta acción</w:t>
            </w:r>
          </w:p>
        </w:tc>
        <w:tc>
          <w:tcPr>
            <w:tcW w:type="dxa" w:w="2772"/>
          </w:tcPr>
          <w:p>
            <w:pPr>
              <w:spacing w:after="40"/>
            </w:pPr>
            <w:r>
              <w:rPr>
                <w:sz w:val="17"/>
              </w:rPr>
            </w:r>
            <w:r>
              <w:rPr>
                <w:rFonts w:ascii="IBM Plex Sans" w:hAnsi="IBM Plex Sans" w:cs="IBM Plex Sans"/>
                <w:b w:val="0"/>
                <w:i w:val="0"/>
                <w:color w:val="161412"/>
                <w:sz w:val="17"/>
              </w:rPr>
              <w:t>alta, pero no infinita</w:t>
            </w:r>
          </w:p>
        </w:tc>
      </w:tr>
    </w:tbl>
    <w:p>
      <w:pPr>
        <w:spacing w:before="320" w:after="40"/>
      </w:pPr>
      <w:r>
        <w:rPr>
          <w:rFonts w:ascii="IBM Plex Sans" w:hAnsi="IBM Plex Sans" w:cs="IBM Plex Sans"/>
          <w:b/>
          <w:color w:val="1F3A5F"/>
          <w:sz w:val="18"/>
        </w:rPr>
        <w:t xml:space="preserve">§ 7</w:t>
      </w:r>
    </w:p>
    <w:p>
      <w:pPr>
        <w:spacing w:after="160" w:line="240" w:lineRule="auto"/>
      </w:pPr>
      <w:r>
        <w:rPr>
          <w:rFonts w:ascii="Newsreader" w:hAnsi="Newsreader" w:cs="Newsreader"/>
          <w:color w:val="161412"/>
          <w:sz w:val="38"/>
        </w:rPr>
        <w:t xml:space="preserve">handle: el rango del control</w:t>
      </w:r>
    </w:p>
    <w:p>
      <w:pPr>
        <w:spacing w:after="120" w:line="320" w:lineRule="auto"/>
        <w:jc w:val="both"/>
      </w:pPr>
      <w:r>
        <w:rPr>
          <w:rFonts w:ascii="Newsreader" w:hAnsi="Newsreader" w:cs="Newsreader"/>
          <w:b w:val="0"/>
          <w:i w:val="0"/>
          <w:color w:val="161412"/>
        </w:rPr>
        <w:t xml:space="preserve">handle tiene requisitos de rango muy específicos, porque es la única familia de control motor continuo. Durante handle.carry, la latencia debe ser mínima y constante: el usuario no interpreta un lag como «el sistema procesa», sino como «no estoy controlando esto». En handle.pick el rango es breve —un cambio de estado inmediato, elevación, sombra o háptica que diga «lo tienes»—. En handle.drop el rango depende del resultado: marca breve si es commit.reorder + affirm; huella y gravedad si es commit.delete + loss.</w:t>
      </w:r>
    </w:p>
    <w:p>
      <w:pPr>
        <w:spacing w:after="120" w:line="320" w:lineRule="auto"/>
        <w:jc w:val="both"/>
      </w:pPr>
      <w:r>
        <w:rPr>
          <w:rFonts w:ascii="Newsreader" w:hAnsi="Newsreader" w:cs="Newsreader"/>
          <w:b w:val="0"/>
          <w:i w:val="0"/>
          <w:color w:val="161412"/>
        </w:rPr>
        <w:t xml:space="preserve">La regla de handle: el carry debe ser silencioso y fluido, y la evaluación se concentra en pick y drop. Sus antipatrones son el motion que compite con el control durante todo el carry y el lag variable que hace que el objeto «salte».</w:t>
      </w:r>
    </w:p>
    <w:p>
      <w:pPr>
        <w:spacing w:before="320" w:after="40"/>
      </w:pPr>
      <w:r>
        <w:rPr>
          <w:rFonts w:ascii="IBM Plex Sans" w:hAnsi="IBM Plex Sans" w:cs="IBM Plex Sans"/>
          <w:b/>
          <w:color w:val="1F3A5F"/>
          <w:sz w:val="18"/>
        </w:rPr>
        <w:t xml:space="preserve">§ 8</w:t>
      </w:r>
    </w:p>
    <w:p>
      <w:pPr>
        <w:spacing w:after="160" w:line="240" w:lineRule="auto"/>
      </w:pPr>
      <w:r>
        <w:rPr>
          <w:rFonts w:ascii="Newsreader" w:hAnsi="Newsreader" w:cs="Newsreader"/>
          <w:color w:val="161412"/>
          <w:sz w:val="38"/>
        </w:rPr>
        <w:t xml:space="preserve">sustain: el rango de la espera</w:t>
      </w:r>
    </w:p>
    <w:p>
      <w:pPr>
        <w:spacing w:after="120" w:line="320" w:lineRule="auto"/>
        <w:jc w:val="both"/>
      </w:pPr>
      <w:r>
        <w:rPr>
          <w:rFonts w:ascii="Newsreader" w:hAnsi="Newsreader" w:cs="Newsreader"/>
          <w:b w:val="0"/>
          <w:i w:val="0"/>
          <w:color w:val="161412"/>
        </w:rPr>
        <w:t xml:space="preserve">sustain existe porque hay tiempo sin resultado, y su rango no se mide como un evento breve, sino como una continuidad. Un spinner breve puede funcionar; un spinner largo se vuelve pregunta; un spinner eterno se vuelve acusación. La regla: cuanto más dura una espera, más información debe ofrecer.</w:t>
      </w:r>
    </w:p>
    <w:p>
      <w:pPr>
        <w:spacing w:after="200" w:before="40"/>
      </w:pPr>
      <w:r>
        <w:rPr>
          <w:rFonts w:ascii="IBM Plex Sans" w:hAnsi="IBM Plex Sans" w:cs="IBM Plex Sans"/>
          <w:b/>
          <w:color w:val="1F3A5F"/>
          <w:sz w:val="17"/>
        </w:rPr>
        <w:t xml:space="preserve">TABLA 32.3   </w:t>
      </w:r>
      <w:r>
        <w:rPr>
          <w:rFonts w:ascii="IBM Plex Sans" w:hAnsi="IBM Plex Sans" w:cs="IBM Plex Sans"/>
          <w:color w:val="3A352F"/>
          <w:sz w:val="18"/>
        </w:rPr>
        <w:t xml:space="preserve">Duración percibida de la espera y necesidad de información</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DURACIÓN PERCIBIDA</w:t>
            </w:r>
          </w:p>
        </w:tc>
        <w:tc>
          <w:tcPr>
            <w:tcW w:type="dxa" w:w="4158"/>
            <w:shd w:val="clear" w:color="auto" w:fill="EAE4D8"/>
          </w:tcPr>
          <w:p>
            <w:pPr>
              <w:spacing w:after="40"/>
            </w:pPr>
            <w:r>
              <w:rPr>
                <w:sz w:val="17"/>
              </w:rPr>
            </w:r>
            <w:r>
              <w:rPr>
                <w:rFonts w:ascii="IBM Plex Sans" w:hAnsi="IBM Plex Sans" w:cs="IBM Plex Sans"/>
                <w:b/>
                <w:i w:val="0"/>
                <w:color w:val="1F3A5F"/>
                <w:sz w:val="17"/>
              </w:rPr>
              <w:t>NECESIDAD</w:t>
            </w:r>
          </w:p>
        </w:tc>
      </w:tr>
      <w:tr>
        <w:tc>
          <w:tcPr>
            <w:tcW w:type="dxa" w:w="4158"/>
          </w:tcPr>
          <w:p>
            <w:pPr>
              <w:spacing w:after="40"/>
            </w:pPr>
            <w:r>
              <w:rPr>
                <w:sz w:val="17"/>
              </w:rPr>
            </w:r>
            <w:r>
              <w:rPr>
                <w:rFonts w:ascii="IBM Plex Sans" w:hAnsi="IBM Plex Sans" w:cs="IBM Plex Sans"/>
                <w:b w:val="0"/>
                <w:i w:val="0"/>
                <w:color w:val="161412"/>
                <w:sz w:val="17"/>
              </w:rPr>
              <w:t>muy breve</w:t>
            </w:r>
          </w:p>
        </w:tc>
        <w:tc>
          <w:tcPr>
            <w:tcW w:type="dxa" w:w="4158"/>
          </w:tcPr>
          <w:p>
            <w:pPr>
              <w:spacing w:after="40"/>
            </w:pPr>
            <w:r>
              <w:rPr>
                <w:sz w:val="17"/>
              </w:rPr>
            </w:r>
            <w:r>
              <w:rPr>
                <w:rFonts w:ascii="IBM Plex Sans" w:hAnsi="IBM Plex Sans" w:cs="IBM Plex Sans"/>
                <w:b w:val="0"/>
                <w:i w:val="0"/>
                <w:color w:val="161412"/>
                <w:sz w:val="17"/>
              </w:rPr>
              <w:t>quizá no mostrar nada o una respuesta mínima</w:t>
            </w:r>
          </w:p>
        </w:tc>
      </w:tr>
      <w:tr>
        <w:tc>
          <w:tcPr>
            <w:tcW w:type="dxa" w:w="4158"/>
          </w:tcPr>
          <w:p>
            <w:pPr>
              <w:spacing w:after="40"/>
            </w:pPr>
            <w:r>
              <w:rPr>
                <w:sz w:val="17"/>
              </w:rPr>
            </w:r>
            <w:r>
              <w:rPr>
                <w:rFonts w:ascii="IBM Plex Sans" w:hAnsi="IBM Plex Sans" w:cs="IBM Plex Sans"/>
                <w:b w:val="0"/>
                <w:i w:val="0"/>
                <w:color w:val="161412"/>
                <w:sz w:val="17"/>
              </w:rPr>
              <w:t>breve</w:t>
            </w:r>
          </w:p>
        </w:tc>
        <w:tc>
          <w:tcPr>
            <w:tcW w:type="dxa" w:w="4158"/>
          </w:tcPr>
          <w:p>
            <w:pPr>
              <w:spacing w:after="40"/>
            </w:pPr>
            <w:r>
              <w:rPr>
                <w:sz w:val="17"/>
              </w:rPr>
            </w:r>
            <w:r>
              <w:rPr>
                <w:rFonts w:ascii="IBM Plex Sans" w:hAnsi="IBM Plex Sans" w:cs="IBM Plex Sans"/>
                <w:b w:val="0"/>
                <w:i w:val="0"/>
                <w:color w:val="161412"/>
                <w:sz w:val="17"/>
              </w:rPr>
              <w:t>indicador simple</w:t>
            </w:r>
          </w:p>
        </w:tc>
      </w:tr>
      <w:tr>
        <w:tc>
          <w:tcPr>
            <w:tcW w:type="dxa" w:w="4158"/>
          </w:tcPr>
          <w:p>
            <w:pPr>
              <w:spacing w:after="40"/>
            </w:pPr>
            <w:r>
              <w:rPr>
                <w:sz w:val="17"/>
              </w:rPr>
            </w:r>
            <w:r>
              <w:rPr>
                <w:rFonts w:ascii="IBM Plex Sans" w:hAnsi="IBM Plex Sans" w:cs="IBM Plex Sans"/>
                <w:b w:val="0"/>
                <w:i w:val="0"/>
                <w:color w:val="161412"/>
                <w:sz w:val="17"/>
              </w:rPr>
              <w:t>media</w:t>
            </w:r>
          </w:p>
        </w:tc>
        <w:tc>
          <w:tcPr>
            <w:tcW w:type="dxa" w:w="4158"/>
          </w:tcPr>
          <w:p>
            <w:pPr>
              <w:spacing w:after="40"/>
            </w:pPr>
            <w:r>
              <w:rPr>
                <w:sz w:val="17"/>
              </w:rPr>
            </w:r>
            <w:r>
              <w:rPr>
                <w:rFonts w:ascii="IBM Plex Sans" w:hAnsi="IBM Plex Sans" w:cs="IBM Plex Sans"/>
                <w:b w:val="0"/>
                <w:i w:val="0"/>
                <w:color w:val="161412"/>
                <w:sz w:val="17"/>
              </w:rPr>
              <w:t>texto de estado</w:t>
            </w:r>
          </w:p>
        </w:tc>
      </w:tr>
      <w:tr>
        <w:tc>
          <w:tcPr>
            <w:tcW w:type="dxa" w:w="4158"/>
          </w:tcPr>
          <w:p>
            <w:pPr>
              <w:spacing w:after="40"/>
            </w:pPr>
            <w:r>
              <w:rPr>
                <w:sz w:val="17"/>
              </w:rPr>
            </w:r>
            <w:r>
              <w:rPr>
                <w:rFonts w:ascii="IBM Plex Sans" w:hAnsi="IBM Plex Sans" w:cs="IBM Plex Sans"/>
                <w:b w:val="0"/>
                <w:i w:val="0"/>
                <w:color w:val="161412"/>
                <w:sz w:val="17"/>
              </w:rPr>
              <w:t>larga</w:t>
            </w:r>
          </w:p>
        </w:tc>
        <w:tc>
          <w:tcPr>
            <w:tcW w:type="dxa" w:w="4158"/>
          </w:tcPr>
          <w:p>
            <w:pPr>
              <w:spacing w:after="40"/>
            </w:pPr>
            <w:r>
              <w:rPr>
                <w:sz w:val="17"/>
              </w:rPr>
            </w:r>
            <w:r>
              <w:rPr>
                <w:rFonts w:ascii="IBM Plex Sans" w:hAnsi="IBM Plex Sans" w:cs="IBM Plex Sans"/>
                <w:b w:val="0"/>
                <w:i w:val="0"/>
                <w:color w:val="161412"/>
                <w:sz w:val="17"/>
              </w:rPr>
              <w:t>progreso, explicación o control</w:t>
            </w:r>
          </w:p>
        </w:tc>
      </w:tr>
      <w:tr>
        <w:tc>
          <w:tcPr>
            <w:tcW w:type="dxa" w:w="4158"/>
          </w:tcPr>
          <w:p>
            <w:pPr>
              <w:spacing w:after="40"/>
            </w:pPr>
            <w:r>
              <w:rPr>
                <w:sz w:val="17"/>
              </w:rPr>
            </w:r>
            <w:r>
              <w:rPr>
                <w:rFonts w:ascii="IBM Plex Sans" w:hAnsi="IBM Plex Sans" w:cs="IBM Plex Sans"/>
                <w:b w:val="0"/>
                <w:i w:val="0"/>
                <w:color w:val="161412"/>
                <w:sz w:val="17"/>
              </w:rPr>
              <w:t>indefinida</w:t>
            </w:r>
          </w:p>
        </w:tc>
        <w:tc>
          <w:tcPr>
            <w:tcW w:type="dxa" w:w="4158"/>
          </w:tcPr>
          <w:p>
            <w:pPr>
              <w:spacing w:after="40"/>
            </w:pPr>
            <w:r>
              <w:rPr>
                <w:sz w:val="17"/>
              </w:rPr>
            </w:r>
            <w:r>
              <w:rPr>
                <w:rFonts w:ascii="IBM Plex Sans" w:hAnsi="IBM Plex Sans" w:cs="IBM Plex Sans"/>
                <w:b w:val="0"/>
                <w:i w:val="0"/>
                <w:color w:val="161412"/>
                <w:sz w:val="17"/>
              </w:rPr>
              <w:t>alternativa, cancelación o cambio de estado</w:t>
            </w:r>
          </w:p>
        </w:tc>
      </w:tr>
    </w:tbl>
    <w:p>
      <w:pPr>
        <w:spacing w:before="320" w:after="40"/>
      </w:pPr>
      <w:r>
        <w:rPr>
          <w:rFonts w:ascii="IBM Plex Sans" w:hAnsi="IBM Plex Sans" w:cs="IBM Plex Sans"/>
          <w:b/>
          <w:color w:val="1F3A5F"/>
          <w:sz w:val="18"/>
        </w:rPr>
        <w:t xml:space="preserve">§ 9</w:t>
      </w:r>
    </w:p>
    <w:p>
      <w:pPr>
        <w:spacing w:after="160" w:line="240" w:lineRule="auto"/>
      </w:pPr>
      <w:r>
        <w:rPr>
          <w:rFonts w:ascii="Newsreader" w:hAnsi="Newsreader" w:cs="Newsreader"/>
          <w:color w:val="161412"/>
          <w:sz w:val="38"/>
        </w:rPr>
        <w:t xml:space="preserve">emerge y shift: rangos de entrada y orientación</w:t>
      </w:r>
    </w:p>
    <w:p>
      <w:pPr>
        <w:spacing w:after="120" w:line="320" w:lineRule="auto"/>
        <w:jc w:val="both"/>
      </w:pPr>
      <w:r>
        <w:rPr>
          <w:rFonts w:ascii="Newsreader" w:hAnsi="Newsreader" w:cs="Newsreader"/>
          <w:b w:val="0"/>
          <w:i w:val="0"/>
          <w:color w:val="161412"/>
        </w:rPr>
        <w:t xml:space="preserve">En emerge, una aparición local debe ser lo bastante clara para que el usuario entienda qué apareció, de dónde viene y a qué pertenece. Pero sin el peso de un cambio de contexto: un tooltip, un dropdown o un popover necesitan una entrada breve y ligera. Si la aparición dura demasiado o gana demasiada profundidad, empieza a parecer shift.</w:t>
      </w:r>
    </w:p>
    <w:p>
      <w:pPr>
        <w:spacing w:after="120" w:line="320" w:lineRule="auto"/>
        <w:jc w:val="both"/>
      </w:pPr>
      <w:r>
        <w:rPr>
          <w:rFonts w:ascii="Newsreader" w:hAnsi="Newsreader" w:cs="Newsreader"/>
          <w:b w:val="0"/>
          <w:i w:val="0"/>
          <w:color w:val="161412"/>
        </w:rPr>
        <w:t xml:space="preserve">En shift, un cambio de contexto necesita más orientación: abrir un modal, entrar en edición, cambiar de vista o activar una command palette implica otra relación operativa. La transición debe ser suficiente para orientar, pero no tan larga que interrumpa.</w:t>
      </w:r>
    </w:p>
    <w:p>
      <w:pPr>
        <w:spacing w:before="320" w:after="40"/>
      </w:pPr>
      <w:r>
        <w:rPr>
          <w:rFonts w:ascii="IBM Plex Sans" w:hAnsi="IBM Plex Sans" w:cs="IBM Plex Sans"/>
          <w:b/>
          <w:color w:val="1F3A5F"/>
          <w:sz w:val="18"/>
        </w:rPr>
        <w:t xml:space="preserve">§ 10</w:t>
      </w:r>
    </w:p>
    <w:p>
      <w:pPr>
        <w:spacing w:after="160" w:line="240" w:lineRule="auto"/>
      </w:pPr>
      <w:r>
        <w:rPr>
          <w:rFonts w:ascii="Newsreader" w:hAnsi="Newsreader" w:cs="Newsreader"/>
          <w:color w:val="161412"/>
          <w:sz w:val="38"/>
        </w:rPr>
        <w:t xml:space="preserve">Sonido y háptica: rangos de intrusión</w:t>
      </w:r>
    </w:p>
    <w:p>
      <w:pPr>
        <w:spacing w:after="120" w:line="320" w:lineRule="auto"/>
        <w:jc w:val="both"/>
      </w:pPr>
      <w:r>
        <w:rPr>
          <w:rFonts w:ascii="Newsreader" w:hAnsi="Newsreader" w:cs="Newsreader"/>
          <w:b w:val="0"/>
          <w:i w:val="0"/>
          <w:color w:val="161412"/>
        </w:rPr>
        <w:t xml:space="preserve">Sonido y háptica entran en el cuerpo o en el entorno del usuario, y por eso sus rangos deben ser más conservadores. En eventos frecuentes, mínimos o ausentes; en eventos raros y relevantes, posibles; en eventos críticos, opcionales pero nunca únicos. Un sustain no debería sonar ni vibrar de forma continua; un contact frecuente no debería llevar refuerzo fuerte; un threat puede tener entrada saliente, pero no un bucle agresivo.</w:t>
      </w:r>
    </w:p>
    <w:p>
      <w:pPr>
        <w:spacing w:before="200" w:after="60"/>
        <w:jc w:val="center"/>
      </w:pPr>
      <w:r>
        <w:drawing>
          <wp:inline xmlns:a="http://schemas.openxmlformats.org/drawingml/2006/main" xmlns:pic="http://schemas.openxmlformats.org/drawingml/2006/picture">
            <wp:extent cx="5029200" cy="2652903"/>
            <wp:docPr id="76" name="Picture 76"/>
            <wp:cNvGraphicFramePr>
              <a:graphicFrameLocks noChangeAspect="1"/>
            </wp:cNvGraphicFramePr>
            <a:graphic>
              <a:graphicData uri="http://schemas.openxmlformats.org/drawingml/2006/picture">
                <pic:pic>
                  <pic:nvPicPr>
                    <pic:cNvPr id="0" name="figura-32-2.png"/>
                    <pic:cNvPicPr/>
                  </pic:nvPicPr>
                  <pic:blipFill>
                    <a:blip r:embed="rId84"/>
                    <a:stretch>
                      <a:fillRect/>
                    </a:stretch>
                  </pic:blipFill>
                  <pic:spPr>
                    <a:xfrm>
                      <a:off x="0" y="0"/>
                      <a:ext cx="5029200" cy="2652903"/>
                    </a:xfrm>
                    <a:prstGeom prst="rect"/>
                  </pic:spPr>
                </pic:pic>
              </a:graphicData>
            </a:graphic>
          </wp:inline>
        </w:drawing>
      </w:r>
    </w:p>
    <w:p>
      <w:pPr>
        <w:spacing w:before="320" w:after="40"/>
      </w:pPr>
      <w:r>
        <w:rPr>
          <w:rFonts w:ascii="IBM Plex Sans" w:hAnsi="IBM Plex Sans" w:cs="IBM Plex Sans"/>
          <w:b/>
          <w:color w:val="1F3A5F"/>
          <w:sz w:val="18"/>
        </w:rPr>
        <w:t xml:space="preserve">§ 11</w:t>
      </w:r>
    </w:p>
    <w:p>
      <w:pPr>
        <w:spacing w:after="160" w:line="240" w:lineRule="auto"/>
      </w:pPr>
      <w:r>
        <w:rPr>
          <w:rFonts w:ascii="Newsreader" w:hAnsi="Newsreader" w:cs="Newsreader"/>
          <w:color w:val="161412"/>
          <w:sz w:val="38"/>
        </w:rPr>
        <w:t xml:space="preserve">Saturación y frecuencia</w:t>
      </w:r>
    </w:p>
    <w:p>
      <w:pPr>
        <w:spacing w:after="120" w:line="320" w:lineRule="auto"/>
        <w:jc w:val="both"/>
      </w:pPr>
      <w:r>
        <w:rPr>
          <w:rFonts w:ascii="Newsreader" w:hAnsi="Newsreader" w:cs="Newsreader"/>
          <w:b w:val="0"/>
          <w:i w:val="0"/>
          <w:color w:val="161412"/>
        </w:rPr>
        <w:t xml:space="preserve">La intensidad aceptable depende de la frecuencia. Un evento que ocurre una vez al día puede permitirse más presencia; un evento que ocurre cien veces por hora debe ser casi invisible.</w:t>
      </w:r>
    </w:p>
    <w:p>
      <w:pPr>
        <w:spacing w:after="120" w:line="320" w:lineRule="auto"/>
        <w:jc w:val="both"/>
      </w:pPr>
      <w:r>
        <w:rPr>
          <w:rFonts w:ascii="Newsreader" w:hAnsi="Newsreader" w:cs="Newsreader"/>
          <w:b w:val="0"/>
          <w:i w:val="0"/>
          <w:color w:val="161412"/>
        </w:rPr>
        <w:t xml:space="preserve">La frecuencia tiene además un caso límite: el evento continuo. Un arrastre emite muestras al ritmo del sensor —muy por encima de lo que la percepción resuelve—, y expresar cada muestra como señal completa satura cualquier canal. La regla es muestrear al ritmo de la percepción: agrupar las señales del movimiento al refresco perceptivo, con un suelo mínimo por debajo del cual repetir no añade nada. Y no muestrear las entradas discretas a ritmo humano, donde cada repetición es un valor real.</w:t>
      </w:r>
    </w:p>
    <w:p>
      <w:pPr>
        <w:spacing w:after="200" w:before="40"/>
      </w:pPr>
      <w:r>
        <w:rPr>
          <w:rFonts w:ascii="IBM Plex Sans" w:hAnsi="IBM Plex Sans" w:cs="IBM Plex Sans"/>
          <w:b/>
          <w:color w:val="1F3A5F"/>
          <w:sz w:val="17"/>
        </w:rPr>
        <w:t xml:space="preserve">TABLA 32.4   </w:t>
      </w:r>
      <w:r>
        <w:rPr>
          <w:rFonts w:ascii="IBM Plex Sans" w:hAnsi="IBM Plex Sans" w:cs="IBM Plex Sans"/>
          <w:color w:val="3A352F"/>
          <w:sz w:val="18"/>
        </w:rPr>
        <w:t xml:space="preserve">Frecuencia probable e intensidad recomendable por evento</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EVENTO</w:t>
            </w:r>
          </w:p>
        </w:tc>
        <w:tc>
          <w:tcPr>
            <w:tcW w:type="dxa" w:w="2772"/>
            <w:shd w:val="clear" w:color="auto" w:fill="EAE4D8"/>
          </w:tcPr>
          <w:p>
            <w:pPr>
              <w:spacing w:after="40"/>
            </w:pPr>
            <w:r>
              <w:rPr>
                <w:sz w:val="17"/>
              </w:rPr>
            </w:r>
            <w:r>
              <w:rPr>
                <w:rFonts w:ascii="IBM Plex Sans" w:hAnsi="IBM Plex Sans" w:cs="IBM Plex Sans"/>
                <w:b/>
                <w:i w:val="0"/>
                <w:color w:val="1F3A5F"/>
                <w:sz w:val="17"/>
              </w:rPr>
              <w:t>FRECUENCIA PROBABLE</w:t>
            </w:r>
          </w:p>
        </w:tc>
        <w:tc>
          <w:tcPr>
            <w:tcW w:type="dxa" w:w="2772"/>
            <w:shd w:val="clear" w:color="auto" w:fill="EAE4D8"/>
          </w:tcPr>
          <w:p>
            <w:pPr>
              <w:spacing w:after="40"/>
            </w:pPr>
            <w:r>
              <w:rPr>
                <w:sz w:val="17"/>
              </w:rPr>
            </w:r>
            <w:r>
              <w:rPr>
                <w:rFonts w:ascii="IBM Plex Sans" w:hAnsi="IBM Plex Sans" w:cs="IBM Plex Sans"/>
                <w:b/>
                <w:i w:val="0"/>
                <w:color w:val="1F3A5F"/>
                <w:sz w:val="17"/>
              </w:rPr>
              <w:t>INTENSIDAD RECOMENDABLE</w:t>
            </w:r>
          </w:p>
        </w:tc>
      </w:tr>
      <w:tr>
        <w:tc>
          <w:tcPr>
            <w:tcW w:type="dxa" w:w="2772"/>
          </w:tcPr>
          <w:p>
            <w:pPr>
              <w:spacing w:after="40"/>
            </w:pPr>
            <w:r>
              <w:rPr>
                <w:sz w:val="17"/>
              </w:rPr>
            </w:r>
            <w:r>
              <w:rPr>
                <w:rFonts w:ascii="IBM Plex Sans" w:hAnsi="IBM Plex Sans" w:cs="IBM Plex Sans"/>
                <w:b w:val="0"/>
                <w:i w:val="0"/>
                <w:color w:val="161412"/>
                <w:sz w:val="17"/>
              </w:rPr>
              <w:t>contact.press</w:t>
            </w:r>
          </w:p>
        </w:tc>
        <w:tc>
          <w:tcPr>
            <w:tcW w:type="dxa" w:w="2772"/>
          </w:tcPr>
          <w:p>
            <w:pPr>
              <w:spacing w:after="40"/>
            </w:pPr>
            <w:r>
              <w:rPr>
                <w:sz w:val="17"/>
              </w:rPr>
            </w:r>
            <w:r>
              <w:rPr>
                <w:rFonts w:ascii="IBM Plex Sans" w:hAnsi="IBM Plex Sans" w:cs="IBM Plex Sans"/>
                <w:b w:val="0"/>
                <w:i w:val="0"/>
                <w:color w:val="161412"/>
                <w:sz w:val="17"/>
              </w:rPr>
              <w:t>muy alta</w:t>
            </w:r>
          </w:p>
        </w:tc>
        <w:tc>
          <w:tcPr>
            <w:tcW w:type="dxa" w:w="2772"/>
          </w:tcPr>
          <w:p>
            <w:pPr>
              <w:spacing w:after="40"/>
            </w:pPr>
            <w:r>
              <w:rPr>
                <w:sz w:val="17"/>
              </w:rPr>
            </w:r>
            <w:r>
              <w:rPr>
                <w:rFonts w:ascii="IBM Plex Sans" w:hAnsi="IBM Plex Sans" w:cs="IBM Plex Sans"/>
                <w:b w:val="0"/>
                <w:i w:val="0"/>
                <w:color w:val="161412"/>
                <w:sz w:val="17"/>
              </w:rPr>
              <w:t>mínima</w:t>
            </w:r>
          </w:p>
        </w:tc>
      </w:tr>
      <w:tr>
        <w:tc>
          <w:tcPr>
            <w:tcW w:type="dxa" w:w="2772"/>
          </w:tcPr>
          <w:p>
            <w:pPr>
              <w:spacing w:after="40"/>
            </w:pPr>
            <w:r>
              <w:rPr>
                <w:sz w:val="17"/>
              </w:rPr>
            </w:r>
            <w:r>
              <w:rPr>
                <w:rFonts w:ascii="IBM Plex Sans" w:hAnsi="IBM Plex Sans" w:cs="IBM Plex Sans"/>
                <w:b w:val="0"/>
                <w:i w:val="0"/>
                <w:color w:val="161412"/>
                <w:sz w:val="17"/>
              </w:rPr>
              <w:t>commit.save + affirm</w:t>
            </w:r>
          </w:p>
        </w:tc>
        <w:tc>
          <w:tcPr>
            <w:tcW w:type="dxa" w:w="2772"/>
          </w:tcPr>
          <w:p>
            <w:pPr>
              <w:spacing w:after="40"/>
            </w:pPr>
            <w:r>
              <w:rPr>
                <w:sz w:val="17"/>
              </w:rPr>
            </w:r>
            <w:r>
              <w:rPr>
                <w:rFonts w:ascii="IBM Plex Sans" w:hAnsi="IBM Plex Sans" w:cs="IBM Plex Sans"/>
                <w:b w:val="0"/>
                <w:i w:val="0"/>
                <w:color w:val="161412"/>
                <w:sz w:val="17"/>
              </w:rPr>
              <w:t>alta</w:t>
            </w:r>
          </w:p>
        </w:tc>
        <w:tc>
          <w:tcPr>
            <w:tcW w:type="dxa" w:w="2772"/>
          </w:tcPr>
          <w:p>
            <w:pPr>
              <w:spacing w:after="40"/>
            </w:pPr>
            <w:r>
              <w:rPr>
                <w:sz w:val="17"/>
              </w:rPr>
            </w:r>
            <w:r>
              <w:rPr>
                <w:rFonts w:ascii="IBM Plex Sans" w:hAnsi="IBM Plex Sans" w:cs="IBM Plex Sans"/>
                <w:b w:val="0"/>
                <w:i w:val="0"/>
                <w:color w:val="161412"/>
                <w:sz w:val="17"/>
              </w:rPr>
              <w:t>discreta</w:t>
            </w:r>
          </w:p>
        </w:tc>
      </w:tr>
      <w:tr>
        <w:tc>
          <w:tcPr>
            <w:tcW w:type="dxa" w:w="2772"/>
          </w:tcPr>
          <w:p>
            <w:pPr>
              <w:spacing w:after="40"/>
            </w:pPr>
            <w:r>
              <w:rPr>
                <w:sz w:val="17"/>
              </w:rPr>
            </w:r>
            <w:r>
              <w:rPr>
                <w:rFonts w:ascii="IBM Plex Sans" w:hAnsi="IBM Plex Sans" w:cs="IBM Plex Sans"/>
                <w:b w:val="0"/>
                <w:i w:val="0"/>
                <w:color w:val="161412"/>
                <w:sz w:val="17"/>
              </w:rPr>
              <w:t>sustain.progress</w:t>
            </w:r>
          </w:p>
        </w:tc>
        <w:tc>
          <w:tcPr>
            <w:tcW w:type="dxa" w:w="2772"/>
          </w:tcPr>
          <w:p>
            <w:pPr>
              <w:spacing w:after="40"/>
            </w:pPr>
            <w:r>
              <w:rPr>
                <w:sz w:val="17"/>
              </w:rPr>
            </w:r>
            <w:r>
              <w:rPr>
                <w:rFonts w:ascii="IBM Plex Sans" w:hAnsi="IBM Plex Sans" w:cs="IBM Plex Sans"/>
                <w:b w:val="0"/>
                <w:i w:val="0"/>
                <w:color w:val="161412"/>
                <w:sz w:val="17"/>
              </w:rPr>
              <w:t>media</w:t>
            </w:r>
          </w:p>
        </w:tc>
        <w:tc>
          <w:tcPr>
            <w:tcW w:type="dxa" w:w="2772"/>
          </w:tcPr>
          <w:p>
            <w:pPr>
              <w:spacing w:after="40"/>
            </w:pPr>
            <w:r>
              <w:rPr>
                <w:sz w:val="17"/>
              </w:rPr>
            </w:r>
            <w:r>
              <w:rPr>
                <w:rFonts w:ascii="IBM Plex Sans" w:hAnsi="IBM Plex Sans" w:cs="IBM Plex Sans"/>
                <w:b w:val="0"/>
                <w:i w:val="0"/>
                <w:color w:val="161412"/>
                <w:sz w:val="17"/>
              </w:rPr>
              <w:t>baja saliencia</w:t>
            </w:r>
          </w:p>
        </w:tc>
      </w:tr>
      <w:tr>
        <w:tc>
          <w:tcPr>
            <w:tcW w:type="dxa" w:w="2772"/>
          </w:tcPr>
          <w:p>
            <w:pPr>
              <w:spacing w:after="40"/>
            </w:pPr>
            <w:r>
              <w:rPr>
                <w:sz w:val="17"/>
              </w:rPr>
            </w:r>
            <w:r>
              <w:rPr>
                <w:rFonts w:ascii="IBM Plex Sans" w:hAnsi="IBM Plex Sans" w:cs="IBM Plex Sans"/>
                <w:b w:val="0"/>
                <w:i w:val="0"/>
                <w:color w:val="161412"/>
                <w:sz w:val="17"/>
              </w:rPr>
              <w:t>signal.notify + neutral</w:t>
            </w:r>
          </w:p>
        </w:tc>
        <w:tc>
          <w:tcPr>
            <w:tcW w:type="dxa" w:w="2772"/>
          </w:tcPr>
          <w:p>
            <w:pPr>
              <w:spacing w:after="40"/>
            </w:pPr>
            <w:r>
              <w:rPr>
                <w:sz w:val="17"/>
              </w:rPr>
            </w:r>
            <w:r>
              <w:rPr>
                <w:rFonts w:ascii="IBM Plex Sans" w:hAnsi="IBM Plex Sans" w:cs="IBM Plex Sans"/>
                <w:b w:val="0"/>
                <w:i w:val="0"/>
                <w:color w:val="161412"/>
                <w:sz w:val="17"/>
              </w:rPr>
              <w:t>media</w:t>
            </w:r>
          </w:p>
        </w:tc>
        <w:tc>
          <w:tcPr>
            <w:tcW w:type="dxa" w:w="2772"/>
          </w:tcPr>
          <w:p>
            <w:pPr>
              <w:spacing w:after="40"/>
            </w:pPr>
            <w:r>
              <w:rPr>
                <w:sz w:val="17"/>
              </w:rPr>
            </w:r>
            <w:r>
              <w:rPr>
                <w:rFonts w:ascii="IBM Plex Sans" w:hAnsi="IBM Plex Sans" w:cs="IBM Plex Sans"/>
                <w:b w:val="0"/>
                <w:i w:val="0"/>
                <w:color w:val="161412"/>
                <w:sz w:val="17"/>
              </w:rPr>
              <w:t>controlada</w:t>
            </w:r>
          </w:p>
        </w:tc>
      </w:tr>
      <w:tr>
        <w:tc>
          <w:tcPr>
            <w:tcW w:type="dxa" w:w="2772"/>
          </w:tcPr>
          <w:p>
            <w:pPr>
              <w:spacing w:after="40"/>
            </w:pPr>
            <w:r>
              <w:rPr>
                <w:sz w:val="17"/>
              </w:rPr>
            </w:r>
            <w:r>
              <w:rPr>
                <w:rFonts w:ascii="IBM Plex Sans" w:hAnsi="IBM Plex Sans" w:cs="IBM Plex Sans"/>
                <w:b w:val="0"/>
                <w:i w:val="0"/>
                <w:color w:val="161412"/>
                <w:sz w:val="17"/>
              </w:rPr>
              <w:t>signal.warn + risk</w:t>
            </w:r>
          </w:p>
        </w:tc>
        <w:tc>
          <w:tcPr>
            <w:tcW w:type="dxa" w:w="2772"/>
          </w:tcPr>
          <w:p>
            <w:pPr>
              <w:spacing w:after="40"/>
            </w:pPr>
            <w:r>
              <w:rPr>
                <w:sz w:val="17"/>
              </w:rPr>
            </w:r>
            <w:r>
              <w:rPr>
                <w:rFonts w:ascii="IBM Plex Sans" w:hAnsi="IBM Plex Sans" w:cs="IBM Plex Sans"/>
                <w:b w:val="0"/>
                <w:i w:val="0"/>
                <w:color w:val="161412"/>
                <w:sz w:val="17"/>
              </w:rPr>
              <w:t>media-baja</w:t>
            </w:r>
          </w:p>
        </w:tc>
        <w:tc>
          <w:tcPr>
            <w:tcW w:type="dxa" w:w="2772"/>
          </w:tcPr>
          <w:p>
            <w:pPr>
              <w:spacing w:after="40"/>
            </w:pPr>
            <w:r>
              <w:rPr>
                <w:sz w:val="17"/>
              </w:rPr>
            </w:r>
            <w:r>
              <w:rPr>
                <w:rFonts w:ascii="IBM Plex Sans" w:hAnsi="IBM Plex Sans" w:cs="IBM Plex Sans"/>
                <w:b w:val="0"/>
                <w:i w:val="0"/>
                <w:color w:val="161412"/>
                <w:sz w:val="17"/>
              </w:rPr>
              <w:t>clara</w:t>
            </w:r>
          </w:p>
        </w:tc>
      </w:tr>
      <w:tr>
        <w:tc>
          <w:tcPr>
            <w:tcW w:type="dxa" w:w="2772"/>
          </w:tcPr>
          <w:p>
            <w:pPr>
              <w:spacing w:after="40"/>
            </w:pPr>
            <w:r>
              <w:rPr>
                <w:sz w:val="17"/>
              </w:rPr>
            </w:r>
            <w:r>
              <w:rPr>
                <w:rFonts w:ascii="IBM Plex Sans" w:hAnsi="IBM Plex Sans" w:cs="IBM Plex Sans"/>
                <w:b w:val="0"/>
                <w:i w:val="0"/>
                <w:color w:val="161412"/>
                <w:sz w:val="17"/>
              </w:rPr>
              <w:t>commit.complete + fulfill</w:t>
            </w:r>
          </w:p>
        </w:tc>
        <w:tc>
          <w:tcPr>
            <w:tcW w:type="dxa" w:w="2772"/>
          </w:tcPr>
          <w:p>
            <w:pPr>
              <w:spacing w:after="40"/>
            </w:pPr>
            <w:r>
              <w:rPr>
                <w:sz w:val="17"/>
              </w:rPr>
            </w:r>
            <w:r>
              <w:rPr>
                <w:rFonts w:ascii="IBM Plex Sans" w:hAnsi="IBM Plex Sans" w:cs="IBM Plex Sans"/>
                <w:b w:val="0"/>
                <w:i w:val="0"/>
                <w:color w:val="161412"/>
                <w:sz w:val="17"/>
              </w:rPr>
              <w:t>baja-media</w:t>
            </w:r>
          </w:p>
        </w:tc>
        <w:tc>
          <w:tcPr>
            <w:tcW w:type="dxa" w:w="2772"/>
          </w:tcPr>
          <w:p>
            <w:pPr>
              <w:spacing w:after="40"/>
            </w:pPr>
            <w:r>
              <w:rPr>
                <w:sz w:val="17"/>
              </w:rPr>
            </w:r>
            <w:r>
              <w:rPr>
                <w:rFonts w:ascii="IBM Plex Sans" w:hAnsi="IBM Plex Sans" w:cs="IBM Plex Sans"/>
                <w:b w:val="0"/>
                <w:i w:val="0"/>
                <w:color w:val="161412"/>
                <w:sz w:val="17"/>
              </w:rPr>
              <w:t>resolutiva</w:t>
            </w:r>
          </w:p>
        </w:tc>
      </w:tr>
      <w:tr>
        <w:tc>
          <w:tcPr>
            <w:tcW w:type="dxa" w:w="2772"/>
          </w:tcPr>
          <w:p>
            <w:pPr>
              <w:spacing w:after="40"/>
            </w:pPr>
            <w:r>
              <w:rPr>
                <w:sz w:val="17"/>
              </w:rPr>
            </w:r>
            <w:r>
              <w:rPr>
                <w:rFonts w:ascii="IBM Plex Sans" w:hAnsi="IBM Plex Sans" w:cs="IBM Plex Sans"/>
                <w:b w:val="0"/>
                <w:i w:val="0"/>
                <w:color w:val="161412"/>
                <w:sz w:val="17"/>
              </w:rPr>
              <w:t>signal.alert + threat</w:t>
            </w:r>
          </w:p>
        </w:tc>
        <w:tc>
          <w:tcPr>
            <w:tcW w:type="dxa" w:w="2772"/>
          </w:tcPr>
          <w:p>
            <w:pPr>
              <w:spacing w:after="40"/>
            </w:pPr>
            <w:r>
              <w:rPr>
                <w:sz w:val="17"/>
              </w:rPr>
            </w:r>
            <w:r>
              <w:rPr>
                <w:rFonts w:ascii="IBM Plex Sans" w:hAnsi="IBM Plex Sans" w:cs="IBM Plex Sans"/>
                <w:b w:val="0"/>
                <w:i w:val="0"/>
                <w:color w:val="161412"/>
                <w:sz w:val="17"/>
              </w:rPr>
              <w:t>baja</w:t>
            </w:r>
          </w:p>
        </w:tc>
        <w:tc>
          <w:tcPr>
            <w:tcW w:type="dxa" w:w="2772"/>
          </w:tcPr>
          <w:p>
            <w:pPr>
              <w:spacing w:after="40"/>
            </w:pPr>
            <w:r>
              <w:rPr>
                <w:sz w:val="17"/>
              </w:rPr>
            </w:r>
            <w:r>
              <w:rPr>
                <w:rFonts w:ascii="IBM Plex Sans" w:hAnsi="IBM Plex Sans" w:cs="IBM Plex Sans"/>
                <w:b w:val="0"/>
                <w:i w:val="0"/>
                <w:color w:val="161412"/>
                <w:sz w:val="17"/>
              </w:rPr>
              <w:t>alta, pero breve</w:t>
            </w:r>
          </w:p>
        </w:tc>
      </w:tr>
      <w:tr>
        <w:tc>
          <w:tcPr>
            <w:tcW w:type="dxa" w:w="2772"/>
          </w:tcPr>
          <w:p>
            <w:pPr>
              <w:spacing w:after="40"/>
            </w:pPr>
            <w:r>
              <w:rPr>
                <w:sz w:val="17"/>
              </w:rPr>
            </w:r>
            <w:r>
              <w:rPr>
                <w:rFonts w:ascii="IBM Plex Sans" w:hAnsi="IBM Plex Sans" w:cs="IBM Plex Sans"/>
                <w:b w:val="0"/>
                <w:i w:val="0"/>
                <w:color w:val="161412"/>
                <w:sz w:val="17"/>
              </w:rPr>
              <w:t>commit.delete + loss</w:t>
            </w:r>
          </w:p>
        </w:tc>
        <w:tc>
          <w:tcPr>
            <w:tcW w:type="dxa" w:w="2772"/>
          </w:tcPr>
          <w:p>
            <w:pPr>
              <w:spacing w:after="40"/>
            </w:pPr>
            <w:r>
              <w:rPr>
                <w:sz w:val="17"/>
              </w:rPr>
            </w:r>
            <w:r>
              <w:rPr>
                <w:rFonts w:ascii="IBM Plex Sans" w:hAnsi="IBM Plex Sans" w:cs="IBM Plex Sans"/>
                <w:b w:val="0"/>
                <w:i w:val="0"/>
                <w:color w:val="161412"/>
                <w:sz w:val="17"/>
              </w:rPr>
              <w:t>baja</w:t>
            </w:r>
          </w:p>
        </w:tc>
        <w:tc>
          <w:tcPr>
            <w:tcW w:type="dxa" w:w="2772"/>
          </w:tcPr>
          <w:p>
            <w:pPr>
              <w:spacing w:after="40"/>
            </w:pPr>
            <w:r>
              <w:rPr>
                <w:sz w:val="17"/>
              </w:rPr>
            </w:r>
            <w:r>
              <w:rPr>
                <w:rFonts w:ascii="IBM Plex Sans" w:hAnsi="IBM Plex Sans" w:cs="IBM Plex Sans"/>
                <w:b w:val="0"/>
                <w:i w:val="0"/>
                <w:color w:val="161412"/>
                <w:sz w:val="17"/>
              </w:rPr>
              <w:t>grave, con huella</w:t>
            </w:r>
          </w:p>
        </w:tc>
      </w:tr>
    </w:tbl>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La gramática debe tener memoria de frecuencia. No todo evento puede pedir atención como si fuera único.</w:t>
      </w:r>
    </w:p>
    <w:p>
      <w:pPr>
        <w:spacing w:before="320" w:after="40"/>
      </w:pPr>
      <w:r>
        <w:rPr>
          <w:rFonts w:ascii="IBM Plex Sans" w:hAnsi="IBM Plex Sans" w:cs="IBM Plex Sans"/>
          <w:b/>
          <w:color w:val="1F3A5F"/>
          <w:sz w:val="18"/>
        </w:rPr>
        <w:t xml:space="preserve">§ 12</w:t>
      </w:r>
    </w:p>
    <w:p>
      <w:pPr>
        <w:spacing w:after="160" w:line="240" w:lineRule="auto"/>
      </w:pPr>
      <w:r>
        <w:rPr>
          <w:rFonts w:ascii="Newsreader" w:hAnsi="Newsreader" w:cs="Newsreader"/>
          <w:color w:val="161412"/>
          <w:sz w:val="38"/>
        </w:rPr>
        <w:t xml:space="preserve">Rangos y accesibilidad</w:t>
      </w:r>
    </w:p>
    <w:p>
      <w:pPr>
        <w:spacing w:after="120" w:line="320" w:lineRule="auto"/>
        <w:jc w:val="both"/>
      </w:pPr>
      <w:r>
        <w:rPr>
          <w:rFonts w:ascii="Newsreader" w:hAnsi="Newsreader" w:cs="Newsreader"/>
          <w:b w:val="0"/>
          <w:i w:val="0"/>
          <w:color w:val="161412"/>
        </w:rPr>
        <w:t xml:space="preserve">Los rangos también deben adaptarse a la accesibilidad. Un usuario puede necesitar más tiempo para leer una señal; otro, menos motion; otro puede tener el sonido desactivado; otro puede fatigarse con la vibración. Por eso los rangos no pueden ser fijos. Deben poder ajustarse mediante reduced motion, controles de sonido, duración suficiente de los mensajes, persistencia de los estados importantes, opción de cierre manual, ausencia de timeouts injustificados y alternativas a las señales efímeras.</w:t>
      </w:r>
    </w:p>
    <w:p>
      <w:pPr>
        <w:spacing w:after="120" w:line="320" w:lineRule="auto"/>
        <w:jc w:val="both"/>
      </w:pPr>
      <w:r>
        <w:rPr>
          <w:rFonts w:ascii="Newsreader" w:hAnsi="Newsreader" w:cs="Newsreader"/>
          <w:b w:val="0"/>
          <w:i w:val="0"/>
          <w:color w:val="161412"/>
        </w:rPr>
        <w:t xml:space="preserve">Una señal importante no debería desaparecer antes de que el usuario haya tenido una oportunidad razonable de procesarla.</w:t>
      </w:r>
    </w:p>
    <w:p>
      <w:pPr>
        <w:spacing w:before="320" w:after="40"/>
      </w:pPr>
      <w:r>
        <w:rPr>
          <w:rFonts w:ascii="IBM Plex Sans" w:hAnsi="IBM Plex Sans" w:cs="IBM Plex Sans"/>
          <w:b/>
          <w:color w:val="1F3A5F"/>
          <w:sz w:val="18"/>
        </w:rPr>
        <w:t xml:space="preserve">§ 13</w:t>
      </w:r>
    </w:p>
    <w:p>
      <w:pPr>
        <w:spacing w:after="160" w:line="240" w:lineRule="auto"/>
      </w:pPr>
      <w:r>
        <w:rPr>
          <w:rFonts w:ascii="Newsreader" w:hAnsi="Newsreader" w:cs="Newsreader"/>
          <w:color w:val="161412"/>
          <w:sz w:val="38"/>
        </w:rPr>
        <w:t xml:space="preserve">Tabla síntesis de rangos</w:t>
      </w:r>
    </w:p>
    <w:p>
      <w:pPr>
        <w:spacing w:after="120" w:line="320" w:lineRule="auto"/>
        <w:jc w:val="both"/>
      </w:pPr>
      <w:r>
        <w:rPr>
          <w:rFonts w:ascii="Newsreader" w:hAnsi="Newsreader" w:cs="Newsreader"/>
          <w:b w:val="0"/>
          <w:i w:val="0"/>
          <w:color w:val="161412"/>
        </w:rPr>
        <w:t xml:space="preserve">Los rangos del capítulo, condensados por familia e intent:</w:t>
      </w:r>
    </w:p>
    <w:p>
      <w:pPr>
        <w:spacing w:after="200" w:before="40"/>
      </w:pPr>
      <w:r>
        <w:rPr>
          <w:rFonts w:ascii="IBM Plex Sans" w:hAnsi="IBM Plex Sans" w:cs="IBM Plex Sans"/>
          <w:b/>
          <w:color w:val="1F3A5F"/>
          <w:sz w:val="17"/>
        </w:rPr>
        <w:t xml:space="preserve">TABLA 32.5   </w:t>
      </w:r>
      <w:r>
        <w:rPr>
          <w:rFonts w:ascii="IBM Plex Sans" w:hAnsi="IBM Plex Sans" w:cs="IBM Plex Sans"/>
          <w:color w:val="3A352F"/>
          <w:sz w:val="18"/>
        </w:rPr>
        <w:t xml:space="preserve">Rangos orientativos por familia e intent</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FAMILIA / INTENT</w:t>
            </w:r>
          </w:p>
        </w:tc>
        <w:tc>
          <w:tcPr>
            <w:tcW w:type="dxa" w:w="2772"/>
            <w:shd w:val="clear" w:color="auto" w:fill="EAE4D8"/>
          </w:tcPr>
          <w:p>
            <w:pPr>
              <w:spacing w:after="40"/>
            </w:pPr>
            <w:r>
              <w:rPr>
                <w:sz w:val="17"/>
              </w:rPr>
            </w:r>
            <w:r>
              <w:rPr>
                <w:rFonts w:ascii="IBM Plex Sans" w:hAnsi="IBM Plex Sans" w:cs="IBM Plex Sans"/>
                <w:b/>
                <w:i w:val="0"/>
                <w:color w:val="1F3A5F"/>
                <w:sz w:val="17"/>
              </w:rPr>
              <w:t>RANGO ORIENTATIVO</w:t>
            </w:r>
          </w:p>
        </w:tc>
        <w:tc>
          <w:tcPr>
            <w:tcW w:type="dxa" w:w="2772"/>
            <w:shd w:val="clear" w:color="auto" w:fill="EAE4D8"/>
          </w:tcPr>
          <w:p>
            <w:pPr>
              <w:spacing w:after="40"/>
            </w:pPr>
            <w:r>
              <w:rPr>
                <w:sz w:val="17"/>
              </w:rPr>
            </w:r>
            <w:r>
              <w:rPr>
                <w:rFonts w:ascii="IBM Plex Sans" w:hAnsi="IBM Plex Sans" w:cs="IBM Plex Sans"/>
                <w:b/>
                <w:i w:val="0"/>
                <w:color w:val="1F3A5F"/>
                <w:sz w:val="17"/>
              </w:rPr>
              <w:t>EVITAR</w:t>
            </w:r>
          </w:p>
        </w:tc>
      </w:tr>
      <w:tr>
        <w:tc>
          <w:tcPr>
            <w:tcW w:type="dxa" w:w="2772"/>
          </w:tcPr>
          <w:p>
            <w:pPr>
              <w:spacing w:after="40"/>
            </w:pPr>
            <w:r>
              <w:rPr>
                <w:sz w:val="17"/>
              </w:rPr>
            </w:r>
            <w:r>
              <w:rPr>
                <w:rFonts w:ascii="IBM Plex Sans" w:hAnsi="IBM Plex Sans" w:cs="IBM Plex Sans"/>
                <w:b w:val="0"/>
                <w:i w:val="0"/>
                <w:color w:val="161412"/>
                <w:sz w:val="17"/>
              </w:rPr>
              <w:t>contact</w:t>
            </w:r>
          </w:p>
        </w:tc>
        <w:tc>
          <w:tcPr>
            <w:tcW w:type="dxa" w:w="2772"/>
          </w:tcPr>
          <w:p>
            <w:pPr>
              <w:spacing w:after="40"/>
            </w:pPr>
            <w:r>
              <w:rPr>
                <w:sz w:val="17"/>
              </w:rPr>
            </w:r>
            <w:r>
              <w:rPr>
                <w:rFonts w:ascii="IBM Plex Sans" w:hAnsi="IBM Plex Sans" w:cs="IBM Plex Sans"/>
                <w:b w:val="0"/>
                <w:i w:val="0"/>
                <w:color w:val="161412"/>
                <w:sz w:val="17"/>
              </w:rPr>
              <w:t>inmediato, muy breve</w:t>
            </w:r>
          </w:p>
        </w:tc>
        <w:tc>
          <w:tcPr>
            <w:tcW w:type="dxa" w:w="2772"/>
          </w:tcPr>
          <w:p>
            <w:pPr>
              <w:spacing w:after="40"/>
            </w:pPr>
            <w:r>
              <w:rPr>
                <w:sz w:val="17"/>
              </w:rPr>
            </w:r>
            <w:r>
              <w:rPr>
                <w:rFonts w:ascii="IBM Plex Sans" w:hAnsi="IBM Plex Sans" w:cs="IBM Plex Sans"/>
                <w:b w:val="0"/>
                <w:i w:val="0"/>
                <w:color w:val="161412"/>
                <w:sz w:val="17"/>
              </w:rPr>
              <w:t>retraso o teatralización</w:t>
            </w:r>
          </w:p>
        </w:tc>
      </w:tr>
      <w:tr>
        <w:tc>
          <w:tcPr>
            <w:tcW w:type="dxa" w:w="2772"/>
          </w:tcPr>
          <w:p>
            <w:pPr>
              <w:spacing w:after="40"/>
            </w:pPr>
            <w:r>
              <w:rPr>
                <w:sz w:val="17"/>
              </w:rPr>
            </w:r>
            <w:r>
              <w:rPr>
                <w:rFonts w:ascii="IBM Plex Sans" w:hAnsi="IBM Plex Sans" w:cs="IBM Plex Sans"/>
                <w:b w:val="0"/>
                <w:i w:val="0"/>
                <w:color w:val="161412"/>
                <w:sz w:val="17"/>
              </w:rPr>
              <w:t>commit + affirm</w:t>
            </w:r>
          </w:p>
        </w:tc>
        <w:tc>
          <w:tcPr>
            <w:tcW w:type="dxa" w:w="2772"/>
          </w:tcPr>
          <w:p>
            <w:pPr>
              <w:spacing w:after="40"/>
            </w:pPr>
            <w:r>
              <w:rPr>
                <w:sz w:val="17"/>
              </w:rPr>
            </w:r>
            <w:r>
              <w:rPr>
                <w:rFonts w:ascii="IBM Plex Sans" w:hAnsi="IBM Plex Sans" w:cs="IBM Plex Sans"/>
                <w:b w:val="0"/>
                <w:i w:val="0"/>
                <w:color w:val="161412"/>
                <w:sz w:val="17"/>
              </w:rPr>
              <w:t>breve y discreto</w:t>
            </w:r>
          </w:p>
        </w:tc>
        <w:tc>
          <w:tcPr>
            <w:tcW w:type="dxa" w:w="2772"/>
          </w:tcPr>
          <w:p>
            <w:pPr>
              <w:spacing w:after="40"/>
            </w:pPr>
            <w:r>
              <w:rPr>
                <w:sz w:val="17"/>
              </w:rPr>
            </w:r>
            <w:r>
              <w:rPr>
                <w:rFonts w:ascii="IBM Plex Sans" w:hAnsi="IBM Plex Sans" w:cs="IBM Plex Sans"/>
                <w:b w:val="0"/>
                <w:i w:val="0"/>
                <w:color w:val="161412"/>
                <w:sz w:val="17"/>
              </w:rPr>
              <w:t>celebración</w:t>
            </w:r>
          </w:p>
        </w:tc>
      </w:tr>
      <w:tr>
        <w:tc>
          <w:tcPr>
            <w:tcW w:type="dxa" w:w="2772"/>
          </w:tcPr>
          <w:p>
            <w:pPr>
              <w:spacing w:after="40"/>
            </w:pPr>
            <w:r>
              <w:rPr>
                <w:sz w:val="17"/>
              </w:rPr>
            </w:r>
            <w:r>
              <w:rPr>
                <w:rFonts w:ascii="IBM Plex Sans" w:hAnsi="IBM Plex Sans" w:cs="IBM Plex Sans"/>
                <w:b w:val="0"/>
                <w:i w:val="0"/>
                <w:color w:val="161412"/>
                <w:sz w:val="17"/>
              </w:rPr>
              <w:t>commit + fulfill</w:t>
            </w:r>
          </w:p>
        </w:tc>
        <w:tc>
          <w:tcPr>
            <w:tcW w:type="dxa" w:w="2772"/>
          </w:tcPr>
          <w:p>
            <w:pPr>
              <w:spacing w:after="40"/>
            </w:pPr>
            <w:r>
              <w:rPr>
                <w:sz w:val="17"/>
              </w:rPr>
            </w:r>
            <w:r>
              <w:rPr>
                <w:rFonts w:ascii="IBM Plex Sans" w:hAnsi="IBM Plex Sans" w:cs="IBM Plex Sans"/>
                <w:b w:val="0"/>
                <w:i w:val="0"/>
                <w:color w:val="161412"/>
                <w:sz w:val="17"/>
              </w:rPr>
              <w:t>breve-media, resolutivo</w:t>
            </w:r>
          </w:p>
        </w:tc>
        <w:tc>
          <w:tcPr>
            <w:tcW w:type="dxa" w:w="2772"/>
          </w:tcPr>
          <w:p>
            <w:pPr>
              <w:spacing w:after="40"/>
            </w:pPr>
            <w:r>
              <w:rPr>
                <w:sz w:val="17"/>
              </w:rPr>
            </w:r>
            <w:r>
              <w:rPr>
                <w:rFonts w:ascii="IBM Plex Sans" w:hAnsi="IBM Plex Sans" w:cs="IBM Plex Sans"/>
                <w:b w:val="0"/>
                <w:i w:val="0"/>
                <w:color w:val="161412"/>
                <w:sz w:val="17"/>
              </w:rPr>
              <w:t>trivialidad o espectáculo</w:t>
            </w:r>
          </w:p>
        </w:tc>
      </w:tr>
      <w:tr>
        <w:tc>
          <w:tcPr>
            <w:tcW w:type="dxa" w:w="2772"/>
          </w:tcPr>
          <w:p>
            <w:pPr>
              <w:spacing w:after="40"/>
            </w:pPr>
            <w:r>
              <w:rPr>
                <w:sz w:val="17"/>
              </w:rPr>
            </w:r>
            <w:r>
              <w:rPr>
                <w:rFonts w:ascii="IBM Plex Sans" w:hAnsi="IBM Plex Sans" w:cs="IBM Plex Sans"/>
                <w:b w:val="0"/>
                <w:i w:val="0"/>
                <w:color w:val="161412"/>
                <w:sz w:val="17"/>
              </w:rPr>
              <w:t>signal + risk</w:t>
            </w:r>
          </w:p>
        </w:tc>
        <w:tc>
          <w:tcPr>
            <w:tcW w:type="dxa" w:w="2772"/>
          </w:tcPr>
          <w:p>
            <w:pPr>
              <w:spacing w:after="40"/>
            </w:pPr>
            <w:r>
              <w:rPr>
                <w:sz w:val="17"/>
              </w:rPr>
            </w:r>
            <w:r>
              <w:rPr>
                <w:rFonts w:ascii="IBM Plex Sans" w:hAnsi="IBM Plex Sans" w:cs="IBM Plex Sans"/>
                <w:b w:val="0"/>
                <w:i w:val="0"/>
                <w:color w:val="161412"/>
                <w:sz w:val="17"/>
              </w:rPr>
              <w:t>persistente hasta corrección</w:t>
            </w:r>
          </w:p>
        </w:tc>
        <w:tc>
          <w:tcPr>
            <w:tcW w:type="dxa" w:w="2772"/>
          </w:tcPr>
          <w:p>
            <w:pPr>
              <w:spacing w:after="40"/>
            </w:pPr>
            <w:r>
              <w:rPr>
                <w:sz w:val="17"/>
              </w:rPr>
            </w:r>
            <w:r>
              <w:rPr>
                <w:rFonts w:ascii="IBM Plex Sans" w:hAnsi="IBM Plex Sans" w:cs="IBM Plex Sans"/>
                <w:b w:val="0"/>
                <w:i w:val="0"/>
                <w:color w:val="161412"/>
                <w:sz w:val="17"/>
              </w:rPr>
              <w:t>desaparición rápida</w:t>
            </w:r>
          </w:p>
        </w:tc>
      </w:tr>
      <w:tr>
        <w:tc>
          <w:tcPr>
            <w:tcW w:type="dxa" w:w="2772"/>
          </w:tcPr>
          <w:p>
            <w:pPr>
              <w:spacing w:after="40"/>
            </w:pPr>
            <w:r>
              <w:rPr>
                <w:sz w:val="17"/>
              </w:rPr>
            </w:r>
            <w:r>
              <w:rPr>
                <w:rFonts w:ascii="IBM Plex Sans" w:hAnsi="IBM Plex Sans" w:cs="IBM Plex Sans"/>
                <w:b w:val="0"/>
                <w:i w:val="0"/>
                <w:color w:val="161412"/>
                <w:sz w:val="17"/>
              </w:rPr>
              <w:t>signal + threat</w:t>
            </w:r>
          </w:p>
        </w:tc>
        <w:tc>
          <w:tcPr>
            <w:tcW w:type="dxa" w:w="2772"/>
          </w:tcPr>
          <w:p>
            <w:pPr>
              <w:spacing w:after="40"/>
            </w:pPr>
            <w:r>
              <w:rPr>
                <w:sz w:val="17"/>
              </w:rPr>
            </w:r>
            <w:r>
              <w:rPr>
                <w:rFonts w:ascii="IBM Plex Sans" w:hAnsi="IBM Plex Sans" w:cs="IBM Plex Sans"/>
                <w:b w:val="0"/>
                <w:i w:val="0"/>
                <w:color w:val="161412"/>
                <w:sz w:val="17"/>
              </w:rPr>
              <w:t>entrada rápida + persistencia sobria</w:t>
            </w:r>
          </w:p>
        </w:tc>
        <w:tc>
          <w:tcPr>
            <w:tcW w:type="dxa" w:w="2772"/>
          </w:tcPr>
          <w:p>
            <w:pPr>
              <w:spacing w:after="40"/>
            </w:pPr>
            <w:r>
              <w:rPr>
                <w:sz w:val="17"/>
              </w:rPr>
            </w:r>
            <w:r>
              <w:rPr>
                <w:rFonts w:ascii="IBM Plex Sans" w:hAnsi="IBM Plex Sans" w:cs="IBM Plex Sans"/>
                <w:b w:val="0"/>
                <w:i w:val="0"/>
                <w:color w:val="161412"/>
                <w:sz w:val="17"/>
              </w:rPr>
              <w:t>alarma sostenida</w:t>
            </w:r>
          </w:p>
        </w:tc>
      </w:tr>
      <w:tr>
        <w:tc>
          <w:tcPr>
            <w:tcW w:type="dxa" w:w="2772"/>
          </w:tcPr>
          <w:p>
            <w:pPr>
              <w:spacing w:after="40"/>
            </w:pPr>
            <w:r>
              <w:rPr>
                <w:sz w:val="17"/>
              </w:rPr>
            </w:r>
            <w:r>
              <w:rPr>
                <w:rFonts w:ascii="IBM Plex Sans" w:hAnsi="IBM Plex Sans" w:cs="IBM Plex Sans"/>
                <w:b w:val="0"/>
                <w:i w:val="0"/>
                <w:color w:val="161412"/>
                <w:sz w:val="17"/>
              </w:rPr>
              <w:t>commit + loss</w:t>
            </w:r>
          </w:p>
        </w:tc>
        <w:tc>
          <w:tcPr>
            <w:tcW w:type="dxa" w:w="2772"/>
          </w:tcPr>
          <w:p>
            <w:pPr>
              <w:spacing w:after="40"/>
            </w:pPr>
            <w:r>
              <w:rPr>
                <w:sz w:val="17"/>
              </w:rPr>
            </w:r>
            <w:r>
              <w:rPr>
                <w:rFonts w:ascii="IBM Plex Sans" w:hAnsi="IBM Plex Sans" w:cs="IBM Plex Sans"/>
                <w:b w:val="0"/>
                <w:i w:val="0"/>
                <w:color w:val="161412"/>
                <w:sz w:val="17"/>
              </w:rPr>
              <w:t>breve + huella</w:t>
            </w:r>
          </w:p>
        </w:tc>
        <w:tc>
          <w:tcPr>
            <w:tcW w:type="dxa" w:w="2772"/>
          </w:tcPr>
          <w:p>
            <w:pPr>
              <w:spacing w:after="40"/>
            </w:pPr>
            <w:r>
              <w:rPr>
                <w:sz w:val="17"/>
              </w:rPr>
            </w:r>
            <w:r>
              <w:rPr>
                <w:rFonts w:ascii="IBM Plex Sans" w:hAnsi="IBM Plex Sans" w:cs="IBM Plex Sans"/>
                <w:b w:val="0"/>
                <w:i w:val="0"/>
                <w:color w:val="161412"/>
                <w:sz w:val="17"/>
              </w:rPr>
              <w:t>desaparición sin registro</w:t>
            </w:r>
          </w:p>
        </w:tc>
      </w:tr>
      <w:tr>
        <w:tc>
          <w:tcPr>
            <w:tcW w:type="dxa" w:w="2772"/>
          </w:tcPr>
          <w:p>
            <w:pPr>
              <w:spacing w:after="40"/>
            </w:pPr>
            <w:r>
              <w:rPr>
                <w:sz w:val="17"/>
              </w:rPr>
            </w:r>
            <w:r>
              <w:rPr>
                <w:rFonts w:ascii="IBM Plex Sans" w:hAnsi="IBM Plex Sans" w:cs="IBM Plex Sans"/>
                <w:b w:val="0"/>
                <w:i w:val="0"/>
                <w:color w:val="161412"/>
                <w:sz w:val="17"/>
              </w:rPr>
              <w:t>handle</w:t>
            </w:r>
          </w:p>
        </w:tc>
        <w:tc>
          <w:tcPr>
            <w:tcW w:type="dxa" w:w="2772"/>
          </w:tcPr>
          <w:p>
            <w:pPr>
              <w:spacing w:after="40"/>
            </w:pPr>
            <w:r>
              <w:rPr>
                <w:sz w:val="17"/>
              </w:rPr>
            </w:r>
            <w:r>
              <w:rPr>
                <w:rFonts w:ascii="IBM Plex Sans" w:hAnsi="IBM Plex Sans" w:cs="IBM Plex Sans"/>
                <w:b w:val="0"/>
                <w:i w:val="0"/>
                <w:color w:val="161412"/>
                <w:sz w:val="17"/>
              </w:rPr>
              <w:t>latencia mínima continua</w:t>
            </w:r>
          </w:p>
        </w:tc>
        <w:tc>
          <w:tcPr>
            <w:tcW w:type="dxa" w:w="2772"/>
          </w:tcPr>
          <w:p>
            <w:pPr>
              <w:spacing w:after="40"/>
            </w:pPr>
            <w:r>
              <w:rPr>
                <w:sz w:val="17"/>
              </w:rPr>
            </w:r>
            <w:r>
              <w:rPr>
                <w:rFonts w:ascii="IBM Plex Sans" w:hAnsi="IBM Plex Sans" w:cs="IBM Plex Sans"/>
                <w:b w:val="0"/>
                <w:i w:val="0"/>
                <w:color w:val="161412"/>
                <w:sz w:val="17"/>
              </w:rPr>
              <w:t>lag o evaluación durante carry</w:t>
            </w:r>
          </w:p>
        </w:tc>
      </w:tr>
      <w:tr>
        <w:tc>
          <w:tcPr>
            <w:tcW w:type="dxa" w:w="2772"/>
          </w:tcPr>
          <w:p>
            <w:pPr>
              <w:spacing w:after="40"/>
            </w:pPr>
            <w:r>
              <w:rPr>
                <w:sz w:val="17"/>
              </w:rPr>
            </w:r>
            <w:r>
              <w:rPr>
                <w:rFonts w:ascii="IBM Plex Sans" w:hAnsi="IBM Plex Sans" w:cs="IBM Plex Sans"/>
                <w:b w:val="0"/>
                <w:i w:val="0"/>
                <w:color w:val="161412"/>
                <w:sz w:val="17"/>
              </w:rPr>
              <w:t>emerge</w:t>
            </w:r>
          </w:p>
        </w:tc>
        <w:tc>
          <w:tcPr>
            <w:tcW w:type="dxa" w:w="2772"/>
          </w:tcPr>
          <w:p>
            <w:pPr>
              <w:spacing w:after="40"/>
            </w:pPr>
            <w:r>
              <w:rPr>
                <w:sz w:val="17"/>
              </w:rPr>
            </w:r>
            <w:r>
              <w:rPr>
                <w:rFonts w:ascii="IBM Plex Sans" w:hAnsi="IBM Plex Sans" w:cs="IBM Plex Sans"/>
                <w:b w:val="0"/>
                <w:i w:val="0"/>
                <w:color w:val="161412"/>
                <w:sz w:val="17"/>
              </w:rPr>
              <w:t>entrada/salida ligera</w:t>
            </w:r>
          </w:p>
        </w:tc>
        <w:tc>
          <w:tcPr>
            <w:tcW w:type="dxa" w:w="2772"/>
          </w:tcPr>
          <w:p>
            <w:pPr>
              <w:spacing w:after="40"/>
            </w:pPr>
            <w:r>
              <w:rPr>
                <w:sz w:val="17"/>
              </w:rPr>
            </w:r>
            <w:r>
              <w:rPr>
                <w:rFonts w:ascii="IBM Plex Sans" w:hAnsi="IBM Plex Sans" w:cs="IBM Plex Sans"/>
                <w:b w:val="0"/>
                <w:i w:val="0"/>
                <w:color w:val="161412"/>
                <w:sz w:val="17"/>
              </w:rPr>
              <w:t>peso de modal</w:t>
            </w:r>
          </w:p>
        </w:tc>
      </w:tr>
      <w:tr>
        <w:tc>
          <w:tcPr>
            <w:tcW w:type="dxa" w:w="2772"/>
          </w:tcPr>
          <w:p>
            <w:pPr>
              <w:spacing w:after="40"/>
            </w:pPr>
            <w:r>
              <w:rPr>
                <w:sz w:val="17"/>
              </w:rPr>
            </w:r>
            <w:r>
              <w:rPr>
                <w:rFonts w:ascii="IBM Plex Sans" w:hAnsi="IBM Plex Sans" w:cs="IBM Plex Sans"/>
                <w:b w:val="0"/>
                <w:i w:val="0"/>
                <w:color w:val="161412"/>
                <w:sz w:val="17"/>
              </w:rPr>
              <w:t>shift</w:t>
            </w:r>
          </w:p>
        </w:tc>
        <w:tc>
          <w:tcPr>
            <w:tcW w:type="dxa" w:w="2772"/>
          </w:tcPr>
          <w:p>
            <w:pPr>
              <w:spacing w:after="40"/>
            </w:pPr>
            <w:r>
              <w:rPr>
                <w:sz w:val="17"/>
              </w:rPr>
            </w:r>
            <w:r>
              <w:rPr>
                <w:rFonts w:ascii="IBM Plex Sans" w:hAnsi="IBM Plex Sans" w:cs="IBM Plex Sans"/>
                <w:b w:val="0"/>
                <w:i w:val="0"/>
                <w:color w:val="161412"/>
                <w:sz w:val="17"/>
              </w:rPr>
              <w:t>transición orientadora</w:t>
            </w:r>
          </w:p>
        </w:tc>
        <w:tc>
          <w:tcPr>
            <w:tcW w:type="dxa" w:w="2772"/>
          </w:tcPr>
          <w:p>
            <w:pPr>
              <w:spacing w:after="40"/>
            </w:pPr>
            <w:r>
              <w:rPr>
                <w:sz w:val="17"/>
              </w:rPr>
            </w:r>
            <w:r>
              <w:rPr>
                <w:rFonts w:ascii="IBM Plex Sans" w:hAnsi="IBM Plex Sans" w:cs="IBM Plex Sans"/>
                <w:b w:val="0"/>
                <w:i w:val="0"/>
                <w:color w:val="161412"/>
                <w:sz w:val="17"/>
              </w:rPr>
              <w:t>cambio invisible</w:t>
            </w:r>
          </w:p>
        </w:tc>
      </w:tr>
      <w:tr>
        <w:tc>
          <w:tcPr>
            <w:tcW w:type="dxa" w:w="2772"/>
          </w:tcPr>
          <w:p>
            <w:pPr>
              <w:spacing w:after="40"/>
            </w:pPr>
            <w:r>
              <w:rPr>
                <w:sz w:val="17"/>
              </w:rPr>
            </w:r>
            <w:r>
              <w:rPr>
                <w:rFonts w:ascii="IBM Plex Sans" w:hAnsi="IBM Plex Sans" w:cs="IBM Plex Sans"/>
                <w:b w:val="0"/>
                <w:i w:val="0"/>
                <w:color w:val="161412"/>
                <w:sz w:val="17"/>
              </w:rPr>
              <w:t>sustain</w:t>
            </w:r>
          </w:p>
        </w:tc>
        <w:tc>
          <w:tcPr>
            <w:tcW w:type="dxa" w:w="2772"/>
          </w:tcPr>
          <w:p>
            <w:pPr>
              <w:spacing w:after="40"/>
            </w:pPr>
            <w:r>
              <w:rPr>
                <w:sz w:val="17"/>
              </w:rPr>
            </w:r>
            <w:r>
              <w:rPr>
                <w:rFonts w:ascii="IBM Plex Sans" w:hAnsi="IBM Plex Sans" w:cs="IBM Plex Sans"/>
                <w:b w:val="0"/>
                <w:i w:val="0"/>
                <w:color w:val="161412"/>
                <w:sz w:val="17"/>
              </w:rPr>
              <w:t>mientras dure proceso</w:t>
            </w:r>
          </w:p>
        </w:tc>
        <w:tc>
          <w:tcPr>
            <w:tcW w:type="dxa" w:w="2772"/>
          </w:tcPr>
          <w:p>
            <w:pPr>
              <w:spacing w:after="40"/>
            </w:pPr>
            <w:r>
              <w:rPr>
                <w:sz w:val="17"/>
              </w:rPr>
            </w:r>
            <w:r>
              <w:rPr>
                <w:rFonts w:ascii="IBM Plex Sans" w:hAnsi="IBM Plex Sans" w:cs="IBM Plex Sans"/>
                <w:b w:val="0"/>
                <w:i w:val="0"/>
                <w:color w:val="161412"/>
                <w:sz w:val="17"/>
              </w:rPr>
              <w:t>spinner eterno sin información</w:t>
            </w:r>
          </w:p>
        </w:tc>
      </w:tr>
    </w:tbl>
    <w:p>
      <w:pPr>
        <w:spacing w:before="320" w:after="40"/>
      </w:pPr>
      <w:r>
        <w:rPr>
          <w:rFonts w:ascii="IBM Plex Sans" w:hAnsi="IBM Plex Sans" w:cs="IBM Plex Sans"/>
          <w:b/>
          <w:color w:val="1F3A5F"/>
          <w:sz w:val="18"/>
        </w:rPr>
        <w:t xml:space="preserve">§ 14</w:t>
      </w:r>
    </w:p>
    <w:p>
      <w:pPr>
        <w:spacing w:after="160" w:line="240" w:lineRule="auto"/>
      </w:pPr>
      <w:r>
        <w:rPr>
          <w:rFonts w:ascii="Newsreader" w:hAnsi="Newsreader" w:cs="Newsreader"/>
          <w:color w:val="161412"/>
          <w:sz w:val="38"/>
        </w:rPr>
        <w:t xml:space="preserve">Antipatrones de rango</w:t>
      </w:r>
    </w:p>
    <w:p>
      <w:pPr>
        <w:spacing w:after="120" w:line="320" w:lineRule="auto"/>
        <w:jc w:val="both"/>
      </w:pPr>
      <w:r>
        <w:rPr>
          <w:rFonts w:ascii="Newsreader" w:hAnsi="Newsreader" w:cs="Newsreader"/>
          <w:b/>
          <w:i w:val="0"/>
          <w:color w:val="161412"/>
        </w:rPr>
        <w:t xml:space="preserve">Microfeedback lento.</w:t>
      </w:r>
      <w:r>
        <w:rPr>
          <w:rFonts w:ascii="Newsreader" w:hAnsi="Newsreader" w:cs="Newsreader"/>
          <w:b w:val="0"/>
          <w:i w:val="0"/>
          <w:color w:val="161412"/>
        </w:rPr>
        <w:t xml:space="preserve"> Un contact que empieza tarde: se pierde agencia.</w:t>
      </w:r>
    </w:p>
    <w:p>
      <w:pPr>
        <w:spacing w:after="120" w:line="320" w:lineRule="auto"/>
        <w:jc w:val="both"/>
      </w:pPr>
      <w:r>
        <w:rPr>
          <w:rFonts w:ascii="Newsreader" w:hAnsi="Newsreader" w:cs="Newsreader"/>
          <w:b/>
          <w:i w:val="0"/>
          <w:color w:val="161412"/>
        </w:rPr>
        <w:t xml:space="preserve">Confirmación excesiva.</w:t>
      </w:r>
      <w:r>
        <w:rPr>
          <w:rFonts w:ascii="Newsreader" w:hAnsi="Newsreader" w:cs="Newsreader"/>
          <w:b w:val="0"/>
          <w:i w:val="0"/>
          <w:color w:val="161412"/>
        </w:rPr>
        <w:t xml:space="preserve"> Un affirm que se celebra como fulfill: todo parece logro y nada lo parece.</w:t>
      </w:r>
    </w:p>
    <w:p>
      <w:pPr>
        <w:spacing w:after="120" w:line="320" w:lineRule="auto"/>
        <w:jc w:val="both"/>
      </w:pPr>
      <w:r>
        <w:rPr>
          <w:rFonts w:ascii="Newsreader" w:hAnsi="Newsreader" w:cs="Newsreader"/>
          <w:b/>
          <w:i w:val="0"/>
          <w:color w:val="161412"/>
        </w:rPr>
        <w:t xml:space="preserve">Warning fugaz.</w:t>
      </w:r>
      <w:r>
        <w:rPr>
          <w:rFonts w:ascii="Newsreader" w:hAnsi="Newsreader" w:cs="Newsreader"/>
          <w:b w:val="0"/>
          <w:i w:val="0"/>
          <w:color w:val="161412"/>
        </w:rPr>
        <w:t xml:space="preserve"> Un risk que desaparece antes de poder corregir: el usuario no puede actuar sobre lo que ya no ve.</w:t>
      </w:r>
    </w:p>
    <w:p>
      <w:pPr>
        <w:spacing w:after="120" w:line="320" w:lineRule="auto"/>
        <w:jc w:val="both"/>
      </w:pPr>
      <w:r>
        <w:rPr>
          <w:rFonts w:ascii="Newsreader" w:hAnsi="Newsreader" w:cs="Newsreader"/>
          <w:b/>
          <w:i w:val="0"/>
          <w:color w:val="161412"/>
        </w:rPr>
        <w:t xml:space="preserve">Threat infinito.</w:t>
      </w:r>
      <w:r>
        <w:rPr>
          <w:rFonts w:ascii="Newsreader" w:hAnsi="Newsreader" w:cs="Newsreader"/>
          <w:b w:val="0"/>
          <w:i w:val="0"/>
          <w:color w:val="161412"/>
        </w:rPr>
        <w:t xml:space="preserve"> Una alerta de sesión que suena en bucle, vibra el dispositivo y parpadea sin control. El usuario no puede silenciarla sin atender; si está en una reunión, en transporte público o con auriculares, la señal se convierte en agresión. El problema no es la amenaza —la sesión sí puede expirar—, sino que la intensidad no tiene techo ni control. La entrada puede ser saliente, pero la persistencia debe ser sobria: presencia visual firme, texto claro, sonido breve si procede, y después silencio mientras la alerta siga visible.</w:t>
      </w:r>
    </w:p>
    <w:p>
      <w:pPr>
        <w:spacing w:after="120" w:line="320" w:lineRule="auto"/>
        <w:jc w:val="both"/>
      </w:pPr>
      <w:r>
        <w:rPr>
          <w:rFonts w:ascii="Newsreader" w:hAnsi="Newsreader" w:cs="Newsreader"/>
          <w:b/>
          <w:i w:val="0"/>
          <w:color w:val="161412"/>
        </w:rPr>
        <w:t xml:space="preserve">Loss sin huella.</w:t>
      </w:r>
      <w:r>
        <w:rPr>
          <w:rFonts w:ascii="Newsreader" w:hAnsi="Newsreader" w:cs="Newsreader"/>
          <w:b w:val="0"/>
          <w:i w:val="0"/>
          <w:color w:val="161412"/>
        </w:rPr>
        <w:t xml:space="preserve"> Algo se elimina y desaparece sin rastro: la pérdida se confunde con ocultación.</w:t>
      </w:r>
    </w:p>
    <w:p>
      <w:pPr>
        <w:spacing w:after="120" w:line="320" w:lineRule="auto"/>
        <w:jc w:val="both"/>
      </w:pPr>
      <w:r>
        <w:rPr>
          <w:rFonts w:ascii="Newsreader" w:hAnsi="Newsreader" w:cs="Newsreader"/>
          <w:b/>
          <w:i w:val="0"/>
          <w:color w:val="161412"/>
        </w:rPr>
        <w:t xml:space="preserve">Spinner eterno.</w:t>
      </w:r>
      <w:r>
        <w:rPr>
          <w:rFonts w:ascii="Newsreader" w:hAnsi="Newsreader" w:cs="Newsreader"/>
          <w:b w:val="0"/>
          <w:i w:val="0"/>
          <w:color w:val="161412"/>
        </w:rPr>
        <w:t xml:space="preserve"> Proceso sin explicación ni salida: se rompe la confianza.</w:t>
      </w:r>
    </w:p>
    <w:p>
      <w:pPr>
        <w:spacing w:after="120" w:line="320" w:lineRule="auto"/>
        <w:jc w:val="both"/>
      </w:pPr>
      <w:r>
        <w:rPr>
          <w:rFonts w:ascii="Newsreader" w:hAnsi="Newsreader" w:cs="Newsreader"/>
          <w:b/>
          <w:i w:val="0"/>
          <w:color w:val="161412"/>
        </w:rPr>
        <w:t xml:space="preserve">Handle con lag variable.</w:t>
      </w:r>
      <w:r>
        <w:rPr>
          <w:rFonts w:ascii="Newsreader" w:hAnsi="Newsreader" w:cs="Newsreader"/>
          <w:b w:val="0"/>
          <w:i w:val="0"/>
          <w:color w:val="161412"/>
        </w:rPr>
        <w:t xml:space="preserve"> Un objeto arrastrado que a veces sigue el gesto y a veces salta: el usuario pierde la sensación de control directo.</w:t>
      </w:r>
    </w:p>
    <w:p>
      <w:pPr>
        <w:spacing w:before="320" w:after="40"/>
      </w:pPr>
      <w:r>
        <w:rPr>
          <w:rFonts w:ascii="IBM Plex Sans" w:hAnsi="IBM Plex Sans" w:cs="IBM Plex Sans"/>
          <w:b/>
          <w:color w:val="1F3A5F"/>
          <w:sz w:val="18"/>
        </w:rPr>
        <w:t xml:space="preserve">§ 15</w:t>
      </w:r>
    </w:p>
    <w:p>
      <w:pPr>
        <w:spacing w:after="160" w:line="240" w:lineRule="auto"/>
      </w:pPr>
      <w:r>
        <w:rPr>
          <w:rFonts w:ascii="Newsreader" w:hAnsi="Newsreader" w:cs="Newsreader"/>
          <w:color w:val="161412"/>
          <w:sz w:val="38"/>
        </w:rPr>
        <w:t xml:space="preserve">Síntesis</w:t>
      </w:r>
    </w:p>
    <w:p>
      <w:pPr>
        <w:spacing w:after="120" w:line="320" w:lineRule="auto"/>
        <w:jc w:val="both"/>
      </w:pPr>
      <w:r>
        <w:rPr>
          <w:rFonts w:ascii="Newsreader" w:hAnsi="Newsreader" w:cs="Newsreader"/>
          <w:b w:val="0"/>
          <w:i w:val="0"/>
          <w:color w:val="161412"/>
        </w:rPr>
        <w:t xml:space="preserve">Los rangos psicoperceptivos no son valores universales: son regiones de diseño. Sirven para mantener la función de cada evento: contact → agencia, commit → cierre, signal → atención, handle → control, emerge → presencia, shift → orientación, sustain → continuidad.</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Un evento no solo necesita el canal correcto. Necesita la cantidad correcta de canal.</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La intensidad debe corresponder a consecuencia, urgencia, frecuencia, reversibilidad y accesibilidad.</w:t>
      </w:r>
    </w:p>
    <w:p>
      <w:r>
        <w:br w:type="page"/>
      </w:r>
    </w:p>
    <w:p>
      <w:pPr>
        <w:spacing w:after="40"/>
      </w:pPr>
      <w:r>
        <w:rPr>
          <w:rFonts w:ascii="IBM Plex Sans" w:hAnsi="IBM Plex Sans" w:cs="IBM Plex Sans"/>
          <w:b/>
          <w:color w:val="1F3A5F"/>
          <w:sz w:val="18"/>
        </w:rPr>
        <w:t>CAPÍTULO 33</w:t>
      </w:r>
    </w:p>
    <w:p>
      <w:pPr>
        <w:spacing w:after="80" w:line="240" w:lineRule="auto"/>
      </w:pPr>
      <w:r>
        <w:rPr>
          <w:rFonts w:ascii="IBM Plex Sans" w:hAnsi="IBM Plex Sans" w:cs="IBM Plex Sans"/>
          <w:color w:val="161412"/>
          <w:sz w:val="220"/>
        </w:rPr>
        <w:t>33</w:t>
      </w:r>
    </w:p>
    <w:p>
      <w:pPr>
        <w:spacing w:after="60" w:line="240" w:lineRule="auto"/>
      </w:pPr>
      <w:r>
        <w:rPr>
          <w:rFonts w:ascii="Newsreader" w:hAnsi="Newsreader" w:cs="Newsreader"/>
          <w:color w:val="161412"/>
          <w:sz w:val="60"/>
        </w:rPr>
        <w:t>Accesibilidad aplicada</w:t>
      </w:r>
    </w:p>
    <w:p>
      <w:pPr>
        <w:spacing w:after="280"/>
      </w:pPr>
      <w:r>
        <w:rPr>
          <w:rFonts w:ascii="IBM Plex Sans" w:hAnsi="IBM Plex Sans" w:cs="IBM Plex Sans"/>
          <w:color w:val="6A635A"/>
          <w:sz w:val="26"/>
        </w:rPr>
        <w:t>Migración semántica en flujos reales</w:t>
      </w:r>
    </w:p>
    <w:p>
      <w:pPr>
        <w:pBdr>
          <w:bottom w:val="single" w:sz="4" w:space="4" w:color="1F3A5F"/>
        </w:pBdr>
      </w:pPr>
    </w:p>
    <w:p>
      <w:pPr>
        <w:spacing w:after="120" w:line="320" w:lineRule="auto"/>
        <w:jc w:val="both"/>
      </w:pPr>
      <w:r>
        <w:rPr>
          <w:rFonts w:ascii="Newsreader" w:hAnsi="Newsreader" w:cs="Newsreader"/>
          <w:b w:val="0"/>
          <w:i w:val="0"/>
          <w:color w:val="161412"/>
        </w:rPr>
        <w:t xml:space="preserve">La accesibilidad ya apareció varias veces en este libro: en la Parte I, como prueba de que una semántica no debe depender de un único canal; en la Parte II, como reducción de canales; en las familias, como exigencia concreta. Pero hasta ahora ha sido tratada sobre todo por partes. Este capítulo la aplica a flujos completos.</w:t>
      </w:r>
    </w:p>
    <w:p>
      <w:pPr>
        <w:spacing w:after="120" w:line="320" w:lineRule="auto"/>
        <w:jc w:val="both"/>
      </w:pPr>
      <w:r>
        <w:rPr>
          <w:rFonts w:ascii="Newsreader" w:hAnsi="Newsreader" w:cs="Newsreader"/>
          <w:b w:val="0"/>
          <w:i w:val="0"/>
          <w:color w:val="161412"/>
        </w:rPr>
        <w:t xml:space="preserve">Un usuario con reduced motion no pierde «una animación»: puede perder causalidad, continuidad, cambio de contexto o cierre. Un usuario que no distingue color no pierde «rojo o verde»: puede perder riesgo, amenaza, confirmación o pérdida. Un usuario sin sonido no pierde «un aviso»: puede perder una señal fuera de foco. Un usuario que navega con teclado no pierde «drag»: puede perder la posibilidad de manipular. Un usuario con lector de pantalla no pierde «layout»: puede perder presencia, marco, orden y consecuencia.</w:t>
      </w: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¿La semántica del evento sobrevive en condiciones perceptivas distintas?</w:t>
      </w:r>
    </w:p>
    <w:p>
      <w:pPr>
        <w:spacing w:before="200" w:after="60"/>
        <w:jc w:val="center"/>
      </w:pPr>
      <w:r>
        <w:drawing>
          <wp:inline xmlns:a="http://schemas.openxmlformats.org/drawingml/2006/main" xmlns:pic="http://schemas.openxmlformats.org/drawingml/2006/picture">
            <wp:extent cx="5029200" cy="2794349"/>
            <wp:docPr id="77" name="Picture 77"/>
            <wp:cNvGraphicFramePr>
              <a:graphicFrameLocks noChangeAspect="1"/>
            </wp:cNvGraphicFramePr>
            <a:graphic>
              <a:graphicData uri="http://schemas.openxmlformats.org/drawingml/2006/picture">
                <pic:pic>
                  <pic:nvPicPr>
                    <pic:cNvPr id="0" name="figura-33-1.png"/>
                    <pic:cNvPicPr/>
                  </pic:nvPicPr>
                  <pic:blipFill>
                    <a:blip r:embed="rId85"/>
                    <a:stretch>
                      <a:fillRect/>
                    </a:stretch>
                  </pic:blipFill>
                  <pic:spPr>
                    <a:xfrm>
                      <a:off x="0" y="0"/>
                      <a:ext cx="5029200" cy="2794349"/>
                    </a:xfrm>
                    <a:prstGeom prst="rect"/>
                  </pic:spPr>
                </pic:pic>
              </a:graphicData>
            </a:graphic>
          </wp:inline>
        </w:drawing>
      </w:r>
    </w:p>
    <w:p>
      <w:pPr>
        <w:spacing w:before="320" w:after="40"/>
      </w:pPr>
      <w:r>
        <w:rPr>
          <w:rFonts w:ascii="IBM Plex Sans" w:hAnsi="IBM Plex Sans" w:cs="IBM Plex Sans"/>
          <w:b/>
          <w:color w:val="1F3A5F"/>
          <w:sz w:val="18"/>
        </w:rPr>
        <w:t xml:space="preserve">§ 1</w:t>
      </w:r>
    </w:p>
    <w:p>
      <w:pPr>
        <w:spacing w:after="160" w:line="240" w:lineRule="auto"/>
      </w:pPr>
      <w:r>
        <w:rPr>
          <w:rFonts w:ascii="Newsreader" w:hAnsi="Newsreader" w:cs="Newsreader"/>
          <w:color w:val="161412"/>
          <w:sz w:val="38"/>
        </w:rPr>
        <w:t xml:space="preserve">Accesibilidad aplicada no es traducción literal</w:t>
      </w:r>
    </w:p>
    <w:p>
      <w:pPr>
        <w:spacing w:after="120" w:line="320" w:lineRule="auto"/>
        <w:jc w:val="both"/>
      </w:pPr>
      <w:r>
        <w:rPr>
          <w:rFonts w:ascii="Newsreader" w:hAnsi="Newsreader" w:cs="Newsreader"/>
          <w:b w:val="0"/>
          <w:i w:val="0"/>
          <w:color w:val="161412"/>
        </w:rPr>
        <w:t xml:space="preserve">Cuando un canal se reduce, la solución no consiste en copiar el mismo estímulo por otro canal. La pregunta es anterior: ¿qué significado transportaba ese canal? Si el motion transportaba contacto, el reemplazo debe conservar contacto; si transportaba continuidad, debe conservar continuidad. Si el color transportaba riesgo, el reemplazo debe conservar riesgo corregible; si el sonido transportaba amenaza, debe conservar urgencia. A esto lo llamaremos migración semántica.</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La accesibilidad aplicada no conserva necesariamente los mismos estímulos. Conserva la misma lectura semántica.</w:t>
      </w:r>
    </w:p>
    <w:p>
      <w:pPr>
        <w:spacing w:before="320" w:after="40"/>
      </w:pPr>
      <w:r>
        <w:rPr>
          <w:rFonts w:ascii="IBM Plex Sans" w:hAnsi="IBM Plex Sans" w:cs="IBM Plex Sans"/>
          <w:b/>
          <w:color w:val="1F3A5F"/>
          <w:sz w:val="18"/>
        </w:rPr>
        <w:t xml:space="preserve">§ 2</w:t>
      </w:r>
    </w:p>
    <w:p>
      <w:pPr>
        <w:spacing w:after="160" w:line="240" w:lineRule="auto"/>
      </w:pPr>
      <w:r>
        <w:rPr>
          <w:rFonts w:ascii="Newsreader" w:hAnsi="Newsreader" w:cs="Newsreader"/>
          <w:color w:val="161412"/>
          <w:sz w:val="38"/>
        </w:rPr>
        <w:t xml:space="preserve">Caso 1: error de formulario</w:t>
      </w:r>
    </w:p>
    <w:p>
      <w:pPr>
        <w:spacing w:after="120" w:line="320" w:lineRule="auto"/>
        <w:jc w:val="both"/>
      </w:pPr>
      <w:r>
        <w:rPr>
          <w:rFonts w:ascii="Newsreader" w:hAnsi="Newsreader" w:cs="Newsreader"/>
          <w:b w:val="0"/>
          <w:i w:val="0"/>
          <w:color w:val="161412"/>
        </w:rPr>
        <w:t xml:space="preserve">Evento base: signal.warn + risk. El usuario intenta enviar un formulario y un campo obligatorio está vacío. La lectura semántica esperada es «hay un problema corregible aquí» —no «todo ha fallado», no «hay una amenaza crítica»—.</w:t>
      </w:r>
    </w:p>
    <w:p>
      <w:pPr>
        <w:spacing w:before="240" w:after="100"/>
      </w:pPr>
      <w:r>
        <w:rPr>
          <w:rFonts w:ascii="Newsreader" w:hAnsi="Newsreader" w:cs="Newsreader"/>
          <w:i/>
          <w:color w:val="1F3A5F"/>
          <w:sz w:val="28"/>
        </w:rPr>
        <w:t xml:space="preserve">Versión frágil</w:t>
      </w:r>
    </w:p>
    <w:p>
      <w:pPr>
        <w:spacing w:after="120" w:line="320" w:lineRule="auto"/>
        <w:jc w:val="both"/>
      </w:pPr>
      <w:r>
        <w:rPr>
          <w:rFonts w:ascii="Newsreader" w:hAnsi="Newsreader" w:cs="Newsreader"/>
          <w:b w:val="0"/>
          <w:i w:val="0"/>
          <w:color w:val="161412"/>
        </w:rPr>
        <w:t xml:space="preserve">Un borde rojo en el input, y nada más. Los problemas se acumulan: depende solo del color, no explica qué ocurre, no comunica corrección, puede no ser detectado por usuarios con baja visión o daltonismo, puede no estar vinculado al campo y puede no anunciarse tras el envío.</w:t>
      </w:r>
    </w:p>
    <w:p>
      <w:pPr>
        <w:spacing w:before="240" w:after="100"/>
      </w:pPr>
      <w:r>
        <w:rPr>
          <w:rFonts w:ascii="Newsreader" w:hAnsi="Newsreader" w:cs="Newsreader"/>
          <w:i/>
          <w:color w:val="1F3A5F"/>
          <w:sz w:val="28"/>
        </w:rPr>
        <w:t xml:space="preserve">Versión accesible semánticamente</w:t>
      </w:r>
    </w:p>
    <w:p>
      <w:pPr>
        <w:spacing w:after="120" w:line="320" w:lineRule="auto"/>
        <w:jc w:val="both"/>
      </w:pPr>
      <w:r>
        <w:rPr>
          <w:rFonts w:ascii="Newsreader" w:hAnsi="Newsreader" w:cs="Newsreader"/>
          <w:b w:val="0"/>
          <w:i w:val="0"/>
          <w:color w:val="161412"/>
        </w:rPr>
        <w:t xml:space="preserve">La versión robusta reparte el significado entre canales, de modo que ninguno sea imprescindible:</w:t>
      </w:r>
    </w:p>
    <w:p>
      <w:pPr>
        <w:spacing w:after="200" w:before="40"/>
      </w:pPr>
      <w:r>
        <w:rPr>
          <w:rFonts w:ascii="IBM Plex Sans" w:hAnsi="IBM Plex Sans" w:cs="IBM Plex Sans"/>
          <w:b/>
          <w:color w:val="1F3A5F"/>
          <w:sz w:val="17"/>
        </w:rPr>
        <w:t xml:space="preserve">TABLA 33.1   </w:t>
      </w:r>
      <w:r>
        <w:rPr>
          <w:rFonts w:ascii="IBM Plex Sans" w:hAnsi="IBM Plex Sans" w:cs="IBM Plex Sans"/>
          <w:color w:val="3A352F"/>
          <w:sz w:val="18"/>
        </w:rPr>
        <w:t xml:space="preserve">Reparto de funciones por canal en el error de formulario</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CANAL</w:t>
            </w:r>
          </w:p>
        </w:tc>
        <w:tc>
          <w:tcPr>
            <w:tcW w:type="dxa" w:w="4158"/>
            <w:shd w:val="clear" w:color="auto" w:fill="EAE4D8"/>
          </w:tcPr>
          <w:p>
            <w:pPr>
              <w:spacing w:after="40"/>
            </w:pPr>
            <w:r>
              <w:rPr>
                <w:sz w:val="17"/>
              </w:rPr>
            </w:r>
            <w:r>
              <w:rPr>
                <w:rFonts w:ascii="IBM Plex Sans" w:hAnsi="IBM Plex Sans" w:cs="IBM Plex Sans"/>
                <w:b/>
                <w:i w:val="0"/>
                <w:color w:val="1F3A5F"/>
                <w:sz w:val="17"/>
              </w:rPr>
              <w:t>FUNCIÓN</w:t>
            </w:r>
          </w:p>
        </w:tc>
      </w:tr>
      <w:tr>
        <w:tc>
          <w:tcPr>
            <w:tcW w:type="dxa" w:w="4158"/>
          </w:tcPr>
          <w:p>
            <w:pPr>
              <w:spacing w:after="40"/>
            </w:pPr>
            <w:r>
              <w:rPr>
                <w:sz w:val="17"/>
              </w:rPr>
            </w:r>
            <w:r>
              <w:rPr>
                <w:rFonts w:ascii="IBM Plex Sans" w:hAnsi="IBM Plex Sans" w:cs="IBM Plex Sans"/>
                <w:b w:val="0"/>
                <w:i w:val="0"/>
                <w:color w:val="161412"/>
                <w:sz w:val="17"/>
              </w:rPr>
              <w:t>Color</w:t>
            </w:r>
          </w:p>
        </w:tc>
        <w:tc>
          <w:tcPr>
            <w:tcW w:type="dxa" w:w="4158"/>
          </w:tcPr>
          <w:p>
            <w:pPr>
              <w:spacing w:after="40"/>
            </w:pPr>
            <w:r>
              <w:rPr>
                <w:sz w:val="17"/>
              </w:rPr>
            </w:r>
            <w:r>
              <w:rPr>
                <w:rFonts w:ascii="IBM Plex Sans" w:hAnsi="IBM Plex Sans" w:cs="IBM Plex Sans"/>
                <w:b w:val="0"/>
                <w:i w:val="0"/>
                <w:color w:val="161412"/>
                <w:sz w:val="17"/>
              </w:rPr>
              <w:t>refuerzo de advertencia moderada</w:t>
            </w:r>
          </w:p>
        </w:tc>
      </w:tr>
      <w:tr>
        <w:tc>
          <w:tcPr>
            <w:tcW w:type="dxa" w:w="4158"/>
          </w:tcPr>
          <w:p>
            <w:pPr>
              <w:spacing w:after="40"/>
            </w:pPr>
            <w:r>
              <w:rPr>
                <w:sz w:val="17"/>
              </w:rPr>
            </w:r>
            <w:r>
              <w:rPr>
                <w:rFonts w:ascii="IBM Plex Sans" w:hAnsi="IBM Plex Sans" w:cs="IBM Plex Sans"/>
                <w:b w:val="0"/>
                <w:i w:val="0"/>
                <w:color w:val="161412"/>
                <w:sz w:val="17"/>
              </w:rPr>
              <w:t>Forma</w:t>
            </w:r>
          </w:p>
        </w:tc>
        <w:tc>
          <w:tcPr>
            <w:tcW w:type="dxa" w:w="4158"/>
          </w:tcPr>
          <w:p>
            <w:pPr>
              <w:spacing w:after="40"/>
            </w:pPr>
            <w:r>
              <w:rPr>
                <w:sz w:val="17"/>
              </w:rPr>
            </w:r>
            <w:r>
              <w:rPr>
                <w:rFonts w:ascii="IBM Plex Sans" w:hAnsi="IBM Plex Sans" w:cs="IBM Plex Sans"/>
                <w:b w:val="0"/>
                <w:i w:val="0"/>
                <w:color w:val="161412"/>
                <w:sz w:val="17"/>
              </w:rPr>
              <w:t>borde, callout o contorno local</w:t>
            </w:r>
          </w:p>
        </w:tc>
      </w:tr>
      <w:tr>
        <w:tc>
          <w:tcPr>
            <w:tcW w:type="dxa" w:w="4158"/>
          </w:tcPr>
          <w:p>
            <w:pPr>
              <w:spacing w:after="40"/>
            </w:pPr>
            <w:r>
              <w:rPr>
                <w:sz w:val="17"/>
              </w:rPr>
            </w:r>
            <w:r>
              <w:rPr>
                <w:rFonts w:ascii="IBM Plex Sans" w:hAnsi="IBM Plex Sans" w:cs="IBM Plex Sans"/>
                <w:b w:val="0"/>
                <w:i w:val="0"/>
                <w:color w:val="161412"/>
                <w:sz w:val="17"/>
              </w:rPr>
              <w:t>Icono</w:t>
            </w:r>
          </w:p>
        </w:tc>
        <w:tc>
          <w:tcPr>
            <w:tcW w:type="dxa" w:w="4158"/>
          </w:tcPr>
          <w:p>
            <w:pPr>
              <w:spacing w:after="40"/>
            </w:pPr>
            <w:r>
              <w:rPr>
                <w:sz w:val="17"/>
              </w:rPr>
            </w:r>
            <w:r>
              <w:rPr>
                <w:rFonts w:ascii="IBM Plex Sans" w:hAnsi="IBM Plex Sans" w:cs="IBM Plex Sans"/>
                <w:b w:val="0"/>
                <w:i w:val="0"/>
                <w:color w:val="161412"/>
                <w:sz w:val="17"/>
              </w:rPr>
              <w:t>reconocimiento rápido</w:t>
            </w:r>
          </w:p>
        </w:tc>
      </w:tr>
      <w:tr>
        <w:tc>
          <w:tcPr>
            <w:tcW w:type="dxa" w:w="4158"/>
          </w:tcPr>
          <w:p>
            <w:pPr>
              <w:spacing w:after="40"/>
            </w:pPr>
            <w:r>
              <w:rPr>
                <w:sz w:val="17"/>
              </w:rPr>
            </w:r>
            <w:r>
              <w:rPr>
                <w:rFonts w:ascii="IBM Plex Sans" w:hAnsi="IBM Plex Sans" w:cs="IBM Plex Sans"/>
                <w:b w:val="0"/>
                <w:i w:val="0"/>
                <w:color w:val="161412"/>
                <w:sz w:val="17"/>
              </w:rPr>
              <w:t>Texto</w:t>
            </w:r>
          </w:p>
        </w:tc>
        <w:tc>
          <w:tcPr>
            <w:tcW w:type="dxa" w:w="4158"/>
          </w:tcPr>
          <w:p>
            <w:pPr>
              <w:spacing w:after="40"/>
            </w:pPr>
            <w:r>
              <w:rPr>
                <w:sz w:val="17"/>
              </w:rPr>
            </w:r>
            <w:r>
              <w:rPr>
                <w:rFonts w:ascii="IBM Plex Sans" w:hAnsi="IBM Plex Sans" w:cs="IBM Plex Sans"/>
                <w:b w:val="0"/>
                <w:i w:val="0"/>
                <w:color w:val="161412"/>
                <w:sz w:val="17"/>
              </w:rPr>
              <w:t>explicación del problema</w:t>
            </w:r>
          </w:p>
        </w:tc>
      </w:tr>
      <w:tr>
        <w:tc>
          <w:tcPr>
            <w:tcW w:type="dxa" w:w="4158"/>
          </w:tcPr>
          <w:p>
            <w:pPr>
              <w:spacing w:after="40"/>
            </w:pPr>
            <w:r>
              <w:rPr>
                <w:sz w:val="17"/>
              </w:rPr>
            </w:r>
            <w:r>
              <w:rPr>
                <w:rFonts w:ascii="IBM Plex Sans" w:hAnsi="IBM Plex Sans" w:cs="IBM Plex Sans"/>
                <w:b w:val="0"/>
                <w:i w:val="0"/>
                <w:color w:val="161412"/>
                <w:sz w:val="17"/>
              </w:rPr>
              <w:t>Presencia</w:t>
            </w:r>
          </w:p>
        </w:tc>
        <w:tc>
          <w:tcPr>
            <w:tcW w:type="dxa" w:w="4158"/>
          </w:tcPr>
          <w:p>
            <w:pPr>
              <w:spacing w:after="40"/>
            </w:pPr>
            <w:r>
              <w:rPr>
                <w:sz w:val="17"/>
              </w:rPr>
            </w:r>
            <w:r>
              <w:rPr>
                <w:rFonts w:ascii="IBM Plex Sans" w:hAnsi="IBM Plex Sans" w:cs="IBM Plex Sans"/>
                <w:b w:val="0"/>
                <w:i w:val="0"/>
                <w:color w:val="161412"/>
                <w:sz w:val="17"/>
              </w:rPr>
              <w:t>persistencia hasta corrección</w:t>
            </w:r>
          </w:p>
        </w:tc>
      </w:tr>
      <w:tr>
        <w:tc>
          <w:tcPr>
            <w:tcW w:type="dxa" w:w="4158"/>
          </w:tcPr>
          <w:p>
            <w:pPr>
              <w:spacing w:after="40"/>
            </w:pPr>
            <w:r>
              <w:rPr>
                <w:sz w:val="17"/>
              </w:rPr>
            </w:r>
            <w:r>
              <w:rPr>
                <w:rFonts w:ascii="IBM Plex Sans" w:hAnsi="IBM Plex Sans" w:cs="IBM Plex Sans"/>
                <w:b w:val="0"/>
                <w:i w:val="0"/>
                <w:color w:val="161412"/>
                <w:sz w:val="17"/>
              </w:rPr>
              <w:t>Foco</w:t>
            </w:r>
          </w:p>
        </w:tc>
        <w:tc>
          <w:tcPr>
            <w:tcW w:type="dxa" w:w="4158"/>
          </w:tcPr>
          <w:p>
            <w:pPr>
              <w:spacing w:after="40"/>
            </w:pPr>
            <w:r>
              <w:rPr>
                <w:sz w:val="17"/>
              </w:rPr>
            </w:r>
            <w:r>
              <w:rPr>
                <w:rFonts w:ascii="IBM Plex Sans" w:hAnsi="IBM Plex Sans" w:cs="IBM Plex Sans"/>
                <w:b w:val="0"/>
                <w:i w:val="0"/>
                <w:color w:val="161412"/>
                <w:sz w:val="17"/>
              </w:rPr>
              <w:t>llevar al primer error si bloquea envío</w:t>
            </w:r>
          </w:p>
        </w:tc>
      </w:tr>
      <w:tr>
        <w:tc>
          <w:tcPr>
            <w:tcW w:type="dxa" w:w="4158"/>
          </w:tcPr>
          <w:p>
            <w:pPr>
              <w:spacing w:after="40"/>
            </w:pPr>
            <w:r>
              <w:rPr>
                <w:sz w:val="17"/>
              </w:rPr>
            </w:r>
            <w:r>
              <w:rPr>
                <w:rFonts w:ascii="IBM Plex Sans" w:hAnsi="IBM Plex Sans" w:cs="IBM Plex Sans"/>
                <w:b w:val="0"/>
                <w:i w:val="0"/>
                <w:color w:val="161412"/>
                <w:sz w:val="17"/>
              </w:rPr>
              <w:t>Relación accesible</w:t>
            </w:r>
          </w:p>
        </w:tc>
        <w:tc>
          <w:tcPr>
            <w:tcW w:type="dxa" w:w="4158"/>
          </w:tcPr>
          <w:p>
            <w:pPr>
              <w:spacing w:after="40"/>
            </w:pPr>
            <w:r>
              <w:rPr>
                <w:sz w:val="17"/>
              </w:rPr>
            </w:r>
            <w:r>
              <w:rPr>
                <w:rFonts w:ascii="IBM Plex Sans" w:hAnsi="IBM Plex Sans" w:cs="IBM Plex Sans"/>
                <w:b w:val="0"/>
                <w:i w:val="0"/>
                <w:color w:val="161412"/>
                <w:sz w:val="17"/>
              </w:rPr>
              <w:t>mensaje vinculado al campo</w:t>
            </w:r>
          </w:p>
        </w:tc>
      </w:tr>
      <w:tr>
        <w:tc>
          <w:tcPr>
            <w:tcW w:type="dxa" w:w="4158"/>
          </w:tcPr>
          <w:p>
            <w:pPr>
              <w:spacing w:after="40"/>
            </w:pPr>
            <w:r>
              <w:rPr>
                <w:sz w:val="17"/>
              </w:rPr>
            </w:r>
            <w:r>
              <w:rPr>
                <w:rFonts w:ascii="IBM Plex Sans" w:hAnsi="IBM Plex Sans" w:cs="IBM Plex Sans"/>
                <w:b w:val="0"/>
                <w:i w:val="0"/>
                <w:color w:val="161412"/>
                <w:sz w:val="17"/>
              </w:rPr>
              <w:t>Tiempo</w:t>
            </w:r>
          </w:p>
        </w:tc>
        <w:tc>
          <w:tcPr>
            <w:tcW w:type="dxa" w:w="4158"/>
          </w:tcPr>
          <w:p>
            <w:pPr>
              <w:spacing w:after="40"/>
            </w:pPr>
            <w:r>
              <w:rPr>
                <w:sz w:val="17"/>
              </w:rPr>
            </w:r>
            <w:r>
              <w:rPr>
                <w:rFonts w:ascii="IBM Plex Sans" w:hAnsi="IBM Plex Sans" w:cs="IBM Plex Sans"/>
                <w:b w:val="0"/>
                <w:i w:val="0"/>
                <w:color w:val="161412"/>
                <w:sz w:val="17"/>
              </w:rPr>
              <w:t>no desaparecer automáticamente</w:t>
            </w:r>
          </w:p>
        </w:tc>
      </w:tr>
    </w:tbl>
    <w:p>
      <w:pPr>
        <w:spacing w:before="240" w:after="100"/>
      </w:pPr>
      <w:r>
        <w:rPr>
          <w:rFonts w:ascii="Newsreader" w:hAnsi="Newsreader" w:cs="Newsreader"/>
          <w:i/>
          <w:color w:val="1F3A5F"/>
          <w:sz w:val="28"/>
        </w:rPr>
        <w:t xml:space="preserve">Migraciones</w:t>
      </w:r>
    </w:p>
    <w:p>
      <w:pPr>
        <w:spacing w:after="120" w:line="320" w:lineRule="auto"/>
        <w:jc w:val="both"/>
      </w:pPr>
      <w:r>
        <w:rPr>
          <w:rFonts w:ascii="Newsreader" w:hAnsi="Newsreader" w:cs="Newsreader"/>
          <w:b w:val="0"/>
          <w:i w:val="0"/>
          <w:color w:val="161412"/>
        </w:rPr>
        <w:t xml:space="preserve">Sin color, el campo sigue comunicando error mediante icono, mensaje, borde, posición y relación con el campo. Sin color y con visión parcial, el mensaje debe estar vinculado al campo mediante aria-describedby: el usuario debe poder oír «el campo correo electrónico es obligatorio». Sin motion, no pasa nada si el error no tiembla: el mensaje persistente sostiene la semántica. Y con varios errores conviene añadir un resumen —«hay 3 errores en el formulario»— y permitir saltar a cada campo.</w:t>
      </w:r>
    </w:p>
    <w:p>
      <w:pPr>
        <w:spacing w:before="320" w:after="40"/>
      </w:pPr>
      <w:r>
        <w:rPr>
          <w:rFonts w:ascii="IBM Plex Sans" w:hAnsi="IBM Plex Sans" w:cs="IBM Plex Sans"/>
          <w:b/>
          <w:color w:val="1F3A5F"/>
          <w:sz w:val="18"/>
        </w:rPr>
        <w:t xml:space="preserve">§ 3</w:t>
      </w:r>
    </w:p>
    <w:p>
      <w:pPr>
        <w:spacing w:after="160" w:line="240" w:lineRule="auto"/>
      </w:pPr>
      <w:r>
        <w:rPr>
          <w:rFonts w:ascii="Newsreader" w:hAnsi="Newsreader" w:cs="Newsreader"/>
          <w:color w:val="161412"/>
          <w:sz w:val="38"/>
        </w:rPr>
        <w:t xml:space="preserve">Caso 2: operación larga con reduced motion</w:t>
      </w:r>
    </w:p>
    <w:p>
      <w:pPr>
        <w:spacing w:after="120" w:line="320" w:lineRule="auto"/>
        <w:jc w:val="both"/>
      </w:pPr>
      <w:r>
        <w:rPr>
          <w:rFonts w:ascii="Newsreader" w:hAnsi="Newsreader" w:cs="Newsreader"/>
          <w:b w:val="0"/>
          <w:i w:val="0"/>
          <w:color w:val="161412"/>
        </w:rPr>
        <w:t xml:space="preserve">Secuencia base: contact.press → sustain.progress → commit.complete + fulfill. El usuario sube un archivo grande.</w:t>
      </w:r>
    </w:p>
    <w:p>
      <w:pPr>
        <w:spacing w:before="240" w:after="100"/>
      </w:pPr>
      <w:r>
        <w:rPr>
          <w:rFonts w:ascii="Newsreader" w:hAnsi="Newsreader" w:cs="Newsreader"/>
          <w:i/>
          <w:color w:val="1F3A5F"/>
          <w:sz w:val="28"/>
        </w:rPr>
        <w:t xml:space="preserve">Qué se perdería si solo quitamos motion</w:t>
      </w:r>
    </w:p>
    <w:p>
      <w:pPr>
        <w:spacing w:after="120" w:line="320" w:lineRule="auto"/>
        <w:jc w:val="both"/>
      </w:pPr>
      <w:r>
        <w:rPr>
          <w:rFonts w:ascii="Newsreader" w:hAnsi="Newsreader" w:cs="Newsreader"/>
          <w:b w:val="0"/>
          <w:i w:val="0"/>
          <w:color w:val="161412"/>
        </w:rPr>
        <w:t xml:space="preserve">Si eliminamos todas las animaciones sin más, el contacto puede sentirse menos inmediato, el progreso puede parecer estático, el cierre puede perder resolución y el usuario puede no distinguir entre proceso activo y resultado final. Reducir motion no debe amputar la estructura temporal.</w:t>
      </w:r>
    </w:p>
    <w:p>
      <w:pPr>
        <w:spacing w:before="240" w:after="100"/>
      </w:pPr>
      <w:r>
        <w:rPr>
          <w:rFonts w:ascii="Newsreader" w:hAnsi="Newsreader" w:cs="Newsreader"/>
          <w:i/>
          <w:color w:val="1F3A5F"/>
          <w:sz w:val="28"/>
        </w:rPr>
        <w:t xml:space="preserve">Versión accesible semánticamente</w:t>
      </w:r>
    </w:p>
    <w:p>
      <w:pPr>
        <w:spacing w:after="120" w:line="320" w:lineRule="auto"/>
        <w:jc w:val="both"/>
      </w:pPr>
      <w:r>
        <w:rPr>
          <w:rFonts w:ascii="Newsreader" w:hAnsi="Newsreader" w:cs="Newsreader"/>
          <w:b w:val="0"/>
          <w:i w:val="0"/>
          <w:color w:val="161412"/>
        </w:rPr>
        <w:t xml:space="preserve">En contact: estado pressed claro, cambio inmediato de forma, foco visible, quizá sonido o háptica opcional. En sustain: barra de progreso sin motion excesivo, texto «Subiendo archivo…», porcentaje si existe, estado persistente, actualización discreta. En commit: mensaje visible, marca de completado, estado persistente, sonido opcional, color positivo claro pero no único. La lectura se conserva —«me ha sentido», «sigue trabajando», «objetivo cumplido»— aunque el movimiento se reduzca.</w:t>
      </w:r>
    </w:p>
    <w:p>
      <w:pPr>
        <w:spacing w:before="160" w:after="40"/>
        <w:pBdr>
          <w:left w:val="single" w:sz="18" w:space="12" w:color="1F3A5F"/>
        </w:pBdr>
      </w:pPr>
      <w:r>
        <w:rPr>
          <w:rFonts w:ascii="IBM Plex Sans" w:hAnsi="IBM Plex Sans" w:cs="IBM Plex Sans"/>
          <w:b/>
          <w:color w:val="1F3A5F"/>
          <w:sz w:val="16"/>
        </w:rPr>
        <w:t xml:space="preserve">DISTINCIÓN</w:t>
      </w:r>
    </w:p>
    <w:p>
      <w:pPr>
        <w:spacing w:after="120" w:line="312" w:lineRule="auto"/>
        <w:pBdr>
          <w:left w:val="single" w:sz="18" w:space="12" w:color="1F3A5F"/>
        </w:pBdr>
      </w:pPr>
      <w:r>
        <w:rPr>
          <w:rFonts w:ascii="Newsreader" w:hAnsi="Newsreader" w:cs="Newsreader"/>
          <w:b w:val="0"/>
          <w:i/>
          <w:color w:val="3A352F"/>
        </w:rPr>
        <w:t xml:space="preserve">Reduced motion no significa interfaz sin tiempo. Significa tiempo expresado por canales menos problemáticos.</w:t>
      </w:r>
    </w:p>
    <w:p>
      <w:pPr>
        <w:spacing w:before="320" w:after="40"/>
      </w:pPr>
      <w:r>
        <w:rPr>
          <w:rFonts w:ascii="IBM Plex Sans" w:hAnsi="IBM Plex Sans" w:cs="IBM Plex Sans"/>
          <w:b/>
          <w:color w:val="1F3A5F"/>
          <w:sz w:val="18"/>
        </w:rPr>
        <w:t xml:space="preserve">§ 4</w:t>
      </w:r>
    </w:p>
    <w:p>
      <w:pPr>
        <w:spacing w:after="160" w:line="240" w:lineRule="auto"/>
      </w:pPr>
      <w:r>
        <w:rPr>
          <w:rFonts w:ascii="Newsreader" w:hAnsi="Newsreader" w:cs="Newsreader"/>
          <w:color w:val="161412"/>
          <w:sz w:val="38"/>
        </w:rPr>
        <w:t xml:space="preserve">Caso 3: eliminación con undo</w:t>
      </w:r>
    </w:p>
    <w:p>
      <w:pPr>
        <w:spacing w:after="120" w:line="320" w:lineRule="auto"/>
        <w:jc w:val="both"/>
      </w:pPr>
      <w:r>
        <w:rPr>
          <w:rFonts w:ascii="Newsreader" w:hAnsi="Newsreader" w:cs="Newsreader"/>
          <w:b w:val="0"/>
          <w:i w:val="0"/>
          <w:color w:val="161412"/>
        </w:rPr>
        <w:t xml:space="preserve">Secuencia base: signal.warn + threat → commit.delete + loss → emerge.present undo.</w:t>
      </w:r>
    </w:p>
    <w:p>
      <w:pPr>
        <w:spacing w:before="240" w:after="100"/>
      </w:pPr>
      <w:r>
        <w:rPr>
          <w:rFonts w:ascii="Newsreader" w:hAnsi="Newsreader" w:cs="Newsreader"/>
          <w:i/>
          <w:color w:val="1F3A5F"/>
          <w:sz w:val="28"/>
        </w:rPr>
        <w:t xml:space="preserve">Versión frágil</w:t>
      </w:r>
    </w:p>
    <w:p>
      <w:pPr>
        <w:spacing w:after="120" w:line="320" w:lineRule="auto"/>
        <w:jc w:val="both"/>
      </w:pPr>
      <w:r>
        <w:rPr>
          <w:rFonts w:ascii="Newsreader" w:hAnsi="Newsreader" w:cs="Newsreader"/>
          <w:b w:val="0"/>
          <w:i w:val="0"/>
          <w:color w:val="161412"/>
        </w:rPr>
        <w:t xml:space="preserve">Botón rojo, la tarjeta desaparece, un toast breve dice «Eliminado», el undo dura dos segundos, no hay anuncio accesible y el foco queda en un lugar ambiguo. Los problemas: amenaza y pérdida se comunican con el mismo color, la desaparición puede parecer ocultación, el undo puede no percibirse, y los usuarios de teclado o lector pierden el contexto.</w:t>
      </w:r>
    </w:p>
    <w:p>
      <w:pPr>
        <w:spacing w:before="240" w:after="100"/>
      </w:pPr>
      <w:r>
        <w:rPr>
          <w:rFonts w:ascii="Newsreader" w:hAnsi="Newsreader" w:cs="Newsreader"/>
          <w:i/>
          <w:color w:val="1F3A5F"/>
          <w:sz w:val="28"/>
        </w:rPr>
        <w:t xml:space="preserve">Versión accesible semánticamente</w:t>
      </w:r>
    </w:p>
    <w:p>
      <w:pPr>
        <w:spacing w:after="120" w:line="320" w:lineRule="auto"/>
        <w:jc w:val="both"/>
      </w:pPr>
      <w:r>
        <w:rPr>
          <w:rFonts w:ascii="Newsreader" w:hAnsi="Newsreader" w:cs="Newsreader"/>
          <w:b w:val="0"/>
          <w:i w:val="0"/>
          <w:color w:val="161412"/>
        </w:rPr>
        <w:t xml:space="preserve">Cada momento del flujo tiene su propio riesgo y necesita su propio soporte:</w:t>
      </w:r>
    </w:p>
    <w:p>
      <w:pPr>
        <w:spacing w:after="200" w:before="40"/>
      </w:pPr>
      <w:r>
        <w:rPr>
          <w:rFonts w:ascii="IBM Plex Sans" w:hAnsi="IBM Plex Sans" w:cs="IBM Plex Sans"/>
          <w:b/>
          <w:color w:val="1F3A5F"/>
          <w:sz w:val="17"/>
        </w:rPr>
        <w:t xml:space="preserve">TABLA 33.2   </w:t>
      </w:r>
      <w:r>
        <w:rPr>
          <w:rFonts w:ascii="IBM Plex Sans" w:hAnsi="IBM Plex Sans" w:cs="IBM Plex Sans"/>
          <w:color w:val="3A352F"/>
          <w:sz w:val="18"/>
        </w:rPr>
        <w:t xml:space="preserve">Migración semántica por momentos del flujo</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079"/>
        <w:gridCol w:w="2079"/>
        <w:gridCol w:w="2079"/>
        <w:gridCol w:w="2079"/>
      </w:tblGrid>
      <w:tr>
        <w:tc>
          <w:tcPr>
            <w:tcW w:type="dxa" w:w="2079"/>
            <w:shd w:val="clear" w:color="auto" w:fill="EAE4D8"/>
          </w:tcPr>
          <w:p>
            <w:pPr>
              <w:spacing w:after="40"/>
            </w:pPr>
            <w:r>
              <w:rPr>
                <w:sz w:val="17"/>
              </w:rPr>
            </w:r>
            <w:r>
              <w:rPr>
                <w:rFonts w:ascii="IBM Plex Sans" w:hAnsi="IBM Plex Sans" w:cs="IBM Plex Sans"/>
                <w:b/>
                <w:i w:val="0"/>
                <w:color w:val="1F3A5F"/>
                <w:sz w:val="17"/>
              </w:rPr>
              <w:t>MOMENTO</w:t>
            </w:r>
          </w:p>
        </w:tc>
        <w:tc>
          <w:tcPr>
            <w:tcW w:type="dxa" w:w="2079"/>
            <w:shd w:val="clear" w:color="auto" w:fill="EAE4D8"/>
          </w:tcPr>
          <w:p>
            <w:pPr>
              <w:spacing w:after="40"/>
            </w:pPr>
            <w:r>
              <w:rPr>
                <w:sz w:val="17"/>
              </w:rPr>
            </w:r>
            <w:r>
              <w:rPr>
                <w:rFonts w:ascii="IBM Plex Sans" w:hAnsi="IBM Plex Sans" w:cs="IBM Plex Sans"/>
                <w:b/>
                <w:i w:val="0"/>
                <w:color w:val="1F3A5F"/>
                <w:sz w:val="17"/>
              </w:rPr>
              <w:t>EVENTO</w:t>
            </w:r>
          </w:p>
        </w:tc>
        <w:tc>
          <w:tcPr>
            <w:tcW w:type="dxa" w:w="2079"/>
            <w:shd w:val="clear" w:color="auto" w:fill="EAE4D8"/>
          </w:tcPr>
          <w:p>
            <w:pPr>
              <w:spacing w:after="40"/>
            </w:pPr>
            <w:r>
              <w:rPr>
                <w:sz w:val="17"/>
              </w:rPr>
            </w:r>
            <w:r>
              <w:rPr>
                <w:rFonts w:ascii="IBM Plex Sans" w:hAnsi="IBM Plex Sans" w:cs="IBM Plex Sans"/>
                <w:b/>
                <w:i w:val="0"/>
                <w:color w:val="1F3A5F"/>
                <w:sz w:val="17"/>
              </w:rPr>
              <w:t>RIESGO</w:t>
            </w:r>
          </w:p>
        </w:tc>
        <w:tc>
          <w:tcPr>
            <w:tcW w:type="dxa" w:w="2079"/>
            <w:shd w:val="clear" w:color="auto" w:fill="EAE4D8"/>
          </w:tcPr>
          <w:p>
            <w:pPr>
              <w:spacing w:after="40"/>
            </w:pPr>
            <w:r>
              <w:rPr>
                <w:sz w:val="17"/>
              </w:rPr>
            </w:r>
            <w:r>
              <w:rPr>
                <w:rFonts w:ascii="IBM Plex Sans" w:hAnsi="IBM Plex Sans" w:cs="IBM Plex Sans"/>
                <w:b/>
                <w:i w:val="0"/>
                <w:color w:val="1F3A5F"/>
                <w:sz w:val="17"/>
              </w:rPr>
              <w:t>SOPORTE NECESARIO</w:t>
            </w:r>
          </w:p>
        </w:tc>
      </w:tr>
      <w:tr>
        <w:tc>
          <w:tcPr>
            <w:tcW w:type="dxa" w:w="2079"/>
          </w:tcPr>
          <w:p>
            <w:pPr>
              <w:spacing w:after="40"/>
            </w:pPr>
            <w:r>
              <w:rPr>
                <w:sz w:val="17"/>
              </w:rPr>
            </w:r>
            <w:r>
              <w:rPr>
                <w:rFonts w:ascii="IBM Plex Sans" w:hAnsi="IBM Plex Sans" w:cs="IBM Plex Sans"/>
                <w:b w:val="0"/>
                <w:i w:val="0"/>
                <w:color w:val="161412"/>
                <w:sz w:val="17"/>
              </w:rPr>
              <w:t>Antes</w:t>
            </w:r>
          </w:p>
        </w:tc>
        <w:tc>
          <w:tcPr>
            <w:tcW w:type="dxa" w:w="2079"/>
          </w:tcPr>
          <w:p>
            <w:pPr>
              <w:spacing w:after="40"/>
            </w:pPr>
            <w:r>
              <w:rPr>
                <w:sz w:val="17"/>
              </w:rPr>
            </w:r>
            <w:r>
              <w:rPr>
                <w:rFonts w:ascii="IBM Plex Sans" w:hAnsi="IBM Plex Sans" w:cs="IBM Plex Sans"/>
                <w:b w:val="0"/>
                <w:i w:val="0"/>
                <w:color w:val="161412"/>
                <w:sz w:val="17"/>
              </w:rPr>
              <w:t>signal.warn + threat</w:t>
            </w:r>
          </w:p>
        </w:tc>
        <w:tc>
          <w:tcPr>
            <w:tcW w:type="dxa" w:w="2079"/>
          </w:tcPr>
          <w:p>
            <w:pPr>
              <w:spacing w:after="40"/>
            </w:pPr>
            <w:r>
              <w:rPr>
                <w:sz w:val="17"/>
              </w:rPr>
            </w:r>
            <w:r>
              <w:rPr>
                <w:rFonts w:ascii="IBM Plex Sans" w:hAnsi="IBM Plex Sans" w:cs="IBM Plex Sans"/>
                <w:b w:val="0"/>
                <w:i w:val="0"/>
                <w:color w:val="161412"/>
                <w:sz w:val="17"/>
              </w:rPr>
              <w:t>no percibir gravedad</w:t>
            </w:r>
          </w:p>
        </w:tc>
        <w:tc>
          <w:tcPr>
            <w:tcW w:type="dxa" w:w="2079"/>
          </w:tcPr>
          <w:p>
            <w:pPr>
              <w:spacing w:after="40"/>
            </w:pPr>
            <w:r>
              <w:rPr>
                <w:sz w:val="17"/>
              </w:rPr>
            </w:r>
            <w:r>
              <w:rPr>
                <w:rFonts w:ascii="IBM Plex Sans" w:hAnsi="IBM Plex Sans" w:cs="IBM Plex Sans"/>
                <w:b w:val="0"/>
                <w:i w:val="0"/>
                <w:color w:val="161412"/>
                <w:sz w:val="17"/>
              </w:rPr>
              <w:t>texto, foco, forma, color</w:t>
            </w:r>
          </w:p>
        </w:tc>
      </w:tr>
      <w:tr>
        <w:tc>
          <w:tcPr>
            <w:tcW w:type="dxa" w:w="2079"/>
          </w:tcPr>
          <w:p>
            <w:pPr>
              <w:spacing w:after="40"/>
            </w:pPr>
            <w:r>
              <w:rPr>
                <w:sz w:val="17"/>
              </w:rPr>
            </w:r>
            <w:r>
              <w:rPr>
                <w:rFonts w:ascii="IBM Plex Sans" w:hAnsi="IBM Plex Sans" w:cs="IBM Plex Sans"/>
                <w:b w:val="0"/>
                <w:i w:val="0"/>
                <w:color w:val="161412"/>
                <w:sz w:val="17"/>
              </w:rPr>
              <w:t>Después</w:t>
            </w:r>
          </w:p>
        </w:tc>
        <w:tc>
          <w:tcPr>
            <w:tcW w:type="dxa" w:w="2079"/>
          </w:tcPr>
          <w:p>
            <w:pPr>
              <w:spacing w:after="40"/>
            </w:pPr>
            <w:r>
              <w:rPr>
                <w:sz w:val="17"/>
              </w:rPr>
            </w:r>
            <w:r>
              <w:rPr>
                <w:rFonts w:ascii="IBM Plex Sans" w:hAnsi="IBM Plex Sans" w:cs="IBM Plex Sans"/>
                <w:b w:val="0"/>
                <w:i w:val="0"/>
                <w:color w:val="161412"/>
                <w:sz w:val="17"/>
              </w:rPr>
              <w:t>commit.delete + loss</w:t>
            </w:r>
          </w:p>
        </w:tc>
        <w:tc>
          <w:tcPr>
            <w:tcW w:type="dxa" w:w="2079"/>
          </w:tcPr>
          <w:p>
            <w:pPr>
              <w:spacing w:after="40"/>
            </w:pPr>
            <w:r>
              <w:rPr>
                <w:sz w:val="17"/>
              </w:rPr>
            </w:r>
            <w:r>
              <w:rPr>
                <w:rFonts w:ascii="IBM Plex Sans" w:hAnsi="IBM Plex Sans" w:cs="IBM Plex Sans"/>
                <w:b w:val="0"/>
                <w:i w:val="0"/>
                <w:color w:val="161412"/>
                <w:sz w:val="17"/>
              </w:rPr>
              <w:t>confundir con ocultación</w:t>
            </w:r>
          </w:p>
        </w:tc>
        <w:tc>
          <w:tcPr>
            <w:tcW w:type="dxa" w:w="2079"/>
          </w:tcPr>
          <w:p>
            <w:pPr>
              <w:spacing w:after="40"/>
            </w:pPr>
            <w:r>
              <w:rPr>
                <w:sz w:val="17"/>
              </w:rPr>
            </w:r>
            <w:r>
              <w:rPr>
                <w:rFonts w:ascii="IBM Plex Sans" w:hAnsi="IBM Plex Sans" w:cs="IBM Plex Sans"/>
                <w:b w:val="0"/>
                <w:i w:val="0"/>
                <w:color w:val="161412"/>
                <w:sz w:val="17"/>
              </w:rPr>
              <w:t>mensaje, huella, actualización</w:t>
            </w:r>
          </w:p>
        </w:tc>
      </w:tr>
      <w:tr>
        <w:tc>
          <w:tcPr>
            <w:tcW w:type="dxa" w:w="2079"/>
          </w:tcPr>
          <w:p>
            <w:pPr>
              <w:spacing w:after="40"/>
            </w:pPr>
            <w:r>
              <w:rPr>
                <w:sz w:val="17"/>
              </w:rPr>
            </w:r>
            <w:r>
              <w:rPr>
                <w:rFonts w:ascii="IBM Plex Sans" w:hAnsi="IBM Plex Sans" w:cs="IBM Plex Sans"/>
                <w:b w:val="0"/>
                <w:i w:val="0"/>
                <w:color w:val="161412"/>
                <w:sz w:val="17"/>
              </w:rPr>
              <w:t>Reparación</w:t>
            </w:r>
          </w:p>
        </w:tc>
        <w:tc>
          <w:tcPr>
            <w:tcW w:type="dxa" w:w="2079"/>
          </w:tcPr>
          <w:p>
            <w:pPr>
              <w:spacing w:after="40"/>
            </w:pPr>
            <w:r>
              <w:rPr>
                <w:sz w:val="17"/>
              </w:rPr>
            </w:r>
            <w:r>
              <w:rPr>
                <w:rFonts w:ascii="IBM Plex Sans" w:hAnsi="IBM Plex Sans" w:cs="IBM Plex Sans"/>
                <w:b w:val="0"/>
                <w:i w:val="0"/>
                <w:color w:val="161412"/>
                <w:sz w:val="17"/>
              </w:rPr>
              <w:t>emerge.present undo</w:t>
            </w:r>
          </w:p>
        </w:tc>
        <w:tc>
          <w:tcPr>
            <w:tcW w:type="dxa" w:w="2079"/>
          </w:tcPr>
          <w:p>
            <w:pPr>
              <w:spacing w:after="40"/>
            </w:pPr>
            <w:r>
              <w:rPr>
                <w:sz w:val="17"/>
              </w:rPr>
            </w:r>
            <w:r>
              <w:rPr>
                <w:rFonts w:ascii="IBM Plex Sans" w:hAnsi="IBM Plex Sans" w:cs="IBM Plex Sans"/>
                <w:b w:val="0"/>
                <w:i w:val="0"/>
                <w:color w:val="161412"/>
                <w:sz w:val="17"/>
              </w:rPr>
              <w:t>no llegar a deshacer</w:t>
            </w:r>
          </w:p>
        </w:tc>
        <w:tc>
          <w:tcPr>
            <w:tcW w:type="dxa" w:w="2079"/>
          </w:tcPr>
          <w:p>
            <w:pPr>
              <w:spacing w:after="40"/>
            </w:pPr>
            <w:r>
              <w:rPr>
                <w:sz w:val="17"/>
              </w:rPr>
            </w:r>
            <w:r>
              <w:rPr>
                <w:rFonts w:ascii="IBM Plex Sans" w:hAnsi="IBM Plex Sans" w:cs="IBM Plex Sans"/>
                <w:b w:val="0"/>
                <w:i w:val="0"/>
                <w:color w:val="161412"/>
                <w:sz w:val="17"/>
              </w:rPr>
              <w:t>persistencia, botón claro, foco/anuncio</w:t>
            </w:r>
          </w:p>
        </w:tc>
      </w:tr>
    </w:tbl>
    <w:p>
      <w:pPr>
        <w:spacing w:after="120" w:line="320" w:lineRule="auto"/>
        <w:jc w:val="both"/>
      </w:pPr>
      <w:r>
        <w:rPr>
          <w:rFonts w:ascii="Newsreader" w:hAnsi="Newsreader" w:cs="Newsreader"/>
          <w:b w:val="0"/>
          <w:i w:val="0"/>
          <w:color w:val="161412"/>
        </w:rPr>
        <w:t xml:space="preserve">Antes, el signal.warn + threat pide texto claro, forma de advertencia, presencia suficiente, foco en la decisión y color solo como refuerzo: «puedes evitar una consecuencia». Después, el commit.delete + loss pide retirada de la tarea, mensaje de consecuencia, actualización de la lista y huella temporal, sin alarma sostenida: «esto ya se eliminó». Y la reparación —emerge.present undo— pide una barra o mensaje persistente, un botón de deshacer claro, tiempo suficiente, foco no perdido y anuncio si procede: «puedes reparar temporalmente».</w:t>
      </w:r>
    </w:p>
    <w:p>
      <w:pPr>
        <w:spacing w:before="320" w:after="40"/>
      </w:pPr>
      <w:r>
        <w:rPr>
          <w:rFonts w:ascii="IBM Plex Sans" w:hAnsi="IBM Plex Sans" w:cs="IBM Plex Sans"/>
          <w:b/>
          <w:color w:val="1F3A5F"/>
          <w:sz w:val="18"/>
        </w:rPr>
        <w:t xml:space="preserve">§ 5</w:t>
      </w:r>
    </w:p>
    <w:p>
      <w:pPr>
        <w:spacing w:after="160" w:line="240" w:lineRule="auto"/>
      </w:pPr>
      <w:r>
        <w:rPr>
          <w:rFonts w:ascii="Newsreader" w:hAnsi="Newsreader" w:cs="Newsreader"/>
          <w:color w:val="161412"/>
          <w:sz w:val="38"/>
        </w:rPr>
        <w:t xml:space="preserve">Caso 4: drag-and-drop accesible</w:t>
      </w:r>
    </w:p>
    <w:p>
      <w:pPr>
        <w:spacing w:after="120" w:line="320" w:lineRule="auto"/>
        <w:jc w:val="both"/>
      </w:pPr>
      <w:r>
        <w:rPr>
          <w:rFonts w:ascii="Newsreader" w:hAnsi="Newsreader" w:cs="Newsreader"/>
          <w:b w:val="0"/>
          <w:i w:val="0"/>
          <w:color w:val="161412"/>
        </w:rPr>
        <w:t xml:space="preserve">Secuencia base: handle.pick → handle.carry → handle.drop → commit.reorder + affirm.</w:t>
      </w:r>
    </w:p>
    <w:p>
      <w:pPr>
        <w:spacing w:before="240" w:after="100"/>
      </w:pPr>
      <w:r>
        <w:rPr>
          <w:rFonts w:ascii="Newsreader" w:hAnsi="Newsreader" w:cs="Newsreader"/>
          <w:i/>
          <w:color w:val="1F3A5F"/>
          <w:sz w:val="28"/>
        </w:rPr>
        <w:t xml:space="preserve">Versión frágil</w:t>
      </w:r>
    </w:p>
    <w:p>
      <w:pPr>
        <w:spacing w:after="120" w:line="320" w:lineRule="auto"/>
        <w:jc w:val="both"/>
      </w:pPr>
      <w:r>
        <w:rPr>
          <w:rFonts w:ascii="Newsreader" w:hAnsi="Newsreader" w:cs="Newsreader"/>
          <w:b w:val="0"/>
          <w:i w:val="0"/>
          <w:color w:val="161412"/>
        </w:rPr>
        <w:t xml:space="preserve">Solo funciona con ratón o touch: no hay alternativa de teclado, no se anuncia la posición, no hay forma clara de cancelar. La semántica de manipulación depende por completo de un gesto físico y visual.</w:t>
      </w:r>
    </w:p>
    <w:p>
      <w:pPr>
        <w:spacing w:before="240" w:after="100"/>
      </w:pPr>
      <w:r>
        <w:rPr>
          <w:rFonts w:ascii="Newsreader" w:hAnsi="Newsreader" w:cs="Newsreader"/>
          <w:i/>
          <w:color w:val="1F3A5F"/>
          <w:sz w:val="28"/>
        </w:rPr>
        <w:t xml:space="preserve">Qué debe conservarse</w:t>
      </w:r>
    </w:p>
    <w:p>
      <w:pPr>
        <w:spacing w:after="120" w:line="320" w:lineRule="auto"/>
        <w:jc w:val="both"/>
      </w:pPr>
      <w:r>
        <w:rPr>
          <w:rFonts w:ascii="Newsreader" w:hAnsi="Newsreader" w:cs="Newsreader"/>
          <w:b w:val="0"/>
          <w:i w:val="0"/>
          <w:color w:val="161412"/>
        </w:rPr>
        <w:t xml:space="preserve">La accesibilidad no exige que todos hagan el mismo gesto; exige que todos puedan realizar y comprender el mismo evento operativo. El evento no es «arrastrar con ratón»: el evento es mover un objeto de una posición a otra.</w:t>
      </w:r>
    </w:p>
    <w:p>
      <w:pPr>
        <w:spacing w:before="240" w:after="100"/>
      </w:pPr>
      <w:r>
        <w:rPr>
          <w:rFonts w:ascii="Newsreader" w:hAnsi="Newsreader" w:cs="Newsreader"/>
          <w:i/>
          <w:color w:val="1F3A5F"/>
          <w:sz w:val="28"/>
        </w:rPr>
        <w:t xml:space="preserve">Versión accesible semánticamente</w:t>
      </w:r>
    </w:p>
    <w:p>
      <w:pPr>
        <w:spacing w:after="120" w:line="320" w:lineRule="auto"/>
        <w:jc w:val="both"/>
      </w:pPr>
      <w:r>
        <w:rPr>
          <w:rFonts w:ascii="Newsreader" w:hAnsi="Newsreader" w:cs="Newsreader"/>
          <w:b w:val="0"/>
          <w:i w:val="0"/>
          <w:color w:val="161412"/>
        </w:rPr>
        <w:t xml:space="preserve">Las opciones son conocidas: activar un modo «mover» con teclado, seleccionar el elemento, botones de subir y bajar, elegir destino, anunciar la posición actual y el resultado, permitir cancelar, marcar el destino válido y conservar el foco. Lo importante es que la semántica se conserva: «he elegido este objeto», «lo estoy moviendo», «quedó en otra posición».</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La accesibilidad no exige el mismo gesto. Exige el mismo evento operativo comprensible.</w:t>
      </w:r>
    </w:p>
    <w:p>
      <w:pPr>
        <w:spacing w:before="320" w:after="40"/>
      </w:pPr>
      <w:r>
        <w:rPr>
          <w:rFonts w:ascii="IBM Plex Sans" w:hAnsi="IBM Plex Sans" w:cs="IBM Plex Sans"/>
          <w:b/>
          <w:color w:val="1F3A5F"/>
          <w:sz w:val="18"/>
        </w:rPr>
        <w:t xml:space="preserve">§ 6</w:t>
      </w:r>
    </w:p>
    <w:p>
      <w:pPr>
        <w:spacing w:after="160" w:line="240" w:lineRule="auto"/>
      </w:pPr>
      <w:r>
        <w:rPr>
          <w:rFonts w:ascii="Newsreader" w:hAnsi="Newsreader" w:cs="Newsreader"/>
          <w:color w:val="161412"/>
          <w:sz w:val="38"/>
        </w:rPr>
        <w:t xml:space="preserve">Caso 5: señal crítica sin sonido ni color</w:t>
      </w:r>
    </w:p>
    <w:p>
      <w:pPr>
        <w:spacing w:after="120" w:line="320" w:lineRule="auto"/>
        <w:jc w:val="both"/>
      </w:pPr>
      <w:r>
        <w:rPr>
          <w:rFonts w:ascii="Newsreader" w:hAnsi="Newsreader" w:cs="Newsreader"/>
          <w:b w:val="0"/>
          <w:i w:val="0"/>
          <w:color w:val="161412"/>
        </w:rPr>
        <w:t xml:space="preserve">Evento base: signal.alert + threat. La sesión expirará en treinta segundos si el usuario no actúa.</w:t>
      </w:r>
    </w:p>
    <w:p>
      <w:pPr>
        <w:spacing w:before="240" w:after="100"/>
      </w:pPr>
      <w:r>
        <w:rPr>
          <w:rFonts w:ascii="Newsreader" w:hAnsi="Newsreader" w:cs="Newsreader"/>
          <w:i/>
          <w:color w:val="1F3A5F"/>
          <w:sz w:val="28"/>
        </w:rPr>
        <w:t xml:space="preserve">Sin sonido</w:t>
      </w:r>
    </w:p>
    <w:p>
      <w:pPr>
        <w:spacing w:after="120" w:line="320" w:lineRule="auto"/>
        <w:jc w:val="both"/>
      </w:pPr>
      <w:r>
        <w:rPr>
          <w:rFonts w:ascii="Newsreader" w:hAnsi="Newsreader" w:cs="Newsreader"/>
          <w:b w:val="0"/>
          <w:i w:val="0"/>
          <w:color w:val="161412"/>
        </w:rPr>
        <w:t xml:space="preserve">La amenaza debe migrar a presencia dominante, texto claro, cuenta atrás si procede, color de alta saliencia, forma crítica, foco si bloquea la acción y persistencia hasta la respuesta.</w:t>
      </w:r>
    </w:p>
    <w:p>
      <w:pPr>
        <w:spacing w:before="240" w:after="100"/>
      </w:pPr>
      <w:r>
        <w:rPr>
          <w:rFonts w:ascii="Newsreader" w:hAnsi="Newsreader" w:cs="Newsreader"/>
          <w:i/>
          <w:color w:val="1F3A5F"/>
          <w:sz w:val="28"/>
        </w:rPr>
        <w:t xml:space="preserve">Sin color</w:t>
      </w:r>
    </w:p>
    <w:p>
      <w:pPr>
        <w:spacing w:after="120" w:line="320" w:lineRule="auto"/>
        <w:jc w:val="both"/>
      </w:pPr>
      <w:r>
        <w:rPr>
          <w:rFonts w:ascii="Newsreader" w:hAnsi="Newsreader" w:cs="Newsreader"/>
          <w:b w:val="0"/>
          <w:i w:val="0"/>
          <w:color w:val="161412"/>
        </w:rPr>
        <w:t xml:space="preserve">Debe sobrevivir mediante forma, texto, icono, posición, persistencia y, quizá, un motion contenido.</w:t>
      </w:r>
    </w:p>
    <w:p>
      <w:pPr>
        <w:spacing w:before="240" w:after="100"/>
      </w:pPr>
      <w:r>
        <w:rPr>
          <w:rFonts w:ascii="Newsreader" w:hAnsi="Newsreader" w:cs="Newsreader"/>
          <w:i/>
          <w:color w:val="1F3A5F"/>
          <w:sz w:val="28"/>
        </w:rPr>
        <w:t xml:space="preserve">Sin sonido y sin color</w:t>
      </w:r>
    </w:p>
    <w:p>
      <w:pPr>
        <w:spacing w:after="120" w:line="320" w:lineRule="auto"/>
        <w:jc w:val="both"/>
      </w:pPr>
      <w:r>
        <w:rPr>
          <w:rFonts w:ascii="Newsreader" w:hAnsi="Newsreader" w:cs="Newsreader"/>
          <w:b w:val="0"/>
          <w:i w:val="0"/>
          <w:color w:val="161412"/>
        </w:rPr>
        <w:t xml:space="preserve">Este es el caso extremo donde la migración se pone a prueba: la amenaza debe sobrevivir solo con forma, texto, posición, tamaño y persistencia. Un bloque de texto grande, bien posicionado, con icono reconocible, foco capturado y cuenta atrás textual puede comunicar urgencia sin depender de color ni de sonido. Si la semántica sobrevive aquí, la arquitectura multicanal funciona.</w:t>
      </w:r>
    </w:p>
    <w:p>
      <w:pPr>
        <w:spacing w:before="240" w:after="100"/>
      </w:pPr>
      <w:r>
        <w:rPr>
          <w:rFonts w:ascii="Newsreader" w:hAnsi="Newsreader" w:cs="Newsreader"/>
          <w:i/>
          <w:color w:val="1F3A5F"/>
          <w:sz w:val="28"/>
        </w:rPr>
        <w:t xml:space="preserve">Con lector de pantalla</w:t>
      </w:r>
    </w:p>
    <w:p>
      <w:pPr>
        <w:spacing w:after="120" w:line="320" w:lineRule="auto"/>
        <w:jc w:val="both"/>
      </w:pPr>
      <w:r>
        <w:rPr>
          <w:rFonts w:ascii="Newsreader" w:hAnsi="Newsreader" w:cs="Newsreader"/>
          <w:b w:val="0"/>
          <w:i w:val="0"/>
          <w:color w:val="161412"/>
        </w:rPr>
        <w:t xml:space="preserve">Debe anunciarse con la prioridad adecuada, pero sin crear ruido continuo. La semántica no es «hacer ruido»: es permitir la acción antes de la consecuencia.</w:t>
      </w:r>
    </w:p>
    <w:p>
      <w:pPr>
        <w:spacing w:before="320" w:after="40"/>
      </w:pPr>
      <w:r>
        <w:rPr>
          <w:rFonts w:ascii="IBM Plex Sans" w:hAnsi="IBM Plex Sans" w:cs="IBM Plex Sans"/>
          <w:b/>
          <w:color w:val="1F3A5F"/>
          <w:sz w:val="18"/>
        </w:rPr>
        <w:t xml:space="preserve">§ 7</w:t>
      </w:r>
    </w:p>
    <w:p>
      <w:pPr>
        <w:spacing w:after="160" w:line="240" w:lineRule="auto"/>
      </w:pPr>
      <w:r>
        <w:rPr>
          <w:rFonts w:ascii="Newsreader" w:hAnsi="Newsreader" w:cs="Newsreader"/>
          <w:color w:val="161412"/>
          <w:sz w:val="38"/>
        </w:rPr>
        <w:t xml:space="preserve">Principios de accesibilidad aplicada</w:t>
      </w:r>
    </w:p>
    <w:p>
      <w:pPr>
        <w:spacing w:after="120" w:line="320" w:lineRule="auto"/>
        <w:jc w:val="both"/>
      </w:pPr>
      <w:r>
        <w:rPr>
          <w:rFonts w:ascii="Newsreader" w:hAnsi="Newsreader" w:cs="Newsreader"/>
          <w:b/>
          <w:i w:val="0"/>
          <w:color w:val="161412"/>
        </w:rPr>
        <w:t xml:space="preserve">Conservar significado, no estímulo.</w:t>
      </w:r>
      <w:r>
        <w:rPr>
          <w:rFonts w:ascii="Newsreader" w:hAnsi="Newsreader" w:cs="Newsreader"/>
          <w:b w:val="0"/>
          <w:i w:val="0"/>
          <w:color w:val="161412"/>
        </w:rPr>
        <w:t xml:space="preserve"> Si un canal se reduce, la primera pregunta es qué significado transportaba.</w:t>
      </w:r>
    </w:p>
    <w:p>
      <w:pPr>
        <w:spacing w:after="120" w:line="320" w:lineRule="auto"/>
        <w:jc w:val="both"/>
      </w:pPr>
      <w:r>
        <w:rPr>
          <w:rFonts w:ascii="Newsreader" w:hAnsi="Newsreader" w:cs="Newsreader"/>
          <w:b/>
          <w:i w:val="0"/>
          <w:color w:val="161412"/>
        </w:rPr>
        <w:t xml:space="preserve">Diferenciar evento y gesto.</w:t>
      </w:r>
      <w:r>
        <w:rPr>
          <w:rFonts w:ascii="Newsreader" w:hAnsi="Newsreader" w:cs="Newsreader"/>
          <w:b w:val="0"/>
          <w:i w:val="0"/>
          <w:color w:val="161412"/>
        </w:rPr>
        <w:t xml:space="preserve"> El gesto puede cambiar; el evento debe mantenerse. Un drag físico puede convertirse en mover con teclado.</w:t>
      </w:r>
    </w:p>
    <w:p>
      <w:pPr>
        <w:spacing w:after="120" w:line="320" w:lineRule="auto"/>
        <w:jc w:val="both"/>
      </w:pPr>
      <w:r>
        <w:rPr>
          <w:rFonts w:ascii="Newsreader" w:hAnsi="Newsreader" w:cs="Newsreader"/>
          <w:b/>
          <w:i w:val="0"/>
          <w:color w:val="161412"/>
        </w:rPr>
        <w:t xml:space="preserve">No depender del color para el intent.</w:t>
      </w:r>
      <w:r>
        <w:rPr>
          <w:rFonts w:ascii="Newsreader" w:hAnsi="Newsreader" w:cs="Newsreader"/>
          <w:b w:val="0"/>
          <w:i w:val="0"/>
          <w:color w:val="161412"/>
        </w:rPr>
        <w:t xml:space="preserve"> risk, threat, loss, affirm y fulfill deben sobrevivir sin color.</w:t>
      </w:r>
    </w:p>
    <w:p>
      <w:pPr>
        <w:spacing w:after="120" w:line="320" w:lineRule="auto"/>
        <w:jc w:val="both"/>
      </w:pPr>
      <w:r>
        <w:rPr>
          <w:rFonts w:ascii="Newsreader" w:hAnsi="Newsreader" w:cs="Newsreader"/>
          <w:b/>
          <w:i w:val="0"/>
          <w:color w:val="161412"/>
        </w:rPr>
        <w:t xml:space="preserve">No depender del motion para la causalidad.</w:t>
      </w:r>
      <w:r>
        <w:rPr>
          <w:rFonts w:ascii="Newsreader" w:hAnsi="Newsreader" w:cs="Newsreader"/>
          <w:b w:val="0"/>
          <w:i w:val="0"/>
          <w:color w:val="161412"/>
        </w:rPr>
        <w:t xml:space="preserve"> Si el movimiento se reduce, la agencia migra a estado, foco, texto, sonido o háptica opcional.</w:t>
      </w:r>
    </w:p>
    <w:p>
      <w:pPr>
        <w:spacing w:after="120" w:line="320" w:lineRule="auto"/>
        <w:jc w:val="both"/>
      </w:pPr>
      <w:r>
        <w:rPr>
          <w:rFonts w:ascii="Newsreader" w:hAnsi="Newsreader" w:cs="Newsreader"/>
          <w:b/>
          <w:i w:val="0"/>
          <w:color w:val="161412"/>
        </w:rPr>
        <w:t xml:space="preserve">No depender del sonido para la urgencia.</w:t>
      </w:r>
      <w:r>
        <w:rPr>
          <w:rFonts w:ascii="Newsreader" w:hAnsi="Newsreader" w:cs="Newsreader"/>
          <w:b w:val="0"/>
          <w:i w:val="0"/>
          <w:color w:val="161412"/>
        </w:rPr>
        <w:t xml:space="preserve"> Una amenaza debe tener presencia visual y textual suficiente por sí misma.</w:t>
      </w:r>
    </w:p>
    <w:p>
      <w:pPr>
        <w:spacing w:after="120" w:line="320" w:lineRule="auto"/>
        <w:jc w:val="both"/>
      </w:pPr>
      <w:r>
        <w:rPr>
          <w:rFonts w:ascii="Newsreader" w:hAnsi="Newsreader" w:cs="Newsreader"/>
          <w:b/>
          <w:i w:val="0"/>
          <w:color w:val="161412"/>
        </w:rPr>
        <w:t xml:space="preserve">No hacer efímero lo importante.</w:t>
      </w:r>
      <w:r>
        <w:rPr>
          <w:rFonts w:ascii="Newsreader" w:hAnsi="Newsreader" w:cs="Newsreader"/>
          <w:b w:val="0"/>
          <w:i w:val="0"/>
          <w:color w:val="161412"/>
        </w:rPr>
        <w:t xml:space="preserve"> Las señales críticas y los resultados relevantes deben dejar huella.</w:t>
      </w:r>
    </w:p>
    <w:p>
      <w:pPr>
        <w:spacing w:after="120" w:line="320" w:lineRule="auto"/>
        <w:jc w:val="both"/>
      </w:pPr>
      <w:r>
        <w:rPr>
          <w:rFonts w:ascii="Newsreader" w:hAnsi="Newsreader" w:cs="Newsreader"/>
          <w:b/>
          <w:i w:val="0"/>
          <w:color w:val="161412"/>
        </w:rPr>
        <w:t xml:space="preserve">Adaptar la intensidad.</w:t>
      </w:r>
      <w:r>
        <w:rPr>
          <w:rFonts w:ascii="Newsreader" w:hAnsi="Newsreader" w:cs="Newsreader"/>
          <w:b w:val="0"/>
          <w:i w:val="0"/>
          <w:color w:val="161412"/>
        </w:rPr>
        <w:t xml:space="preserve"> Accesibilidad también significa reducir fatiga sensorial.</w:t>
      </w:r>
    </w:p>
    <w:p>
      <w:pPr>
        <w:spacing w:before="320" w:after="40"/>
      </w:pPr>
      <w:r>
        <w:rPr>
          <w:rFonts w:ascii="IBM Plex Sans" w:hAnsi="IBM Plex Sans" w:cs="IBM Plex Sans"/>
          <w:b/>
          <w:color w:val="1F3A5F"/>
          <w:sz w:val="18"/>
        </w:rPr>
        <w:t xml:space="preserve">§ 8</w:t>
      </w:r>
    </w:p>
    <w:p>
      <w:pPr>
        <w:spacing w:after="160" w:line="240" w:lineRule="auto"/>
      </w:pPr>
      <w:r>
        <w:rPr>
          <w:rFonts w:ascii="Newsreader" w:hAnsi="Newsreader" w:cs="Newsreader"/>
          <w:color w:val="161412"/>
          <w:sz w:val="38"/>
        </w:rPr>
        <w:t xml:space="preserve">Ficha de migración semántica</w:t>
      </w:r>
    </w:p>
    <w:p>
      <w:pPr>
        <w:spacing w:after="120" w:line="320" w:lineRule="auto"/>
        <w:jc w:val="both"/>
      </w:pPr>
      <w:r>
        <w:rPr>
          <w:rFonts w:ascii="Newsreader" w:hAnsi="Newsreader" w:cs="Newsreader"/>
          <w:b w:val="0"/>
          <w:i w:val="0"/>
          <w:color w:val="161412"/>
        </w:rPr>
        <w:t xml:space="preserve">Para revisar un flujo conviene rellenar una ficha. Sobre el ejemplo de eliminar una tarea con undo:</w:t>
      </w:r>
    </w:p>
    <w:p>
      <w:pPr>
        <w:spacing w:after="100" w:line="312" w:lineRule="auto"/>
        <w:ind w:left="403" w:hanging="259"/>
        <w:jc w:val="both"/>
      </w:pPr>
      <w:r>
        <w:rPr>
          <w:rFonts w:ascii="IBM Plex Sans" w:hAnsi="IBM Plex Sans" w:cs="IBM Plex Sans"/>
          <w:b/>
          <w:color w:val="1F3A5F"/>
          <w:sz w:val="20"/>
        </w:rPr>
        <w:t xml:space="preserve">•  Flujo: eliminar tarea con undo. Evento principal: commit.delete + loss.</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Familias implicadas: signal, commit, emerge. Intents: threat, loss, neutral.</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Canales dominantes: presencia, forma, texto, color.</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Sin color: se mantiene con texto, forma e icono. Reduced motion: retirada menos animada, huella persistente. Sin sonido: no afecta.</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Teclado: foco en la confirmación y luego en el undo. Lector: anuncio de la eliminación y de la acción disponible.</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Significado en riesgo: pérdida + reparación temporal. Migración: mensaje persistente + undo + actualización de la lista.</w:t>
      </w:r>
      <w:r>
        <w:rPr>
          <w:rFonts w:ascii="Newsreader" w:hAnsi="Newsreader" w:cs="Newsreader"/>
          <w:b w:val="0"/>
          <w:i w:val="0"/>
          <w:color w:val="161412"/>
        </w:rPr>
        <w:t xml:space="preserve"/>
      </w:r>
    </w:p>
    <w:p>
      <w:pPr>
        <w:spacing w:before="200" w:after="60"/>
        <w:jc w:val="center"/>
      </w:pPr>
      <w:r>
        <w:drawing>
          <wp:inline xmlns:a="http://schemas.openxmlformats.org/drawingml/2006/main" xmlns:pic="http://schemas.openxmlformats.org/drawingml/2006/picture">
            <wp:extent cx="5029200" cy="2794349"/>
            <wp:docPr id="78" name="Picture 78"/>
            <wp:cNvGraphicFramePr>
              <a:graphicFrameLocks noChangeAspect="1"/>
            </wp:cNvGraphicFramePr>
            <a:graphic>
              <a:graphicData uri="http://schemas.openxmlformats.org/drawingml/2006/picture">
                <pic:pic>
                  <pic:nvPicPr>
                    <pic:cNvPr id="0" name="figura-33-2.png"/>
                    <pic:cNvPicPr/>
                  </pic:nvPicPr>
                  <pic:blipFill>
                    <a:blip r:embed="rId86"/>
                    <a:stretch>
                      <a:fillRect/>
                    </a:stretch>
                  </pic:blipFill>
                  <pic:spPr>
                    <a:xfrm>
                      <a:off x="0" y="0"/>
                      <a:ext cx="5029200" cy="2794349"/>
                    </a:xfrm>
                    <a:prstGeom prst="rect"/>
                  </pic:spPr>
                </pic:pic>
              </a:graphicData>
            </a:graphic>
          </wp:inline>
        </w:drawing>
      </w:r>
    </w:p>
    <w:p>
      <w:pPr>
        <w:spacing w:before="320" w:after="40"/>
      </w:pPr>
      <w:r>
        <w:rPr>
          <w:rFonts w:ascii="IBM Plex Sans" w:hAnsi="IBM Plex Sans" w:cs="IBM Plex Sans"/>
          <w:b/>
          <w:color w:val="1F3A5F"/>
          <w:sz w:val="18"/>
        </w:rPr>
        <w:t xml:space="preserve">§ 9</w:t>
      </w:r>
    </w:p>
    <w:p>
      <w:pPr>
        <w:spacing w:after="160" w:line="240" w:lineRule="auto"/>
      </w:pPr>
      <w:r>
        <w:rPr>
          <w:rFonts w:ascii="Newsreader" w:hAnsi="Newsreader" w:cs="Newsreader"/>
          <w:color w:val="161412"/>
          <w:sz w:val="38"/>
        </w:rPr>
        <w:t xml:space="preserve">Antipatrones de accesibilidad aplicada</w:t>
      </w:r>
    </w:p>
    <w:p>
      <w:pPr>
        <w:spacing w:after="120" w:line="320" w:lineRule="auto"/>
        <w:jc w:val="both"/>
      </w:pPr>
      <w:r>
        <w:rPr>
          <w:rFonts w:ascii="Newsreader" w:hAnsi="Newsreader" w:cs="Newsreader"/>
          <w:b/>
          <w:i w:val="0"/>
          <w:color w:val="161412"/>
        </w:rPr>
        <w:t xml:space="preserve">Adaptar el componente, no el evento.</w:t>
      </w:r>
      <w:r>
        <w:rPr>
          <w:rFonts w:ascii="Newsreader" w:hAnsi="Newsreader" w:cs="Newsreader"/>
          <w:b w:val="0"/>
          <w:i w:val="0"/>
          <w:color w:val="161412"/>
        </w:rPr>
        <w:t xml:space="preserve"> El componente cumple WCAG, pero el flujo completo no se entiende: el usuario puede activar cada control sin comprender la secuencia semántica.</w:t>
      </w:r>
    </w:p>
    <w:p>
      <w:pPr>
        <w:spacing w:after="120" w:line="320" w:lineRule="auto"/>
        <w:jc w:val="both"/>
      </w:pPr>
      <w:r>
        <w:rPr>
          <w:rFonts w:ascii="Newsreader" w:hAnsi="Newsreader" w:cs="Newsreader"/>
          <w:b/>
          <w:i w:val="0"/>
          <w:color w:val="161412"/>
        </w:rPr>
        <w:t xml:space="preserve">Quitar motion sin sustituir significado.</w:t>
      </w:r>
      <w:r>
        <w:rPr>
          <w:rFonts w:ascii="Newsreader" w:hAnsi="Newsreader" w:cs="Newsreader"/>
          <w:b w:val="0"/>
          <w:i w:val="0"/>
          <w:color w:val="161412"/>
        </w:rPr>
        <w:t xml:space="preserve"> Se elimina el mareo, pero también la causalidad y la continuidad: el usuario deja de percibir qué causó qué.</w:t>
      </w:r>
    </w:p>
    <w:p>
      <w:pPr>
        <w:spacing w:after="120" w:line="320" w:lineRule="auto"/>
        <w:jc w:val="both"/>
      </w:pPr>
      <w:r>
        <w:rPr>
          <w:rFonts w:ascii="Newsreader" w:hAnsi="Newsreader" w:cs="Newsreader"/>
          <w:b/>
          <w:i w:val="0"/>
          <w:color w:val="161412"/>
        </w:rPr>
        <w:t xml:space="preserve">Silenciar sin respaldo.</w:t>
      </w:r>
      <w:r>
        <w:rPr>
          <w:rFonts w:ascii="Newsreader" w:hAnsi="Newsreader" w:cs="Newsreader"/>
          <w:b w:val="0"/>
          <w:i w:val="0"/>
          <w:color w:val="161412"/>
        </w:rPr>
        <w:t xml:space="preserve"> Se apaga el sonido, pero la alerta fuera de foco se pierde: no queda otra forma de saber que algo reclama atención.</w:t>
      </w:r>
    </w:p>
    <w:p>
      <w:pPr>
        <w:spacing w:after="120" w:line="320" w:lineRule="auto"/>
        <w:jc w:val="both"/>
      </w:pPr>
      <w:r>
        <w:rPr>
          <w:rFonts w:ascii="Newsreader" w:hAnsi="Newsreader" w:cs="Newsreader"/>
          <w:b/>
          <w:i w:val="0"/>
          <w:color w:val="161412"/>
        </w:rPr>
        <w:t xml:space="preserve">Alto contraste sin estructura.</w:t>
      </w:r>
      <w:r>
        <w:rPr>
          <w:rFonts w:ascii="Newsreader" w:hAnsi="Newsreader" w:cs="Newsreader"/>
          <w:b w:val="0"/>
          <w:i w:val="0"/>
          <w:color w:val="161412"/>
        </w:rPr>
        <w:t xml:space="preserve"> Se mejora la visibilidad, pero la jerarquía de eventos sigue confusa: se ve mejor, pero no se entiende mejor.</w:t>
      </w:r>
    </w:p>
    <w:p>
      <w:pPr>
        <w:spacing w:after="120" w:line="320" w:lineRule="auto"/>
        <w:jc w:val="both"/>
      </w:pPr>
      <w:r>
        <w:rPr>
          <w:rFonts w:ascii="Newsreader" w:hAnsi="Newsreader" w:cs="Newsreader"/>
          <w:b/>
          <w:i w:val="0"/>
          <w:color w:val="161412"/>
        </w:rPr>
        <w:t xml:space="preserve">Teclado sin semántica.</w:t>
      </w:r>
      <w:r>
        <w:rPr>
          <w:rFonts w:ascii="Newsreader" w:hAnsi="Newsreader" w:cs="Newsreader"/>
          <w:b w:val="0"/>
          <w:i w:val="0"/>
          <w:color w:val="161412"/>
        </w:rPr>
        <w:t xml:space="preserve"> Se puede llegar al control, pero no entender el estado, el resultado ni la consecuencia del evento.</w:t>
      </w:r>
    </w:p>
    <w:p>
      <w:pPr>
        <w:spacing w:after="120" w:line="320" w:lineRule="auto"/>
        <w:jc w:val="both"/>
      </w:pPr>
      <w:r>
        <w:rPr>
          <w:rFonts w:ascii="Newsreader" w:hAnsi="Newsreader" w:cs="Newsreader"/>
          <w:b/>
          <w:i w:val="0"/>
          <w:color w:val="161412"/>
        </w:rPr>
        <w:t xml:space="preserve">Lector de pantalla sin secuencia.</w:t>
      </w:r>
      <w:r>
        <w:rPr>
          <w:rFonts w:ascii="Newsreader" w:hAnsi="Newsreader" w:cs="Newsreader"/>
          <w:b w:val="0"/>
          <w:i w:val="0"/>
          <w:color w:val="161412"/>
        </w:rPr>
        <w:t xml:space="preserve"> Se anuncian piezas aisladas, pero no el flujo: el usuario oye elementos, no comprende la operación.</w:t>
      </w:r>
    </w:p>
    <w:p>
      <w:pPr>
        <w:spacing w:before="320" w:after="40"/>
      </w:pPr>
      <w:r>
        <w:rPr>
          <w:rFonts w:ascii="IBM Plex Sans" w:hAnsi="IBM Plex Sans" w:cs="IBM Plex Sans"/>
          <w:b/>
          <w:color w:val="1F3A5F"/>
          <w:sz w:val="18"/>
        </w:rPr>
        <w:t xml:space="preserve">§ 10</w:t>
      </w:r>
    </w:p>
    <w:p>
      <w:pPr>
        <w:spacing w:after="160" w:line="240" w:lineRule="auto"/>
      </w:pPr>
      <w:r>
        <w:rPr>
          <w:rFonts w:ascii="Newsreader" w:hAnsi="Newsreader" w:cs="Newsreader"/>
          <w:color w:val="161412"/>
          <w:sz w:val="38"/>
        </w:rPr>
        <w:t xml:space="preserve">Síntesis</w:t>
      </w:r>
    </w:p>
    <w:p>
      <w:pPr>
        <w:spacing w:after="120" w:line="320" w:lineRule="auto"/>
        <w:jc w:val="both"/>
      </w:pPr>
      <w:r>
        <w:rPr>
          <w:rFonts w:ascii="Newsreader" w:hAnsi="Newsreader" w:cs="Newsreader"/>
          <w:b w:val="0"/>
          <w:i w:val="0"/>
          <w:color w:val="161412"/>
        </w:rPr>
        <w:t xml:space="preserve">La accesibilidad aplicada es donde la gramática multicanal demuestra si funciona. No basta con que un canal tenga alternativa, ni con que un componente cumpla una regla, ni con que haya etiquetas: lo que debe sobrevivir es la lectura.</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Una adaptación accesible no conserva necesariamente los mismos estímulos. Conserva la misma lectura semántica.</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Cuando un canal falla, migra el significado, no el adorno.</w:t>
      </w:r>
    </w:p>
    <w:p>
      <w:pPr>
        <w:spacing w:before="200" w:after="60"/>
        <w:jc w:val="center"/>
      </w:pPr>
      <w:r>
        <w:drawing>
          <wp:inline xmlns:a="http://schemas.openxmlformats.org/drawingml/2006/main" xmlns:pic="http://schemas.openxmlformats.org/drawingml/2006/picture">
            <wp:extent cx="5029200" cy="2794349"/>
            <wp:docPr id="79" name="Picture 79"/>
            <wp:cNvGraphicFramePr>
              <a:graphicFrameLocks noChangeAspect="1"/>
            </wp:cNvGraphicFramePr>
            <a:graphic>
              <a:graphicData uri="http://schemas.openxmlformats.org/drawingml/2006/picture">
                <pic:pic>
                  <pic:nvPicPr>
                    <pic:cNvPr id="0" name="figura-33-3.png"/>
                    <pic:cNvPicPr/>
                  </pic:nvPicPr>
                  <pic:blipFill>
                    <a:blip r:embed="rId87"/>
                    <a:stretch>
                      <a:fillRect/>
                    </a:stretch>
                  </pic:blipFill>
                  <pic:spPr>
                    <a:xfrm>
                      <a:off x="0" y="0"/>
                      <a:ext cx="5029200" cy="2794349"/>
                    </a:xfrm>
                    <a:prstGeom prst="rect"/>
                  </pic:spPr>
                </pic:pic>
              </a:graphicData>
            </a:graphic>
          </wp:inline>
        </w:drawing>
      </w:r>
    </w:p>
    <w:p>
      <w:r>
        <w:br w:type="page"/>
      </w:r>
    </w:p>
    <w:p>
      <w:pPr>
        <w:spacing w:after="40"/>
      </w:pPr>
      <w:r>
        <w:rPr>
          <w:rFonts w:ascii="IBM Plex Sans" w:hAnsi="IBM Plex Sans" w:cs="IBM Plex Sans"/>
          <w:b/>
          <w:color w:val="1F3A5F"/>
          <w:sz w:val="18"/>
        </w:rPr>
        <w:t>CAPÍTULO 34</w:t>
      </w:r>
    </w:p>
    <w:p>
      <w:pPr>
        <w:spacing w:after="80" w:line="240" w:lineRule="auto"/>
      </w:pPr>
      <w:r>
        <w:rPr>
          <w:rFonts w:ascii="IBM Plex Sans" w:hAnsi="IBM Plex Sans" w:cs="IBM Plex Sans"/>
          <w:color w:val="161412"/>
          <w:sz w:val="220"/>
        </w:rPr>
        <w:t>34</w:t>
      </w:r>
    </w:p>
    <w:p>
      <w:pPr>
        <w:spacing w:after="60" w:line="240" w:lineRule="auto"/>
      </w:pPr>
      <w:r>
        <w:rPr>
          <w:rFonts w:ascii="Newsreader" w:hAnsi="Newsreader" w:cs="Newsreader"/>
          <w:color w:val="161412"/>
          <w:sz w:val="60"/>
        </w:rPr>
        <w:t>Antipatrones globales</w:t>
      </w:r>
    </w:p>
    <w:p>
      <w:pPr>
        <w:spacing w:after="280"/>
      </w:pPr>
      <w:r>
        <w:rPr>
          <w:rFonts w:ascii="IBM Plex Sans" w:hAnsi="IBM Plex Sans" w:cs="IBM Plex Sans"/>
          <w:color w:val="6A635A"/>
          <w:sz w:val="26"/>
        </w:rPr>
        <w:t>Cuando la gramática se rompe</w:t>
      </w:r>
    </w:p>
    <w:p>
      <w:pPr>
        <w:pBdr>
          <w:bottom w:val="single" w:sz="4" w:space="4" w:color="1F3A5F"/>
        </w:pBdr>
      </w:pPr>
    </w:p>
    <w:p>
      <w:pPr>
        <w:spacing w:after="120" w:line="320" w:lineRule="auto"/>
        <w:jc w:val="both"/>
      </w:pPr>
      <w:r>
        <w:rPr>
          <w:rFonts w:ascii="Newsreader" w:hAnsi="Newsreader" w:cs="Newsreader"/>
          <w:b w:val="0"/>
          <w:i w:val="0"/>
          <w:color w:val="161412"/>
        </w:rPr>
        <w:t>Una gramática no se entiende del todo hasta que muestra sus errores.</w:t>
      </w:r>
    </w:p>
    <w:p>
      <w:pPr>
        <w:spacing w:after="120" w:line="320" w:lineRule="auto"/>
        <w:jc w:val="both"/>
      </w:pPr>
      <w:r>
        <w:rPr>
          <w:rFonts w:ascii="Newsreader" w:hAnsi="Newsreader" w:cs="Newsreader"/>
          <w:b w:val="0"/>
          <w:i w:val="0"/>
          <w:color w:val="161412"/>
        </w:rPr>
        <w:t>Hasta ahora hemos definido eventos, familias, intents, canales, composición, matrices, rangos y accesibilidad aplicada. Pero en una interfaz real, los problemas no siempre aparecen como fallos aislados. Muchas veces aparecen como rupturas de gramática.</w:t>
      </w:r>
    </w:p>
    <w:p>
      <w:pPr>
        <w:spacing w:after="120" w:line="320" w:lineRule="auto"/>
        <w:jc w:val="both"/>
      </w:pPr>
      <w:r>
        <w:rPr>
          <w:rFonts w:ascii="Newsreader" w:hAnsi="Newsreader" w:cs="Newsreader"/>
          <w:b w:val="0"/>
          <w:i w:val="0"/>
          <w:color w:val="161412"/>
        </w:rPr>
        <w:t>No es solo que una animación sea demasiado larga. No es solo que un color tenga poco contraste. No es solo que un sonido moleste. El problema más profundo suele ser otro: el sistema comunica una clase de evento distinta de la que realmente está ocurriendo.</w:t>
      </w:r>
    </w:p>
    <w:p>
      <w:pPr>
        <w:spacing w:before="160" w:after="40"/>
        <w:pBdr>
          <w:left w:val="single" w:sz="18" w:space="12" w:color="1F3A5F"/>
        </w:pBdr>
      </w:pPr>
      <w:r>
        <w:rPr>
          <w:rFonts w:ascii="IBM Plex Sans" w:hAnsi="IBM Plex Sans" w:cs="IBM Plex Sans"/>
          <w:b/>
          <w:color w:val="1F3A5F"/>
          <w:sz w:val="16"/>
        </w:rPr>
        <w:t>PREGUNTA DEL CAPÍTULO</w:t>
      </w:r>
    </w:p>
    <w:p>
      <w:pPr>
        <w:spacing w:after="120" w:line="312" w:lineRule="auto"/>
        <w:pBdr>
          <w:left w:val="single" w:sz="18" w:space="12" w:color="1F3A5F"/>
        </w:pBdr>
      </w:pPr>
      <w:r>
        <w:rPr>
          <w:rFonts w:ascii="Newsreader" w:hAnsi="Newsreader" w:cs="Newsreader"/>
          <w:b w:val="0"/>
          <w:i/>
          <w:color w:val="3A352F"/>
        </w:rPr>
        <w:t>¿Qué ocurre cuando la interfaz dice una cosa y el evento significa otra?</w:t>
      </w:r>
    </w:p>
    <w:p>
      <w:pPr>
        <w:spacing w:before="320" w:after="40"/>
      </w:pPr>
      <w:r>
        <w:rPr>
          <w:rFonts w:ascii="IBM Plex Sans" w:hAnsi="IBM Plex Sans" w:cs="IBM Plex Sans"/>
          <w:b/>
          <w:color w:val="1F3A5F"/>
          <w:sz w:val="18"/>
        </w:rPr>
        <w:t>§ 1</w:t>
      </w:r>
    </w:p>
    <w:p>
      <w:pPr>
        <w:spacing w:after="160" w:line="240" w:lineRule="auto"/>
      </w:pPr>
      <w:r>
        <w:rPr>
          <w:rFonts w:ascii="Newsreader" w:hAnsi="Newsreader" w:cs="Newsreader"/>
          <w:color w:val="161412"/>
          <w:sz w:val="38"/>
        </w:rPr>
        <w:t>Todo es success</w:t>
      </w:r>
    </w:p>
    <w:p>
      <w:pPr>
        <w:spacing w:after="120" w:line="320" w:lineRule="auto"/>
        <w:jc w:val="both"/>
      </w:pPr>
      <w:r>
        <w:rPr>
          <w:rFonts w:ascii="Newsreader" w:hAnsi="Newsreader" w:cs="Newsreader"/>
          <w:b w:val="0"/>
          <w:i w:val="0"/>
          <w:color w:val="161412"/>
        </w:rPr>
        <w:t>Qué se hace mal: toda operación positiva se comunica igual. Un autoguardado, un toggle, una preferencia cambiada, un formulario enviado, una subida terminada — todo recibe el mismo verde, el mismo check, la misma animación. commit.save + affirm y commit.complete + fulfill quedan aplastados bajo una sola categoría: success.</w:t>
      </w:r>
    </w:p>
    <w:p>
      <w:pPr>
        <w:spacing w:after="120" w:line="320" w:lineRule="auto"/>
        <w:jc w:val="both"/>
      </w:pPr>
      <w:r>
        <w:rPr>
          <w:rFonts w:ascii="Newsreader" w:hAnsi="Newsreader" w:cs="Newsreader"/>
          <w:b w:val="0"/>
          <w:i w:val="0"/>
          <w:color w:val="161412"/>
        </w:rPr>
        <w:t>Por qué parece correcto: porque ambos casos son positivos. El sistema hizo algo bien. La convención heredada del semáforo refuerza esta simplificación.</w:t>
      </w:r>
    </w:p>
    <w:p>
      <w:pPr>
        <w:spacing w:after="120" w:line="320" w:lineRule="auto"/>
        <w:jc w:val="both"/>
      </w:pPr>
      <w:r>
        <w:rPr>
          <w:rFonts w:ascii="Newsreader" w:hAnsi="Newsreader" w:cs="Newsreader"/>
          <w:b w:val="0"/>
          <w:i w:val="0"/>
          <w:color w:val="161412"/>
        </w:rPr>
        <w:t>Qué fundamento viola: la distinción entre valencia y activación. Affirm confirma normalidad. Fulfill resuelve una tensión. El autoguardado no debería sentirse como culminación.</w:t>
      </w:r>
    </w:p>
    <w:p>
      <w:pPr>
        <w:spacing w:after="120" w:line="320" w:lineRule="auto"/>
        <w:jc w:val="both"/>
      </w:pPr>
      <w:r>
        <w:rPr>
          <w:rFonts w:ascii="Newsreader" w:hAnsi="Newsreader" w:cs="Newsreader"/>
          <w:b w:val="0"/>
          <w:i w:val="0"/>
          <w:color w:val="161412"/>
        </w:rPr>
        <w:t>Corrección: separar confirmación suave (marca discreta, baja saliencia, sin sonido) de resolución positiva (motion resolutivo, cierre visible, color positivo más claro).</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Si todo es success, nada se siente realmente logrado.</w:t>
      </w:r>
    </w:p>
    <w:p>
      <w:pPr>
        <w:spacing w:before="320" w:after="40"/>
      </w:pPr>
      <w:r>
        <w:rPr>
          <w:rFonts w:ascii="IBM Plex Sans" w:hAnsi="IBM Plex Sans" w:cs="IBM Plex Sans"/>
          <w:b/>
          <w:color w:val="1F3A5F"/>
          <w:sz w:val="18"/>
        </w:rPr>
        <w:t>§ 2</w:t>
      </w:r>
    </w:p>
    <w:p>
      <w:pPr>
        <w:spacing w:after="160" w:line="240" w:lineRule="auto"/>
      </w:pPr>
      <w:r>
        <w:rPr>
          <w:rFonts w:ascii="Newsreader" w:hAnsi="Newsreader" w:cs="Newsreader"/>
          <w:color w:val="161412"/>
          <w:sz w:val="38"/>
        </w:rPr>
        <w:t>Todo es danger</w:t>
      </w:r>
    </w:p>
    <w:p>
      <w:pPr>
        <w:spacing w:after="120" w:line="320" w:lineRule="auto"/>
        <w:jc w:val="both"/>
      </w:pPr>
      <w:r>
        <w:rPr>
          <w:rFonts w:ascii="Newsreader" w:hAnsi="Newsreader" w:cs="Newsreader"/>
          <w:b w:val="0"/>
          <w:i w:val="0"/>
          <w:color w:val="161412"/>
        </w:rPr>
        <w:t>Qué se hace mal: todo evento negativo fuerte se comunica igual. Una advertencia, un recurso eliminado, un fallo de validación, una conexión perdida, una acción irreversible — todo se comunica con rojo, alerta y tono grave.</w:t>
      </w:r>
    </w:p>
    <w:p>
      <w:pPr>
        <w:spacing w:after="120" w:line="320" w:lineRule="auto"/>
        <w:jc w:val="both"/>
      </w:pPr>
      <w:r>
        <w:rPr>
          <w:rFonts w:ascii="Newsreader" w:hAnsi="Newsreader" w:cs="Newsreader"/>
          <w:b w:val="0"/>
          <w:i w:val="0"/>
          <w:color w:val="161412"/>
        </w:rPr>
        <w:t>Por qué parece correcto: porque todos tienen valencia negativa. La convención permite agruparlo todo bajo danger.</w:t>
      </w:r>
    </w:p>
    <w:p>
      <w:pPr>
        <w:spacing w:after="120" w:line="320" w:lineRule="auto"/>
        <w:jc w:val="both"/>
      </w:pPr>
      <w:r>
        <w:rPr>
          <w:rFonts w:ascii="Newsreader" w:hAnsi="Newsreader" w:cs="Newsreader"/>
          <w:b w:val="0"/>
          <w:i w:val="0"/>
          <w:color w:val="161412"/>
        </w:rPr>
        <w:t xml:space="preserve">Qué fundamento viola: la diferencia temporal y afectiva entre risk, threat y loss que argumenta el Capítulo 10. Si una pérdida se comunica como amenaza, el sistema genera urgencia donde ya no hay prevención posible.</w:t>
      </w:r>
    </w:p>
    <w:p>
      <w:pPr>
        <w:spacing w:after="120" w:line="320" w:lineRule="auto"/>
        <w:jc w:val="both"/>
      </w:pPr>
      <w:r>
        <w:rPr>
          <w:rFonts w:ascii="Newsreader" w:hAnsi="Newsreader" w:cs="Newsreader"/>
          <w:b w:val="0"/>
          <w:i w:val="0"/>
          <w:color w:val="161412"/>
        </w:rPr>
        <w:t>Corrección: separar los tres casos. signal.warn + risk para «revisa esto.» signal.alert + threat para «actúa ahora.» commit.delete + loss para «esto ya se perdió.»</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No todo lo negativo debe gritar. A veces debe corregirse. A veces debe evitarse. A veces solo debe registrarse.</w:t>
      </w:r>
    </w:p>
    <w:p>
      <w:pPr>
        <w:spacing w:before="320" w:after="40"/>
      </w:pPr>
      <w:r>
        <w:rPr>
          <w:rFonts w:ascii="IBM Plex Sans" w:hAnsi="IBM Plex Sans" w:cs="IBM Plex Sans"/>
          <w:b/>
          <w:color w:val="1F3A5F"/>
          <w:sz w:val="18"/>
        </w:rPr>
        <w:t>§ 3</w:t>
      </w:r>
    </w:p>
    <w:p>
      <w:pPr>
        <w:spacing w:after="160" w:line="240" w:lineRule="auto"/>
      </w:pPr>
      <w:r>
        <w:rPr>
          <w:rFonts w:ascii="Newsreader" w:hAnsi="Newsreader" w:cs="Newsreader"/>
          <w:color w:val="161412"/>
          <w:sz w:val="38"/>
        </w:rPr>
        <w:t>Info como cajón de sastre</w:t>
      </w:r>
    </w:p>
    <w:p>
      <w:pPr>
        <w:spacing w:after="120" w:line="320" w:lineRule="auto"/>
        <w:jc w:val="both"/>
      </w:pPr>
      <w:r>
        <w:rPr>
          <w:rFonts w:ascii="Newsreader" w:hAnsi="Newsreader" w:cs="Newsreader"/>
          <w:b w:val="0"/>
          <w:i w:val="0"/>
          <w:color w:val="161412"/>
        </w:rPr>
        <w:t>Qué se hace mal: todo lo que no es success, warning o danger se llama info. Un dato contextual, un mensaje neutro, una notificación, un consejo, una ayuda, una confirmación leve — todo cae en info.</w:t>
      </w:r>
    </w:p>
    <w:p>
      <w:pPr>
        <w:spacing w:after="120" w:line="320" w:lineRule="auto"/>
        <w:jc w:val="both"/>
      </w:pPr>
      <w:r>
        <w:rPr>
          <w:rFonts w:ascii="Newsreader" w:hAnsi="Newsreader" w:cs="Newsreader"/>
          <w:b w:val="0"/>
          <w:i w:val="0"/>
          <w:color w:val="161412"/>
        </w:rPr>
        <w:t>Por qué parece correcto: porque info parece una categoría segura. No es positivo ni negativo.</w:t>
      </w:r>
    </w:p>
    <w:p>
      <w:pPr>
        <w:spacing w:after="120" w:line="320" w:lineRule="auto"/>
        <w:jc w:val="both"/>
      </w:pPr>
      <w:r>
        <w:rPr>
          <w:rFonts w:ascii="Newsreader" w:hAnsi="Newsreader" w:cs="Newsreader"/>
          <w:b w:val="0"/>
          <w:i w:val="0"/>
          <w:color w:val="161412"/>
        </w:rPr>
        <w:t>Qué fundamento viola: la separación entre saliencia atencional y evaluación afectiva. Info no responde a «¿cómo se evalúa esto?» sino a «¿debo notarlo?» Eso pertenece mejor a signal.</w:t>
      </w:r>
    </w:p>
    <w:p>
      <w:pPr>
        <w:spacing w:after="120" w:line="320" w:lineRule="auto"/>
        <w:jc w:val="both"/>
      </w:pPr>
      <w:r>
        <w:rPr>
          <w:rFonts w:ascii="Newsreader" w:hAnsi="Newsreader" w:cs="Newsreader"/>
          <w:b w:val="0"/>
          <w:i w:val="0"/>
          <w:color w:val="161412"/>
        </w:rPr>
        <w:t>Corrección: sustituir info como intent por composiciones de señal neutra. signal.announce + neutral para información contextual. signal.notify + neutral para notificación sin carga evaluativa.</w:t>
      </w:r>
    </w:p>
    <w:p>
      <w:pPr>
        <w:spacing w:before="160" w:after="40"/>
        <w:pBdr>
          <w:left w:val="single" w:sz="18" w:space="12" w:color="1F3A5F"/>
        </w:pBdr>
      </w:pPr>
      <w:r>
        <w:rPr>
          <w:rFonts w:ascii="IBM Plex Sans" w:hAnsi="IBM Plex Sans" w:cs="IBM Plex Sans"/>
          <w:b/>
          <w:color w:val="1F3A5F"/>
          <w:sz w:val="16"/>
        </w:rPr>
        <w:t>DISTINCIÓN</w:t>
      </w:r>
    </w:p>
    <w:p>
      <w:pPr>
        <w:spacing w:after="120" w:line="312" w:lineRule="auto"/>
        <w:pBdr>
          <w:left w:val="single" w:sz="18" w:space="12" w:color="1F3A5F"/>
        </w:pBdr>
      </w:pPr>
      <w:r>
        <w:rPr>
          <w:rFonts w:ascii="Newsreader" w:hAnsi="Newsreader" w:cs="Newsreader"/>
          <w:b w:val="0"/>
          <w:i/>
          <w:color w:val="3A352F"/>
        </w:rPr>
        <w:t>Info no es una emoción del evento. Es una función de atención.</w:t>
      </w:r>
    </w:p>
    <w:p>
      <w:pPr>
        <w:spacing w:before="320" w:after="40"/>
      </w:pPr>
      <w:r>
        <w:rPr>
          <w:rFonts w:ascii="IBM Plex Sans" w:hAnsi="IBM Plex Sans" w:cs="IBM Plex Sans"/>
          <w:b/>
          <w:color w:val="1F3A5F"/>
          <w:sz w:val="18"/>
        </w:rPr>
        <w:t>§ 4</w:t>
      </w:r>
    </w:p>
    <w:p>
      <w:pPr>
        <w:spacing w:after="160" w:line="240" w:lineRule="auto"/>
      </w:pPr>
      <w:r>
        <w:rPr>
          <w:rFonts w:ascii="Newsreader" w:hAnsi="Newsreader" w:cs="Newsreader"/>
          <w:color w:val="161412"/>
          <w:sz w:val="38"/>
        </w:rPr>
        <w:t>Todo lo que aparece es alerta</w:t>
      </w:r>
    </w:p>
    <w:p>
      <w:pPr>
        <w:spacing w:after="120" w:line="320" w:lineRule="auto"/>
        <w:jc w:val="both"/>
      </w:pPr>
      <w:r>
        <w:rPr>
          <w:rFonts w:ascii="Newsreader" w:hAnsi="Newsreader" w:cs="Newsreader"/>
          <w:b w:val="0"/>
          <w:i w:val="0"/>
          <w:color w:val="161412"/>
        </w:rPr>
        <w:t>Qué se hace mal: cualquier cosa que aparece se diseña como si reclamara atención fuerte. Un tooltip entra con demasiada saliencia. Un dropdown parece una alerta. Una ayuda contextual usa color de warning.</w:t>
      </w:r>
    </w:p>
    <w:p>
      <w:pPr>
        <w:spacing w:after="120" w:line="320" w:lineRule="auto"/>
        <w:jc w:val="both"/>
      </w:pPr>
      <w:r>
        <w:rPr>
          <w:rFonts w:ascii="Newsreader" w:hAnsi="Newsreader" w:cs="Newsreader"/>
          <w:b w:val="0"/>
          <w:i w:val="0"/>
          <w:color w:val="161412"/>
        </w:rPr>
        <w:t>Por qué parece correcto: porque si algo aparece, el equipo quiere que el usuario lo vea. Entonces se aumenta contraste, motion, sombra o color.</w:t>
      </w:r>
    </w:p>
    <w:p>
      <w:pPr>
        <w:spacing w:after="120" w:line="320" w:lineRule="auto"/>
        <w:jc w:val="both"/>
      </w:pPr>
      <w:r>
        <w:rPr>
          <w:rFonts w:ascii="Newsreader" w:hAnsi="Newsreader" w:cs="Newsreader"/>
          <w:b w:val="0"/>
          <w:i w:val="0"/>
          <w:color w:val="161412"/>
        </w:rPr>
        <w:t>Qué fundamento viola: la diferencia entre emerge y signal. emerge introduce presencia. signal reclama atención. No toda aparición es una señal.</w:t>
      </w:r>
    </w:p>
    <w:p>
      <w:pPr>
        <w:spacing w:after="120" w:line="320" w:lineRule="auto"/>
        <w:jc w:val="both"/>
      </w:pPr>
      <w:r>
        <w:rPr>
          <w:rFonts w:ascii="Newsreader" w:hAnsi="Newsreader" w:cs="Newsreader"/>
          <w:b w:val="0"/>
          <w:i w:val="0"/>
          <w:color w:val="161412"/>
        </w:rPr>
        <w:t>Corrección: emerge.open para dropdown. emerge.present para tooltip. signal.warn + risk solo si lo que aparece comunica problema corregible. signal.alert + threat solo si exige atención inmediata.</w:t>
      </w:r>
    </w:p>
    <w:p>
      <w:pPr>
        <w:spacing w:before="160" w:after="40"/>
        <w:pBdr>
          <w:left w:val="single" w:sz="18" w:space="12" w:color="1F3A5F"/>
        </w:pBdr>
      </w:pPr>
      <w:r>
        <w:rPr>
          <w:rFonts w:ascii="IBM Plex Sans" w:hAnsi="IBM Plex Sans" w:cs="IBM Plex Sans"/>
          <w:b/>
          <w:color w:val="1F3A5F"/>
          <w:sz w:val="16"/>
        </w:rPr>
        <w:t>DISTINCIÓN</w:t>
      </w:r>
    </w:p>
    <w:p>
      <w:pPr>
        <w:spacing w:after="120" w:line="312" w:lineRule="auto"/>
        <w:pBdr>
          <w:left w:val="single" w:sz="18" w:space="12" w:color="1F3A5F"/>
        </w:pBdr>
      </w:pPr>
      <w:r>
        <w:rPr>
          <w:rFonts w:ascii="Newsreader" w:hAnsi="Newsreader" w:cs="Newsreader"/>
          <w:b w:val="0"/>
          <w:i/>
          <w:color w:val="3A352F"/>
        </w:rPr>
        <w:t>Aparecer no es advertir. Entrar en el campo no es reclamarlo entero.</w:t>
      </w:r>
    </w:p>
    <w:p>
      <w:pPr>
        <w:spacing w:before="320" w:after="40"/>
      </w:pPr>
      <w:r>
        <w:rPr>
          <w:rFonts w:ascii="IBM Plex Sans" w:hAnsi="IBM Plex Sans" w:cs="IBM Plex Sans"/>
          <w:b/>
          <w:color w:val="1F3A5F"/>
          <w:sz w:val="18"/>
        </w:rPr>
        <w:t>§ 5</w:t>
      </w:r>
    </w:p>
    <w:p>
      <w:pPr>
        <w:spacing w:after="160" w:line="240" w:lineRule="auto"/>
      </w:pPr>
      <w:r>
        <w:rPr>
          <w:rFonts w:ascii="Newsreader" w:hAnsi="Newsreader" w:cs="Newsreader"/>
          <w:color w:val="161412"/>
          <w:sz w:val="38"/>
        </w:rPr>
        <w:t>Modal rojo</w:t>
      </w:r>
    </w:p>
    <w:p>
      <w:pPr>
        <w:spacing w:after="120" w:line="320" w:lineRule="auto"/>
        <w:jc w:val="both"/>
      </w:pPr>
      <w:r>
        <w:rPr>
          <w:rFonts w:ascii="Newsreader" w:hAnsi="Newsreader" w:cs="Newsreader"/>
          <w:b w:val="0"/>
          <w:i w:val="0"/>
          <w:color w:val="161412"/>
        </w:rPr>
        <w:t xml:space="preserve">Qué se hace mal: un modal contiene una advertencia y todo el modal se vuelve peligroso. Fondo rojo, borde rojo, botones rojos, toda la superficie absorbe el intent. Esto no es la excepción aparición-que-advierte del Capítulo 9: aquella concierne al tono del evento de aparición; este antipatrón, a una superficie que absorbe la expresión del mensaje que contiene.</w:t>
      </w:r>
    </w:p>
    <w:p>
      <w:pPr>
        <w:spacing w:after="120" w:line="320" w:lineRule="auto"/>
        <w:jc w:val="both"/>
      </w:pPr>
      <w:r>
        <w:rPr>
          <w:rFonts w:ascii="Newsreader" w:hAnsi="Newsreader" w:cs="Newsreader"/>
          <w:b w:val="0"/>
          <w:i w:val="0"/>
          <w:color w:val="161412"/>
        </w:rPr>
        <w:t>Por qué parece correcto: porque el contenido del modal es grave. Parece razonable que el modal completo se diseñe como danger.</w:t>
      </w:r>
    </w:p>
    <w:p>
      <w:pPr>
        <w:spacing w:after="120" w:line="320" w:lineRule="auto"/>
        <w:jc w:val="both"/>
      </w:pPr>
      <w:r>
        <w:rPr>
          <w:rFonts w:ascii="Newsreader" w:hAnsi="Newsreader" w:cs="Newsreader"/>
          <w:b w:val="0"/>
          <w:i w:val="0"/>
          <w:color w:val="161412"/>
        </w:rPr>
        <w:t>Qué fundamento viola: la distinción entre marco y mensaje. El modal es shift.enter-mode — cambia el contexto. La advertencia dentro del modal es signal.warn + threat. El modal no es la amenaza. El mensaje porta la amenaza.</w:t>
      </w:r>
    </w:p>
    <w:p>
      <w:pPr>
        <w:spacing w:after="120" w:line="320" w:lineRule="auto"/>
        <w:jc w:val="both"/>
      </w:pPr>
      <w:r>
        <w:rPr>
          <w:rFonts w:ascii="Newsreader" w:hAnsi="Newsreader" w:cs="Newsreader"/>
          <w:b w:val="0"/>
          <w:i w:val="0"/>
          <w:color w:val="161412"/>
        </w:rPr>
        <w:t>Corrección: componer shift.enter-mode + signal.warn + threat. El modal comunica cambio de contexto mediante profundidad y foco. La advertencia comunica amenaza mediante forma, texto, color e icono.</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El intent debe vivir en la figura evaluable, no en el contenedor estructural.</w:t>
      </w:r>
    </w:p>
    <w:p>
      <w:pPr>
        <w:spacing w:before="320" w:after="40"/>
      </w:pPr>
      <w:r>
        <w:rPr>
          <w:rFonts w:ascii="IBM Plex Sans" w:hAnsi="IBM Plex Sans" w:cs="IBM Plex Sans"/>
          <w:b/>
          <w:color w:val="1F3A5F"/>
          <w:sz w:val="18"/>
        </w:rPr>
        <w:t>§ 6</w:t>
      </w:r>
    </w:p>
    <w:p>
      <w:pPr>
        <w:spacing w:after="160" w:line="240" w:lineRule="auto"/>
      </w:pPr>
      <w:r>
        <w:rPr>
          <w:rFonts w:ascii="Newsreader" w:hAnsi="Newsreader" w:cs="Newsreader"/>
          <w:color w:val="161412"/>
          <w:sz w:val="38"/>
        </w:rPr>
        <w:t>Spinner de error</w:t>
      </w:r>
    </w:p>
    <w:p>
      <w:pPr>
        <w:spacing w:after="120" w:line="320" w:lineRule="auto"/>
        <w:jc w:val="both"/>
      </w:pPr>
      <w:r>
        <w:rPr>
          <w:rFonts w:ascii="Newsreader" w:hAnsi="Newsreader" w:cs="Newsreader"/>
          <w:b w:val="0"/>
          <w:i w:val="0"/>
          <w:color w:val="161412"/>
        </w:rPr>
        <w:t>Qué se hace mal: un proceso en curso se comunica con color, motion o tono de error. Un spinner rojo. Un loader tenso. Una espera con alarma.</w:t>
      </w:r>
    </w:p>
    <w:p>
      <w:pPr>
        <w:spacing w:after="120" w:line="320" w:lineRule="auto"/>
        <w:jc w:val="both"/>
      </w:pPr>
      <w:r>
        <w:rPr>
          <w:rFonts w:ascii="Newsreader" w:hAnsi="Newsreader" w:cs="Newsreader"/>
          <w:b w:val="0"/>
          <w:i w:val="0"/>
          <w:color w:val="161412"/>
        </w:rPr>
        <w:t>Por qué parece correcto: porque esperar genera ansiedad. El equipo quiere avisar de que algo importante está ocurriendo.</w:t>
      </w:r>
    </w:p>
    <w:p>
      <w:pPr>
        <w:spacing w:after="120" w:line="320" w:lineRule="auto"/>
        <w:jc w:val="both"/>
      </w:pPr>
      <w:r>
        <w:rPr>
          <w:rFonts w:ascii="Newsreader" w:hAnsi="Newsreader" w:cs="Newsreader"/>
          <w:b w:val="0"/>
          <w:i w:val="0"/>
          <w:color w:val="161412"/>
        </w:rPr>
        <w:t>Qué fundamento viola: la diferencia entre sustain y signal/commit. sustain.progress comunica «esto sigue ocurriendo,» no «esto falló» ni «esto es peligroso.»</w:t>
      </w:r>
    </w:p>
    <w:p>
      <w:pPr>
        <w:spacing w:after="120" w:line="320" w:lineRule="auto"/>
        <w:jc w:val="both"/>
      </w:pPr>
      <w:r>
        <w:rPr>
          <w:rFonts w:ascii="Newsreader" w:hAnsi="Newsreader" w:cs="Newsreader"/>
          <w:b w:val="0"/>
          <w:i w:val="0"/>
          <w:color w:val="161412"/>
        </w:rPr>
        <w:t>Corrección: mantener sustain neutro. Si aparece un problema durante el proceso: sustain.progress + signal.warn + risk. Si falla: commit.fail + risk.</w:t>
      </w:r>
    </w:p>
    <w:p>
      <w:pPr>
        <w:spacing w:before="160" w:after="40"/>
        <w:pBdr>
          <w:left w:val="single" w:sz="18" w:space="12" w:color="1F3A5F"/>
        </w:pBdr>
      </w:pPr>
      <w:r>
        <w:rPr>
          <w:rFonts w:ascii="IBM Plex Sans" w:hAnsi="IBM Plex Sans" w:cs="IBM Plex Sans"/>
          <w:b/>
          <w:color w:val="1F3A5F"/>
          <w:sz w:val="16"/>
        </w:rPr>
        <w:t>DISTINCIÓN</w:t>
      </w:r>
    </w:p>
    <w:p>
      <w:pPr>
        <w:spacing w:after="120" w:line="312" w:lineRule="auto"/>
        <w:pBdr>
          <w:left w:val="single" w:sz="18" w:space="12" w:color="1F3A5F"/>
        </w:pBdr>
      </w:pPr>
      <w:r>
        <w:rPr>
          <w:rFonts w:ascii="Newsreader" w:hAnsi="Newsreader" w:cs="Newsreader"/>
          <w:b w:val="0"/>
          <w:i/>
          <w:color w:val="3A352F"/>
        </w:rPr>
        <w:t>Una espera no es un error por durar. Es un proceso que necesita continuidad.</w:t>
      </w:r>
    </w:p>
    <w:p>
      <w:pPr>
        <w:spacing w:before="320" w:after="40"/>
      </w:pPr>
      <w:r>
        <w:rPr>
          <w:rFonts w:ascii="IBM Plex Sans" w:hAnsi="IBM Plex Sans" w:cs="IBM Plex Sans"/>
          <w:b/>
          <w:color w:val="1F3A5F"/>
          <w:sz w:val="18"/>
        </w:rPr>
        <w:t>§ 7</w:t>
      </w:r>
    </w:p>
    <w:p>
      <w:pPr>
        <w:spacing w:after="160" w:line="240" w:lineRule="auto"/>
      </w:pPr>
      <w:r>
        <w:rPr>
          <w:rFonts w:ascii="Newsreader" w:hAnsi="Newsreader" w:cs="Newsreader"/>
          <w:color w:val="161412"/>
          <w:sz w:val="38"/>
        </w:rPr>
        <w:t>commit anticipado</w:t>
      </w:r>
    </w:p>
    <w:p>
      <w:pPr>
        <w:spacing w:after="120" w:line="320" w:lineRule="auto"/>
        <w:jc w:val="both"/>
      </w:pPr>
      <w:r>
        <w:rPr>
          <w:rFonts w:ascii="Newsreader" w:hAnsi="Newsreader" w:cs="Newsreader"/>
          <w:b w:val="0"/>
          <w:i w:val="0"/>
          <w:color w:val="161412"/>
        </w:rPr>
        <w:t>Qué se hace mal: la interfaz comunica resultado antes de que exista. Un botón muestra success al pulsar. Un formulario dice «enviado» antes de recibir respuesta.</w:t>
      </w:r>
    </w:p>
    <w:p>
      <w:pPr>
        <w:spacing w:after="120" w:line="320" w:lineRule="auto"/>
        <w:jc w:val="both"/>
      </w:pPr>
      <w:r>
        <w:rPr>
          <w:rFonts w:ascii="Newsreader" w:hAnsi="Newsreader" w:cs="Newsreader"/>
          <w:b w:val="0"/>
          <w:i w:val="0"/>
          <w:color w:val="161412"/>
        </w:rPr>
        <w:t>Por qué parece correcto: porque el sistema quiere dar una respuesta rápida y sentirse optimista.</w:t>
      </w:r>
    </w:p>
    <w:p>
      <w:pPr>
        <w:spacing w:after="120" w:line="320" w:lineRule="auto"/>
        <w:jc w:val="both"/>
      </w:pPr>
      <w:r>
        <w:rPr>
          <w:rFonts w:ascii="Newsreader" w:hAnsi="Newsreader" w:cs="Newsreader"/>
          <w:b w:val="0"/>
          <w:i w:val="0"/>
          <w:color w:val="161412"/>
        </w:rPr>
        <w:t>Qué fundamento viola: la diferencia entre contact, sustain y commit. contact dice «he recibido tu acción.» Sustain dice «sigo trabajando.» Commit dice «ya terminó.» Si se usa commit en el momento de contact, la interfaz promete una consecuencia que aún no existe.</w:t>
      </w:r>
    </w:p>
    <w:p>
      <w:pPr>
        <w:spacing w:after="120" w:line="320" w:lineRule="auto"/>
        <w:jc w:val="both"/>
      </w:pPr>
      <w:r>
        <w:rPr>
          <w:rFonts w:ascii="Newsreader" w:hAnsi="Newsreader" w:cs="Newsreader"/>
          <w:b w:val="0"/>
          <w:i w:val="0"/>
          <w:color w:val="161412"/>
        </w:rPr>
        <w:t>Corrección: contact.press → sustain.progress → commit.complete + fulfill.</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No celebres lo que todavía no ha ocurrido.</w:t>
      </w:r>
    </w:p>
    <w:p>
      <w:pPr>
        <w:spacing w:before="320" w:after="40"/>
      </w:pPr>
      <w:r>
        <w:rPr>
          <w:rFonts w:ascii="IBM Plex Sans" w:hAnsi="IBM Plex Sans" w:cs="IBM Plex Sans"/>
          <w:b/>
          <w:color w:val="1F3A5F"/>
          <w:sz w:val="18"/>
        </w:rPr>
        <w:t>§ 8</w:t>
      </w:r>
    </w:p>
    <w:p>
      <w:pPr>
        <w:spacing w:after="160" w:line="240" w:lineRule="auto"/>
      </w:pPr>
      <w:r>
        <w:rPr>
          <w:rFonts w:ascii="Newsreader" w:hAnsi="Newsreader" w:cs="Newsreader"/>
          <w:color w:val="161412"/>
          <w:sz w:val="38"/>
        </w:rPr>
        <w:t>Pérdida sin huella</w:t>
      </w:r>
    </w:p>
    <w:p>
      <w:pPr>
        <w:spacing w:after="120" w:line="320" w:lineRule="auto"/>
        <w:jc w:val="both"/>
      </w:pPr>
      <w:r>
        <w:rPr>
          <w:rFonts w:ascii="Newsreader" w:hAnsi="Newsreader" w:cs="Newsreader"/>
          <w:b w:val="0"/>
          <w:i w:val="0"/>
          <w:color w:val="161412"/>
        </w:rPr>
        <w:t>Qué se hace mal: algo desaparece y no queda rastro. Una tarjeta se elimina con fade out. Un archivo desaparece de una lista. No hay mensaje, undo, registro ni estado.</w:t>
      </w:r>
    </w:p>
    <w:p>
      <w:pPr>
        <w:spacing w:after="120" w:line="320" w:lineRule="auto"/>
        <w:jc w:val="both"/>
      </w:pPr>
      <w:r>
        <w:rPr>
          <w:rFonts w:ascii="Newsreader" w:hAnsi="Newsreader" w:cs="Newsreader"/>
          <w:b w:val="0"/>
          <w:i w:val="0"/>
          <w:color w:val="161412"/>
        </w:rPr>
        <w:t>Por qué parece correcto: porque visualmente la desaparición parece suficiente. El objeto ya no está. La interfaz se limpió.</w:t>
      </w:r>
    </w:p>
    <w:p>
      <w:pPr>
        <w:spacing w:after="120" w:line="320" w:lineRule="auto"/>
        <w:jc w:val="both"/>
      </w:pPr>
      <w:r>
        <w:rPr>
          <w:rFonts w:ascii="Newsreader" w:hAnsi="Newsreader" w:cs="Newsreader"/>
          <w:b w:val="0"/>
          <w:i w:val="0"/>
          <w:color w:val="161412"/>
        </w:rPr>
        <w:t>Qué fundamento viola: la diferencia entre desaparición y pérdida. emerge.hide no es commit.delete + loss. Una pérdida no solo retira presencia — cambia disponibilidad operativa.</w:t>
      </w:r>
    </w:p>
    <w:p>
      <w:pPr>
        <w:spacing w:after="120" w:line="320" w:lineRule="auto"/>
        <w:jc w:val="both"/>
      </w:pPr>
      <w:r>
        <w:rPr>
          <w:rFonts w:ascii="Newsreader" w:hAnsi="Newsreader" w:cs="Newsreader"/>
          <w:b w:val="0"/>
          <w:i w:val="0"/>
          <w:color w:val="161412"/>
        </w:rPr>
        <w:t>Corrección: commit.delete + loss con huella: retirada, mensaje, undo si existe, actualización de estado.</w:t>
      </w:r>
    </w:p>
    <w:p>
      <w:pPr>
        <w:spacing w:before="160" w:after="40"/>
        <w:pBdr>
          <w:left w:val="single" w:sz="18" w:space="12" w:color="1F3A5F"/>
        </w:pBdr>
      </w:pPr>
      <w:r>
        <w:rPr>
          <w:rFonts w:ascii="IBM Plex Sans" w:hAnsi="IBM Plex Sans" w:cs="IBM Plex Sans"/>
          <w:b/>
          <w:color w:val="1F3A5F"/>
          <w:sz w:val="16"/>
        </w:rPr>
        <w:t>DISTINCIÓN</w:t>
      </w:r>
    </w:p>
    <w:p>
      <w:pPr>
        <w:spacing w:after="120" w:line="312" w:lineRule="auto"/>
        <w:pBdr>
          <w:left w:val="single" w:sz="18" w:space="12" w:color="1F3A5F"/>
        </w:pBdr>
      </w:pPr>
      <w:r>
        <w:rPr>
          <w:rFonts w:ascii="Newsreader" w:hAnsi="Newsreader" w:cs="Newsreader"/>
          <w:b w:val="0"/>
          <w:i/>
          <w:color w:val="3A352F"/>
        </w:rPr>
        <w:t>Una pérdida importante no debe desaparecer como si solo se hubiera ocultado.</w:t>
      </w:r>
    </w:p>
    <w:p>
      <w:pPr>
        <w:spacing w:before="320" w:after="40"/>
      </w:pPr>
      <w:r>
        <w:rPr>
          <w:rFonts w:ascii="IBM Plex Sans" w:hAnsi="IBM Plex Sans" w:cs="IBM Plex Sans"/>
          <w:b/>
          <w:color w:val="1F3A5F"/>
          <w:sz w:val="18"/>
        </w:rPr>
        <w:t>§ 9</w:t>
      </w:r>
    </w:p>
    <w:p>
      <w:pPr>
        <w:spacing w:after="160" w:line="240" w:lineRule="auto"/>
      </w:pPr>
      <w:r>
        <w:rPr>
          <w:rFonts w:ascii="Newsreader" w:hAnsi="Newsreader" w:cs="Newsreader"/>
          <w:color w:val="161412"/>
          <w:sz w:val="38"/>
        </w:rPr>
        <w:t>Drag sin alternativa</w:t>
      </w:r>
    </w:p>
    <w:p>
      <w:pPr>
        <w:spacing w:after="120" w:line="320" w:lineRule="auto"/>
        <w:jc w:val="both"/>
      </w:pPr>
      <w:r>
        <w:rPr>
          <w:rFonts w:ascii="Newsreader" w:hAnsi="Newsreader" w:cs="Newsreader"/>
          <w:b w:val="0"/>
          <w:i w:val="0"/>
          <w:color w:val="161412"/>
        </w:rPr>
        <w:t>Qué se hace mal: la única forma de manipular un objeto es arrastrar con ratón o touch.</w:t>
      </w:r>
    </w:p>
    <w:p>
      <w:pPr>
        <w:spacing w:after="120" w:line="320" w:lineRule="auto"/>
        <w:jc w:val="both"/>
      </w:pPr>
      <w:r>
        <w:rPr>
          <w:rFonts w:ascii="Newsreader" w:hAnsi="Newsreader" w:cs="Newsreader"/>
          <w:b w:val="0"/>
          <w:i w:val="0"/>
          <w:color w:val="161412"/>
        </w:rPr>
        <w:t>Por qué parece correcto: porque visualmente el drag-and-drop es intuitivo para muchos usuarios.</w:t>
      </w:r>
    </w:p>
    <w:p>
      <w:pPr>
        <w:spacing w:after="120" w:line="320" w:lineRule="auto"/>
        <w:jc w:val="both"/>
      </w:pPr>
      <w:r>
        <w:rPr>
          <w:rFonts w:ascii="Newsreader" w:hAnsi="Newsreader" w:cs="Newsreader"/>
          <w:b w:val="0"/>
          <w:i w:val="0"/>
          <w:color w:val="161412"/>
        </w:rPr>
        <w:t>Qué fundamento viola: la accesibilidad operativa de handle. handle no significa «arrastrar con ratón.» Significa «controlar directamente un objeto.»</w:t>
      </w:r>
    </w:p>
    <w:p>
      <w:pPr>
        <w:spacing w:after="120" w:line="320" w:lineRule="auto"/>
        <w:jc w:val="both"/>
      </w:pPr>
      <w:r>
        <w:rPr>
          <w:rFonts w:ascii="Newsreader" w:hAnsi="Newsreader" w:cs="Newsreader"/>
          <w:b w:val="0"/>
          <w:i w:val="0"/>
          <w:color w:val="161412"/>
        </w:rPr>
        <w:t>Corrección: ofrecer alternativas: botones subir/bajar, seleccionar y elegir destino, mover con teclado, anuncio de posición, cancelación clara.</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La interfaz puede cambiar el gesto. No debe perder el evento.</w:t>
      </w:r>
    </w:p>
    <w:p>
      <w:pPr>
        <w:spacing w:before="320" w:after="40"/>
      </w:pPr>
      <w:r>
        <w:rPr>
          <w:rFonts w:ascii="IBM Plex Sans" w:hAnsi="IBM Plex Sans" w:cs="IBM Plex Sans"/>
          <w:b/>
          <w:color w:val="1F3A5F"/>
          <w:sz w:val="18"/>
        </w:rPr>
        <w:t>§ 10</w:t>
      </w:r>
    </w:p>
    <w:p>
      <w:pPr>
        <w:spacing w:after="160" w:line="240" w:lineRule="auto"/>
      </w:pPr>
      <w:r>
        <w:rPr>
          <w:rFonts w:ascii="Newsreader" w:hAnsi="Newsreader" w:cs="Newsreader"/>
          <w:color w:val="161412"/>
          <w:sz w:val="38"/>
        </w:rPr>
        <w:t>Sonido decorativo</w:t>
      </w:r>
    </w:p>
    <w:p>
      <w:pPr>
        <w:spacing w:after="120" w:line="320" w:lineRule="auto"/>
        <w:jc w:val="both"/>
      </w:pPr>
      <w:r>
        <w:rPr>
          <w:rFonts w:ascii="Newsreader" w:hAnsi="Newsreader" w:cs="Newsreader"/>
          <w:b w:val="0"/>
          <w:i w:val="0"/>
          <w:color w:val="161412"/>
        </w:rPr>
        <w:t>Qué se hace mal: la interfaz suena sin necesidad semántica. Cada click suena. Cada notificación suena igual. Cada éxito tiene chime. Los procesos tienen loop sonoro.</w:t>
      </w:r>
    </w:p>
    <w:p>
      <w:pPr>
        <w:spacing w:after="120" w:line="320" w:lineRule="auto"/>
        <w:jc w:val="both"/>
      </w:pPr>
      <w:r>
        <w:rPr>
          <w:rFonts w:ascii="Newsreader" w:hAnsi="Newsreader" w:cs="Newsreader"/>
          <w:b w:val="0"/>
          <w:i w:val="0"/>
          <w:color w:val="161412"/>
        </w:rPr>
        <w:t>Por qué parece correcto: porque el sonido parece añadir riqueza o personalidad.</w:t>
      </w:r>
    </w:p>
    <w:p>
      <w:pPr>
        <w:spacing w:after="120" w:line="320" w:lineRule="auto"/>
        <w:jc w:val="both"/>
      </w:pPr>
      <w:r>
        <w:rPr>
          <w:rFonts w:ascii="Newsreader" w:hAnsi="Newsreader" w:cs="Newsreader"/>
          <w:b w:val="0"/>
          <w:i w:val="0"/>
          <w:color w:val="161412"/>
        </w:rPr>
        <w:t>Qué fundamento viola: la relación entre canal y evento. El sonido no debe existir porque «queda bien.» Debe reforzar una dimensión que el evento necesita.</w:t>
      </w:r>
    </w:p>
    <w:p>
      <w:pPr>
        <w:spacing w:after="120" w:line="320" w:lineRule="auto"/>
        <w:jc w:val="both"/>
      </w:pPr>
      <w:r>
        <w:rPr>
          <w:rFonts w:ascii="Newsreader" w:hAnsi="Newsreader" w:cs="Newsreader"/>
          <w:b w:val="0"/>
          <w:i w:val="0"/>
          <w:color w:val="161412"/>
        </w:rPr>
        <w:t>Corrección: sonido solo si responde a función clara: contacto, cierre, urgencia, pérdida, fuera de foco.</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Si un sonido no ayuda a reconocer qué ocurrió, cuándo ocurrió o cómo debe evaluarse, probablemente sobra.</w:t>
      </w:r>
    </w:p>
    <w:p>
      <w:pPr>
        <w:spacing w:before="320" w:after="40"/>
      </w:pPr>
      <w:r>
        <w:rPr>
          <w:rFonts w:ascii="IBM Plex Sans" w:hAnsi="IBM Plex Sans" w:cs="IBM Plex Sans"/>
          <w:b/>
          <w:color w:val="1F3A5F"/>
          <w:sz w:val="18"/>
        </w:rPr>
        <w:t>§ 11</w:t>
      </w:r>
    </w:p>
    <w:p>
      <w:pPr>
        <w:spacing w:after="160" w:line="240" w:lineRule="auto"/>
      </w:pPr>
      <w:r>
        <w:rPr>
          <w:rFonts w:ascii="Newsreader" w:hAnsi="Newsreader" w:cs="Newsreader"/>
          <w:color w:val="161412"/>
          <w:sz w:val="38"/>
        </w:rPr>
        <w:t>Todo vibra</w:t>
      </w:r>
    </w:p>
    <w:p>
      <w:pPr>
        <w:spacing w:after="120" w:line="320" w:lineRule="auto"/>
        <w:jc w:val="both"/>
      </w:pPr>
      <w:r>
        <w:rPr>
          <w:rFonts w:ascii="Newsreader" w:hAnsi="Newsreader" w:cs="Newsreader"/>
          <w:b w:val="0"/>
          <w:i w:val="0"/>
          <w:color w:val="161412"/>
        </w:rPr>
        <w:t>Qué se hace mal: la interfaz usa háptica para todo. Cada toque, selección, error, scroll y notificación vibra.</w:t>
      </w:r>
    </w:p>
    <w:p>
      <w:pPr>
        <w:spacing w:after="120" w:line="320" w:lineRule="auto"/>
        <w:jc w:val="both"/>
      </w:pPr>
      <w:r>
        <w:rPr>
          <w:rFonts w:ascii="Newsreader" w:hAnsi="Newsreader" w:cs="Newsreader"/>
          <w:b w:val="0"/>
          <w:i w:val="0"/>
          <w:color w:val="161412"/>
        </w:rPr>
        <w:t>Por qué parece correcto: porque la háptica parece reforzar contacto.</w:t>
      </w:r>
    </w:p>
    <w:p>
      <w:pPr>
        <w:spacing w:after="120" w:line="320" w:lineRule="auto"/>
        <w:jc w:val="both"/>
      </w:pPr>
      <w:r>
        <w:rPr>
          <w:rFonts w:ascii="Newsreader" w:hAnsi="Newsreader" w:cs="Newsreader"/>
          <w:b w:val="0"/>
          <w:i w:val="0"/>
          <w:color w:val="161412"/>
        </w:rPr>
        <w:t>Qué fundamento viola: la proporcionalidad corporal. La háptica ocurre en el cuerpo del usuario. Puede ayudar pero también invadir y fatigar.</w:t>
      </w:r>
    </w:p>
    <w:p>
      <w:pPr>
        <w:spacing w:after="120" w:line="320" w:lineRule="auto"/>
        <w:jc w:val="both"/>
      </w:pPr>
      <w:r>
        <w:rPr>
          <w:rFonts w:ascii="Newsreader" w:hAnsi="Newsreader" w:cs="Newsreader"/>
          <w:b w:val="0"/>
          <w:i w:val="0"/>
          <w:color w:val="161412"/>
        </w:rPr>
        <w:t>Corrección: reservar háptica para contacto relevante, pick/drop, encaje, alerta importante, pérdida significativa. Debe ser opcional, proporcional y nunca única.</w:t>
      </w:r>
    </w:p>
    <w:p>
      <w:pPr>
        <w:spacing w:before="160" w:after="40"/>
        <w:pBdr>
          <w:left w:val="single" w:sz="18" w:space="12" w:color="1F3A5F"/>
        </w:pBdr>
      </w:pPr>
      <w:r>
        <w:rPr>
          <w:rFonts w:ascii="IBM Plex Sans" w:hAnsi="IBM Plex Sans" w:cs="IBM Plex Sans"/>
          <w:b/>
          <w:color w:val="1F3A5F"/>
          <w:sz w:val="16"/>
        </w:rPr>
        <w:t>DISTINCIÓN</w:t>
      </w:r>
    </w:p>
    <w:p>
      <w:pPr>
        <w:spacing w:after="120" w:line="312" w:lineRule="auto"/>
        <w:pBdr>
          <w:left w:val="single" w:sz="18" w:space="12" w:color="1F3A5F"/>
        </w:pBdr>
      </w:pPr>
      <w:r>
        <w:rPr>
          <w:rFonts w:ascii="Newsreader" w:hAnsi="Newsreader" w:cs="Newsreader"/>
          <w:b w:val="0"/>
          <w:i/>
          <w:color w:val="3A352F"/>
        </w:rPr>
        <w:t>La háptica no es más feedback. Es contacto corporal con el evento.</w:t>
      </w:r>
    </w:p>
    <w:p>
      <w:pPr>
        <w:spacing w:before="320" w:after="40"/>
      </w:pPr>
      <w:r>
        <w:rPr>
          <w:rFonts w:ascii="IBM Plex Sans" w:hAnsi="IBM Plex Sans" w:cs="IBM Plex Sans"/>
          <w:b/>
          <w:color w:val="1F3A5F"/>
          <w:sz w:val="18"/>
        </w:rPr>
        <w:t>§ 12</w:t>
      </w:r>
    </w:p>
    <w:p>
      <w:pPr>
        <w:spacing w:after="160" w:line="240" w:lineRule="auto"/>
      </w:pPr>
      <w:r>
        <w:rPr>
          <w:rFonts w:ascii="Newsreader" w:hAnsi="Newsreader" w:cs="Newsreader"/>
          <w:color w:val="161412"/>
          <w:sz w:val="38"/>
        </w:rPr>
        <w:t>Color como semántica</w:t>
      </w:r>
    </w:p>
    <w:p>
      <w:pPr>
        <w:spacing w:after="120" w:line="320" w:lineRule="auto"/>
        <w:jc w:val="both"/>
      </w:pPr>
      <w:r>
        <w:rPr>
          <w:rFonts w:ascii="Newsreader" w:hAnsi="Newsreader" w:cs="Newsreader"/>
          <w:b w:val="0"/>
          <w:i w:val="0"/>
          <w:color w:val="161412"/>
        </w:rPr>
        <w:t>Qué se hace mal: el color define el significado completo del evento. Rojo = error. Verde = success. Amarillo = warning. Azul = info.</w:t>
      </w:r>
    </w:p>
    <w:p>
      <w:pPr>
        <w:spacing w:after="120" w:line="320" w:lineRule="auto"/>
        <w:jc w:val="both"/>
      </w:pPr>
      <w:r>
        <w:rPr>
          <w:rFonts w:ascii="Newsreader" w:hAnsi="Newsreader" w:cs="Newsreader"/>
          <w:b w:val="0"/>
          <w:i w:val="0"/>
          <w:color w:val="161412"/>
        </w:rPr>
        <w:t>Por qué parece correcto: porque es la convención heredada. Fácil, familiar, rápida.</w:t>
      </w:r>
    </w:p>
    <w:p>
      <w:pPr>
        <w:spacing w:after="120" w:line="320" w:lineRule="auto"/>
        <w:jc w:val="both"/>
      </w:pPr>
      <w:r>
        <w:rPr>
          <w:rFonts w:ascii="Newsreader" w:hAnsi="Newsreader" w:cs="Newsreader"/>
          <w:b w:val="0"/>
          <w:i w:val="0"/>
          <w:color w:val="161412"/>
        </w:rPr>
        <w:t>Qué fundamento viola: el principio central del sistema de intents. El intent no nace del color. Nace de la evaluación del evento en el espacio valencia/activación.</w:t>
      </w:r>
    </w:p>
    <w:p>
      <w:pPr>
        <w:spacing w:after="120" w:line="320" w:lineRule="auto"/>
        <w:jc w:val="both"/>
      </w:pPr>
      <w:r>
        <w:rPr>
          <w:rFonts w:ascii="Newsreader" w:hAnsi="Newsreader" w:cs="Newsreader"/>
          <w:b w:val="0"/>
          <w:i w:val="0"/>
          <w:color w:val="161412"/>
        </w:rPr>
        <w:t>Corrección: partir de evento → evaluación → intent → canales. No de color → significado.</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El color expresa la semántica. No la funda.</w:t>
      </w:r>
    </w:p>
    <w:p>
      <w:pPr>
        <w:spacing w:before="320" w:after="40"/>
      </w:pPr>
      <w:r>
        <w:rPr>
          <w:rFonts w:ascii="IBM Plex Sans" w:hAnsi="IBM Plex Sans" w:cs="IBM Plex Sans"/>
          <w:b/>
          <w:color w:val="1F3A5F"/>
          <w:sz w:val="18"/>
        </w:rPr>
        <w:t>§ 13</w:t>
      </w:r>
    </w:p>
    <w:p>
      <w:pPr>
        <w:spacing w:after="160" w:line="240" w:lineRule="auto"/>
      </w:pPr>
      <w:r>
        <w:rPr>
          <w:rFonts w:ascii="Newsreader" w:hAnsi="Newsreader" w:cs="Newsreader"/>
          <w:color w:val="161412"/>
          <w:sz w:val="38"/>
        </w:rPr>
        <w:t>Señales efímeras</w:t>
      </w:r>
    </w:p>
    <w:p>
      <w:pPr>
        <w:spacing w:after="120" w:line="320" w:lineRule="auto"/>
        <w:jc w:val="both"/>
      </w:pPr>
      <w:r>
        <w:rPr>
          <w:rFonts w:ascii="Newsreader" w:hAnsi="Newsreader" w:cs="Newsreader"/>
          <w:b w:val="0"/>
          <w:i w:val="0"/>
          <w:color w:val="161412"/>
        </w:rPr>
        <w:t>Qué se hace mal: mensajes importantes aparecen y desaparecen demasiado rápido. Un error, una pérdida, una advertencia, un undo — el usuario no alcanza a leer, actuar o recuperar.</w:t>
      </w:r>
    </w:p>
    <w:p>
      <w:pPr>
        <w:spacing w:after="120" w:line="320" w:lineRule="auto"/>
        <w:jc w:val="both"/>
      </w:pPr>
      <w:r>
        <w:rPr>
          <w:rFonts w:ascii="Newsreader" w:hAnsi="Newsreader" w:cs="Newsreader"/>
          <w:b w:val="0"/>
          <w:i w:val="0"/>
          <w:color w:val="161412"/>
        </w:rPr>
        <w:t>Por qué parece correcto: porque el diseño busca no interrumpir. Los mensajes efímeros parecen ligeros y poco invasivos.</w:t>
      </w:r>
    </w:p>
    <w:p>
      <w:pPr>
        <w:spacing w:after="120" w:line="320" w:lineRule="auto"/>
        <w:jc w:val="both"/>
      </w:pPr>
      <w:r>
        <w:rPr>
          <w:rFonts w:ascii="Newsreader" w:hAnsi="Newsreader" w:cs="Newsreader"/>
          <w:b w:val="0"/>
          <w:i w:val="0"/>
          <w:color w:val="161412"/>
        </w:rPr>
        <w:t>Qué fundamento viola: accesibilidad temporal y persistencia semántica. Si un evento exige acción, corrección o reconocimiento, debe persistir lo suficiente.</w:t>
      </w:r>
    </w:p>
    <w:p>
      <w:pPr>
        <w:spacing w:after="120" w:line="320" w:lineRule="auto"/>
        <w:jc w:val="both"/>
      </w:pPr>
      <w:r>
        <w:rPr>
          <w:rFonts w:ascii="Newsreader" w:hAnsi="Newsreader" w:cs="Newsreader"/>
          <w:b w:val="0"/>
          <w:i w:val="0"/>
          <w:color w:val="161412"/>
        </w:rPr>
        <w:t>Corrección: affirm breve. Risk hasta corrección. Threat hasta acción. Loss con huella. Undo con duración suficiente y accesible.</w:t>
      </w:r>
    </w:p>
    <w:p>
      <w:pPr>
        <w:spacing w:before="160" w:after="40"/>
        <w:pBdr>
          <w:left w:val="single" w:sz="18" w:space="12" w:color="1F3A5F"/>
        </w:pBdr>
      </w:pPr>
      <w:r>
        <w:rPr>
          <w:rFonts w:ascii="IBM Plex Sans" w:hAnsi="IBM Plex Sans" w:cs="IBM Plex Sans"/>
          <w:b/>
          <w:color w:val="1F3A5F"/>
          <w:sz w:val="16"/>
        </w:rPr>
        <w:t>DISTINCIÓN</w:t>
      </w:r>
    </w:p>
    <w:p>
      <w:pPr>
        <w:spacing w:after="120" w:line="312" w:lineRule="auto"/>
        <w:pBdr>
          <w:left w:val="single" w:sz="18" w:space="12" w:color="1F3A5F"/>
        </w:pBdr>
      </w:pPr>
      <w:r>
        <w:rPr>
          <w:rFonts w:ascii="Newsreader" w:hAnsi="Newsreader" w:cs="Newsreader"/>
          <w:b w:val="0"/>
          <w:i/>
          <w:color w:val="3A352F"/>
        </w:rPr>
        <w:t>Lo importante no debe existir solo durante un instante.</w:t>
      </w:r>
    </w:p>
    <w:p>
      <w:pPr>
        <w:spacing w:before="320" w:after="40"/>
      </w:pPr>
      <w:r>
        <w:rPr>
          <w:rFonts w:ascii="IBM Plex Sans" w:hAnsi="IBM Plex Sans" w:cs="IBM Plex Sans"/>
          <w:b/>
          <w:color w:val="1F3A5F"/>
          <w:sz w:val="18"/>
        </w:rPr>
        <w:t>§ 14</w:t>
      </w:r>
    </w:p>
    <w:p>
      <w:pPr>
        <w:spacing w:after="160" w:line="240" w:lineRule="auto"/>
      </w:pPr>
      <w:r>
        <w:rPr>
          <w:rFonts w:ascii="Newsreader" w:hAnsi="Newsreader" w:cs="Newsreader"/>
          <w:color w:val="161412"/>
          <w:sz w:val="38"/>
        </w:rPr>
        <w:t>shift invisible</w:t>
      </w:r>
    </w:p>
    <w:p>
      <w:pPr>
        <w:spacing w:after="120" w:line="320" w:lineRule="auto"/>
        <w:jc w:val="both"/>
      </w:pPr>
      <w:r>
        <w:rPr>
          <w:rFonts w:ascii="Newsreader" w:hAnsi="Newsreader" w:cs="Newsreader"/>
          <w:b w:val="0"/>
          <w:i w:val="0"/>
          <w:color w:val="161412"/>
        </w:rPr>
        <w:t>Qué se hace mal: el contexto cambia pero el usuario no recibe orientación. Una nueva vista aparece sin foco. Un modal abre pero el lector sigue en el fondo. Un modo de edición se activa sin señal.</w:t>
      </w:r>
    </w:p>
    <w:p>
      <w:pPr>
        <w:spacing w:after="120" w:line="320" w:lineRule="auto"/>
        <w:jc w:val="both"/>
      </w:pPr>
      <w:r>
        <w:rPr>
          <w:rFonts w:ascii="Newsreader" w:hAnsi="Newsreader" w:cs="Newsreader"/>
          <w:b w:val="0"/>
          <w:i w:val="0"/>
          <w:color w:val="161412"/>
        </w:rPr>
        <w:t>Por qué parece correcto: porque visualmente el cambio parece claro para quien lo diseña.</w:t>
      </w:r>
    </w:p>
    <w:p>
      <w:pPr>
        <w:spacing w:after="120" w:line="320" w:lineRule="auto"/>
        <w:jc w:val="both"/>
      </w:pPr>
      <w:r>
        <w:rPr>
          <w:rFonts w:ascii="Newsreader" w:hAnsi="Newsreader" w:cs="Newsreader"/>
          <w:b w:val="0"/>
          <w:i w:val="0"/>
          <w:color w:val="161412"/>
        </w:rPr>
        <w:t>Qué fundamento viola: la función de shift. El usuario necesita saber dónde está, qué puede hacer, cómo vuelve, qué cambió.</w:t>
      </w:r>
    </w:p>
    <w:p>
      <w:pPr>
        <w:spacing w:after="120" w:line="320" w:lineRule="auto"/>
        <w:jc w:val="both"/>
      </w:pPr>
      <w:r>
        <w:rPr>
          <w:rFonts w:ascii="Newsreader" w:hAnsi="Newsreader" w:cs="Newsreader"/>
          <w:b w:val="0"/>
          <w:i w:val="0"/>
          <w:color w:val="161412"/>
        </w:rPr>
        <w:t>Corrección: todo shift debe cuidar foco, título, profundidad, landmarks, navegación de retorno, estado de modo.</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 xml:space="preserve">Un cambio de contexto que el usuario no puede ubicar es un shift fallido, por elegante que sea la transición.</w:t>
      </w:r>
    </w:p>
    <w:p>
      <w:pPr>
        <w:spacing w:after="120" w:line="320" w:lineRule="auto"/>
        <w:jc w:val="both"/>
      </w:pPr>
      <w:r>
        <w:rPr>
          <w:rFonts w:ascii="Newsreader" w:hAnsi="Newsreader" w:cs="Newsreader"/>
          <w:b w:val="0"/>
          <w:i w:val="0"/>
          <w:color w:val="161412"/>
        </w:rPr>
        <w:t>15. Tabla resumen</w:t>
      </w:r>
    </w:p>
    <w:p>
      <w:pPr>
        <w:spacing w:before="320" w:after="40"/>
      </w:pPr>
      <w:r>
        <w:rPr>
          <w:rFonts w:ascii="IBM Plex Sans" w:hAnsi="IBM Plex Sans" w:cs="IBM Plex Sans"/>
          <w:b/>
          <w:color w:val="1F3A5F"/>
          <w:sz w:val="18"/>
        </w:rPr>
        <w:t xml:space="preserve">§ 15</w:t>
      </w:r>
    </w:p>
    <w:p>
      <w:pPr>
        <w:spacing w:after="160" w:line="240" w:lineRule="auto"/>
      </w:pPr>
      <w:r>
        <w:rPr>
          <w:rFonts w:ascii="Newsreader" w:hAnsi="Newsreader" w:cs="Newsreader"/>
          <w:color w:val="161412"/>
          <w:sz w:val="38"/>
        </w:rPr>
        <w:t>Síntesis</w:t>
      </w:r>
    </w:p>
    <w:p>
      <w:pPr>
        <w:spacing w:after="120" w:line="320" w:lineRule="auto"/>
        <w:jc w:val="both"/>
      </w:pPr>
      <w:r>
        <w:rPr>
          <w:rFonts w:ascii="Newsreader" w:hAnsi="Newsreader" w:cs="Newsreader"/>
          <w:b w:val="0"/>
          <w:i w:val="0"/>
          <w:color w:val="161412"/>
        </w:rPr>
        <w:t>Los antipatrones globales muestran que la gramática puede romperse de muchas formas. No basta con que un componente funcione. No basta con que una animación sea fluida. No basta con que un color sea reconocible. La pregunta es: ¿el sistema comunica el evento correcto, con la intensidad correcta, por los canales correctos, en el momento correcto?</w:t>
      </w:r>
    </w:p>
    <w:p>
      <w:pPr>
        <w:spacing w:before="160" w:after="40"/>
        <w:pBdr>
          <w:left w:val="single" w:sz="18" w:space="12" w:color="1F3A5F"/>
        </w:pBdr>
      </w:pPr>
      <w:r>
        <w:rPr>
          <w:rFonts w:ascii="IBM Plex Sans" w:hAnsi="IBM Plex Sans" w:cs="IBM Plex Sans"/>
          <w:b/>
          <w:color w:val="1F3A5F"/>
          <w:sz w:val="16"/>
        </w:rPr>
        <w:t>DISTINCIÓN</w:t>
      </w:r>
    </w:p>
    <w:p>
      <w:pPr>
        <w:spacing w:after="120" w:line="312" w:lineRule="auto"/>
        <w:pBdr>
          <w:left w:val="single" w:sz="18" w:space="12" w:color="1F3A5F"/>
        </w:pBdr>
      </w:pPr>
      <w:r>
        <w:rPr>
          <w:rFonts w:ascii="Newsreader" w:hAnsi="Newsreader" w:cs="Newsreader"/>
          <w:b w:val="0"/>
          <w:i/>
          <w:color w:val="3A352F"/>
        </w:rPr>
        <w:t>Un antipatrón semántico no es solo una mala práctica visual. Es una contradicción entre el evento que ocurre y el evento que la interfaz hace percibir.</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Cuando una interfaz se siente rara, muchas veces no falla el efecto. Falla la gramática.</w:t>
      </w:r>
    </w:p>
    <w:p>
      <w:pPr>
        <w:spacing w:before="200" w:after="60"/>
        <w:jc w:val="center"/>
      </w:pPr>
      <w:r>
        <w:drawing>
          <wp:inline xmlns:a="http://schemas.openxmlformats.org/drawingml/2006/main" xmlns:pic="http://schemas.openxmlformats.org/drawingml/2006/picture">
            <wp:extent cx="5029200" cy="2514600"/>
            <wp:docPr id="80" name="Picture 80"/>
            <wp:cNvGraphicFramePr>
              <a:graphicFrameLocks noChangeAspect="1"/>
            </wp:cNvGraphicFramePr>
            <a:graphic>
              <a:graphicData uri="http://schemas.openxmlformats.org/drawingml/2006/picture">
                <pic:pic>
                  <pic:nvPicPr>
                    <pic:cNvPr id="0" name="figura-34-1.png"/>
                    <pic:cNvPicPr/>
                  </pic:nvPicPr>
                  <pic:blipFill>
                    <a:blip r:embed="rId88"/>
                    <a:stretch>
                      <a:fillRect/>
                    </a:stretch>
                  </pic:blipFill>
                  <pic:spPr>
                    <a:xfrm>
                      <a:off x="0" y="0"/>
                      <a:ext cx="5029200" cy="2514600"/>
                    </a:xfrm>
                    <a:prstGeom prst="rect"/>
                  </pic:spPr>
                </pic:pic>
              </a:graphicData>
            </a:graphic>
          </wp:inline>
        </w:drawing>
      </w:r>
    </w:p>
    <w:p>
      <w:pPr>
        <w:spacing w:before="200" w:after="60"/>
        <w:jc w:val="center"/>
      </w:pPr>
      <w:r>
        <w:drawing>
          <wp:inline xmlns:a="http://schemas.openxmlformats.org/drawingml/2006/main" xmlns:pic="http://schemas.openxmlformats.org/drawingml/2006/picture">
            <wp:extent cx="5029200" cy="2863501"/>
            <wp:docPr id="81" name="Picture 81"/>
            <wp:cNvGraphicFramePr>
              <a:graphicFrameLocks noChangeAspect="1"/>
            </wp:cNvGraphicFramePr>
            <a:graphic>
              <a:graphicData uri="http://schemas.openxmlformats.org/drawingml/2006/picture">
                <pic:pic>
                  <pic:nvPicPr>
                    <pic:cNvPr id="0" name="figura-34-2.png"/>
                    <pic:cNvPicPr/>
                  </pic:nvPicPr>
                  <pic:blipFill>
                    <a:blip r:embed="rId89"/>
                    <a:stretch>
                      <a:fillRect/>
                    </a:stretch>
                  </pic:blipFill>
                  <pic:spPr>
                    <a:xfrm>
                      <a:off x="0" y="0"/>
                      <a:ext cx="5029200" cy="2863501"/>
                    </a:xfrm>
                    <a:prstGeom prst="rect"/>
                  </pic:spPr>
                </pic:pic>
              </a:graphicData>
            </a:graphic>
          </wp:inline>
        </w:drawing>
      </w:r>
    </w:p>
    <w:p>
      <w:pPr>
        <w:spacing w:before="200" w:after="60"/>
        <w:jc w:val="center"/>
      </w:pPr>
      <w:r>
        <w:drawing>
          <wp:inline xmlns:a="http://schemas.openxmlformats.org/drawingml/2006/main" xmlns:pic="http://schemas.openxmlformats.org/drawingml/2006/picture">
            <wp:extent cx="5029200" cy="2514600"/>
            <wp:docPr id="82" name="Picture 82"/>
            <wp:cNvGraphicFramePr>
              <a:graphicFrameLocks noChangeAspect="1"/>
            </wp:cNvGraphicFramePr>
            <a:graphic>
              <a:graphicData uri="http://schemas.openxmlformats.org/drawingml/2006/picture">
                <pic:pic>
                  <pic:nvPicPr>
                    <pic:cNvPr id="0" name="figura-34-3.png"/>
                    <pic:cNvPicPr/>
                  </pic:nvPicPr>
                  <pic:blipFill>
                    <a:blip r:embed="rId90"/>
                    <a:stretch>
                      <a:fillRect/>
                    </a:stretch>
                  </pic:blipFill>
                  <pic:spPr>
                    <a:xfrm>
                      <a:off x="0" y="0"/>
                      <a:ext cx="5029200" cy="2514600"/>
                    </a:xfrm>
                    <a:prstGeom prst="rect"/>
                  </pic:spPr>
                </pic:pic>
              </a:graphicData>
            </a:graphic>
          </wp:inline>
        </w:drawing>
      </w:r>
    </w:p>
    <w:p>
      <w:pPr>
        <w:spacing w:after="200" w:before="40"/>
      </w:pPr>
      <w:r>
        <w:rPr>
          <w:rFonts w:ascii="IBM Plex Sans" w:hAnsi="IBM Plex Sans" w:cs="IBM Plex Sans"/>
          <w:b/>
          <w:color w:val="1F3A5F"/>
          <w:sz w:val="17"/>
        </w:rPr>
        <w:t xml:space="preserve">TABLA 34.1   </w:t>
      </w:r>
      <w:r>
        <w:rPr>
          <w:rFonts w:ascii="IBM Plex Sans" w:hAnsi="IBM Plex Sans" w:cs="IBM Plex Sans"/>
          <w:color w:val="3A352F"/>
          <w:sz w:val="18"/>
        </w:rPr>
        <w:t xml:space="preserve">Antipatrones globales: qué confunden y cómo se corrigen</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ANTIPATRÓN</w:t>
            </w:r>
          </w:p>
        </w:tc>
        <w:tc>
          <w:tcPr>
            <w:tcW w:type="dxa" w:w="2772"/>
            <w:shd w:val="clear" w:color="auto" w:fill="EAE4D8"/>
          </w:tcPr>
          <w:p>
            <w:pPr>
              <w:spacing w:after="40"/>
            </w:pPr>
            <w:r>
              <w:rPr>
                <w:sz w:val="17"/>
              </w:rPr>
            </w:r>
            <w:r>
              <w:rPr>
                <w:rFonts w:ascii="IBM Plex Sans" w:hAnsi="IBM Plex Sans" w:cs="IBM Plex Sans"/>
                <w:b/>
                <w:i w:val="0"/>
                <w:color w:val="1F3A5F"/>
                <w:sz w:val="17"/>
              </w:rPr>
              <w:t>QUÉ CONFUNDE</w:t>
            </w:r>
          </w:p>
        </w:tc>
        <w:tc>
          <w:tcPr>
            <w:tcW w:type="dxa" w:w="2772"/>
            <w:shd w:val="clear" w:color="auto" w:fill="EAE4D8"/>
          </w:tcPr>
          <w:p>
            <w:pPr>
              <w:spacing w:after="40"/>
            </w:pPr>
            <w:r>
              <w:rPr>
                <w:sz w:val="17"/>
              </w:rPr>
            </w:r>
            <w:r>
              <w:rPr>
                <w:rFonts w:ascii="IBM Plex Sans" w:hAnsi="IBM Plex Sans" w:cs="IBM Plex Sans"/>
                <w:b/>
                <w:i w:val="0"/>
                <w:color w:val="1F3A5F"/>
                <w:sz w:val="17"/>
              </w:rPr>
              <w:t>CORRECCIÓN</w:t>
            </w:r>
          </w:p>
        </w:tc>
      </w:tr>
      <w:tr>
        <w:tc>
          <w:tcPr>
            <w:tcW w:type="dxa" w:w="2772"/>
          </w:tcPr>
          <w:p>
            <w:pPr>
              <w:spacing w:after="40"/>
            </w:pPr>
            <w:r>
              <w:rPr>
                <w:sz w:val="17"/>
              </w:rPr>
            </w:r>
            <w:r>
              <w:rPr>
                <w:rFonts w:ascii="IBM Plex Sans" w:hAnsi="IBM Plex Sans" w:cs="IBM Plex Sans"/>
                <w:b w:val="0"/>
                <w:i w:val="0"/>
                <w:color w:val="161412"/>
                <w:sz w:val="17"/>
              </w:rPr>
              <w:t>Todo es success</w:t>
            </w:r>
          </w:p>
        </w:tc>
        <w:tc>
          <w:tcPr>
            <w:tcW w:type="dxa" w:w="2772"/>
          </w:tcPr>
          <w:p>
            <w:pPr>
              <w:spacing w:after="40"/>
            </w:pPr>
            <w:r>
              <w:rPr>
                <w:sz w:val="17"/>
              </w:rPr>
            </w:r>
            <w:r>
              <w:rPr>
                <w:rFonts w:ascii="IBM Plex Sans" w:hAnsi="IBM Plex Sans" w:cs="IBM Plex Sans"/>
                <w:b w:val="0"/>
                <w:i w:val="0"/>
                <w:color w:val="161412"/>
                <w:sz w:val="17"/>
              </w:rPr>
              <w:t>affirm con fulfill</w:t>
            </w:r>
          </w:p>
        </w:tc>
        <w:tc>
          <w:tcPr>
            <w:tcW w:type="dxa" w:w="2772"/>
          </w:tcPr>
          <w:p>
            <w:pPr>
              <w:spacing w:after="40"/>
            </w:pPr>
            <w:r>
              <w:rPr>
                <w:sz w:val="17"/>
              </w:rPr>
            </w:r>
            <w:r>
              <w:rPr>
                <w:rFonts w:ascii="IBM Plex Sans" w:hAnsi="IBM Plex Sans" w:cs="IBM Plex Sans"/>
                <w:b w:val="0"/>
                <w:i w:val="0"/>
                <w:color w:val="161412"/>
                <w:sz w:val="17"/>
              </w:rPr>
              <w:t>separar confirmación y culminación</w:t>
            </w:r>
          </w:p>
        </w:tc>
      </w:tr>
      <w:tr>
        <w:tc>
          <w:tcPr>
            <w:tcW w:type="dxa" w:w="2772"/>
          </w:tcPr>
          <w:p>
            <w:pPr>
              <w:spacing w:after="40"/>
            </w:pPr>
            <w:r>
              <w:rPr>
                <w:sz w:val="17"/>
              </w:rPr>
            </w:r>
            <w:r>
              <w:rPr>
                <w:rFonts w:ascii="IBM Plex Sans" w:hAnsi="IBM Plex Sans" w:cs="IBM Plex Sans"/>
                <w:b w:val="0"/>
                <w:i w:val="0"/>
                <w:color w:val="161412"/>
                <w:sz w:val="17"/>
              </w:rPr>
              <w:t>Todo es danger</w:t>
            </w:r>
          </w:p>
        </w:tc>
        <w:tc>
          <w:tcPr>
            <w:tcW w:type="dxa" w:w="2772"/>
          </w:tcPr>
          <w:p>
            <w:pPr>
              <w:spacing w:after="40"/>
            </w:pPr>
            <w:r>
              <w:rPr>
                <w:sz w:val="17"/>
              </w:rPr>
            </w:r>
            <w:r>
              <w:rPr>
                <w:rFonts w:ascii="IBM Plex Sans" w:hAnsi="IBM Plex Sans" w:cs="IBM Plex Sans"/>
                <w:b w:val="0"/>
                <w:i w:val="0"/>
                <w:color w:val="161412"/>
                <w:sz w:val="17"/>
              </w:rPr>
              <w:t>risk, threat, loss</w:t>
            </w:r>
          </w:p>
        </w:tc>
        <w:tc>
          <w:tcPr>
            <w:tcW w:type="dxa" w:w="2772"/>
          </w:tcPr>
          <w:p>
            <w:pPr>
              <w:spacing w:after="40"/>
            </w:pPr>
            <w:r>
              <w:rPr>
                <w:sz w:val="17"/>
              </w:rPr>
            </w:r>
            <w:r>
              <w:rPr>
                <w:rFonts w:ascii="IBM Plex Sans" w:hAnsi="IBM Plex Sans" w:cs="IBM Plex Sans"/>
                <w:b w:val="0"/>
                <w:i w:val="0"/>
                <w:color w:val="161412"/>
                <w:sz w:val="17"/>
              </w:rPr>
              <w:t>separar riesgo, amenaza y pérdida</w:t>
            </w:r>
          </w:p>
        </w:tc>
      </w:tr>
      <w:tr>
        <w:tc>
          <w:tcPr>
            <w:tcW w:type="dxa" w:w="2772"/>
          </w:tcPr>
          <w:p>
            <w:pPr>
              <w:spacing w:after="40"/>
            </w:pPr>
            <w:r>
              <w:rPr>
                <w:sz w:val="17"/>
              </w:rPr>
            </w:r>
            <w:r>
              <w:rPr>
                <w:rFonts w:ascii="IBM Plex Sans" w:hAnsi="IBM Plex Sans" w:cs="IBM Plex Sans"/>
                <w:b w:val="0"/>
                <w:i w:val="0"/>
                <w:color w:val="161412"/>
                <w:sz w:val="17"/>
              </w:rPr>
              <w:t>Info como cajón</w:t>
            </w:r>
          </w:p>
        </w:tc>
        <w:tc>
          <w:tcPr>
            <w:tcW w:type="dxa" w:w="2772"/>
          </w:tcPr>
          <w:p>
            <w:pPr>
              <w:spacing w:after="40"/>
            </w:pPr>
            <w:r>
              <w:rPr>
                <w:sz w:val="17"/>
              </w:rPr>
            </w:r>
            <w:r>
              <w:rPr>
                <w:rFonts w:ascii="IBM Plex Sans" w:hAnsi="IBM Plex Sans" w:cs="IBM Plex Sans"/>
                <w:b w:val="0"/>
                <w:i w:val="0"/>
                <w:color w:val="161412"/>
                <w:sz w:val="17"/>
              </w:rPr>
              <w:t>saliencia con intent</w:t>
            </w:r>
          </w:p>
        </w:tc>
        <w:tc>
          <w:tcPr>
            <w:tcW w:type="dxa" w:w="2772"/>
          </w:tcPr>
          <w:p>
            <w:pPr>
              <w:spacing w:after="40"/>
            </w:pPr>
            <w:r>
              <w:rPr>
                <w:sz w:val="17"/>
              </w:rPr>
            </w:r>
            <w:r>
              <w:rPr>
                <w:rFonts w:ascii="IBM Plex Sans" w:hAnsi="IBM Plex Sans" w:cs="IBM Plex Sans"/>
                <w:b w:val="0"/>
                <w:i w:val="0"/>
                <w:color w:val="161412"/>
                <w:sz w:val="17"/>
              </w:rPr>
              <w:t>signal + neutral</w:t>
            </w:r>
          </w:p>
        </w:tc>
      </w:tr>
      <w:tr>
        <w:tc>
          <w:tcPr>
            <w:tcW w:type="dxa" w:w="2772"/>
          </w:tcPr>
          <w:p>
            <w:pPr>
              <w:spacing w:after="40"/>
            </w:pPr>
            <w:r>
              <w:rPr>
                <w:sz w:val="17"/>
              </w:rPr>
            </w:r>
            <w:r>
              <w:rPr>
                <w:rFonts w:ascii="IBM Plex Sans" w:hAnsi="IBM Plex Sans" w:cs="IBM Plex Sans"/>
                <w:b w:val="0"/>
                <w:i w:val="0"/>
                <w:color w:val="161412"/>
                <w:sz w:val="17"/>
              </w:rPr>
              <w:t>Todo aparece como alert</w:t>
            </w:r>
          </w:p>
        </w:tc>
        <w:tc>
          <w:tcPr>
            <w:tcW w:type="dxa" w:w="2772"/>
          </w:tcPr>
          <w:p>
            <w:pPr>
              <w:spacing w:after="40"/>
            </w:pPr>
            <w:r>
              <w:rPr>
                <w:sz w:val="17"/>
              </w:rPr>
            </w:r>
            <w:r>
              <w:rPr>
                <w:rFonts w:ascii="IBM Plex Sans" w:hAnsi="IBM Plex Sans" w:cs="IBM Plex Sans"/>
                <w:b w:val="0"/>
                <w:i w:val="0"/>
                <w:color w:val="161412"/>
                <w:sz w:val="17"/>
              </w:rPr>
              <w:t>emerge con signal</w:t>
            </w:r>
          </w:p>
        </w:tc>
        <w:tc>
          <w:tcPr>
            <w:tcW w:type="dxa" w:w="2772"/>
          </w:tcPr>
          <w:p>
            <w:pPr>
              <w:spacing w:after="40"/>
            </w:pPr>
            <w:r>
              <w:rPr>
                <w:sz w:val="17"/>
              </w:rPr>
            </w:r>
            <w:r>
              <w:rPr>
                <w:rFonts w:ascii="IBM Plex Sans" w:hAnsi="IBM Plex Sans" w:cs="IBM Plex Sans"/>
                <w:b w:val="0"/>
                <w:i w:val="0"/>
                <w:color w:val="161412"/>
                <w:sz w:val="17"/>
              </w:rPr>
              <w:t>separar presencia y atención</w:t>
            </w:r>
          </w:p>
        </w:tc>
      </w:tr>
      <w:tr>
        <w:tc>
          <w:tcPr>
            <w:tcW w:type="dxa" w:w="2772"/>
          </w:tcPr>
          <w:p>
            <w:pPr>
              <w:spacing w:after="40"/>
            </w:pPr>
            <w:r>
              <w:rPr>
                <w:sz w:val="17"/>
              </w:rPr>
            </w:r>
            <w:r>
              <w:rPr>
                <w:rFonts w:ascii="IBM Plex Sans" w:hAnsi="IBM Plex Sans" w:cs="IBM Plex Sans"/>
                <w:b w:val="0"/>
                <w:i w:val="0"/>
                <w:color w:val="161412"/>
                <w:sz w:val="17"/>
              </w:rPr>
              <w:t>Modal rojo</w:t>
            </w:r>
          </w:p>
        </w:tc>
        <w:tc>
          <w:tcPr>
            <w:tcW w:type="dxa" w:w="2772"/>
          </w:tcPr>
          <w:p>
            <w:pPr>
              <w:spacing w:after="40"/>
            </w:pPr>
            <w:r>
              <w:rPr>
                <w:sz w:val="17"/>
              </w:rPr>
            </w:r>
            <w:r>
              <w:rPr>
                <w:rFonts w:ascii="IBM Plex Sans" w:hAnsi="IBM Plex Sans" w:cs="IBM Plex Sans"/>
                <w:b w:val="0"/>
                <w:i w:val="0"/>
                <w:color w:val="161412"/>
                <w:sz w:val="17"/>
              </w:rPr>
              <w:t>marco con mensaje</w:t>
            </w:r>
          </w:p>
        </w:tc>
        <w:tc>
          <w:tcPr>
            <w:tcW w:type="dxa" w:w="2772"/>
          </w:tcPr>
          <w:p>
            <w:pPr>
              <w:spacing w:after="40"/>
            </w:pPr>
            <w:r>
              <w:rPr>
                <w:sz w:val="17"/>
              </w:rPr>
            </w:r>
            <w:r>
              <w:rPr>
                <w:rFonts w:ascii="IBM Plex Sans" w:hAnsi="IBM Plex Sans" w:cs="IBM Plex Sans"/>
                <w:b w:val="0"/>
                <w:i w:val="0"/>
                <w:color w:val="161412"/>
                <w:sz w:val="17"/>
              </w:rPr>
              <w:t>shift + signal.threat</w:t>
            </w:r>
          </w:p>
        </w:tc>
      </w:tr>
      <w:tr>
        <w:tc>
          <w:tcPr>
            <w:tcW w:type="dxa" w:w="2772"/>
          </w:tcPr>
          <w:p>
            <w:pPr>
              <w:spacing w:after="40"/>
            </w:pPr>
            <w:r>
              <w:rPr>
                <w:sz w:val="17"/>
              </w:rPr>
            </w:r>
            <w:r>
              <w:rPr>
                <w:rFonts w:ascii="IBM Plex Sans" w:hAnsi="IBM Plex Sans" w:cs="IBM Plex Sans"/>
                <w:b w:val="0"/>
                <w:i w:val="0"/>
                <w:color w:val="161412"/>
                <w:sz w:val="17"/>
              </w:rPr>
              <w:t>Spinner de error</w:t>
            </w:r>
          </w:p>
        </w:tc>
        <w:tc>
          <w:tcPr>
            <w:tcW w:type="dxa" w:w="2772"/>
          </w:tcPr>
          <w:p>
            <w:pPr>
              <w:spacing w:after="40"/>
            </w:pPr>
            <w:r>
              <w:rPr>
                <w:sz w:val="17"/>
              </w:rPr>
            </w:r>
            <w:r>
              <w:rPr>
                <w:rFonts w:ascii="IBM Plex Sans" w:hAnsi="IBM Plex Sans" w:cs="IBM Plex Sans"/>
                <w:b w:val="0"/>
                <w:i w:val="0"/>
                <w:color w:val="161412"/>
                <w:sz w:val="17"/>
              </w:rPr>
              <w:t>proceso con fallo</w:t>
            </w:r>
          </w:p>
        </w:tc>
        <w:tc>
          <w:tcPr>
            <w:tcW w:type="dxa" w:w="2772"/>
          </w:tcPr>
          <w:p>
            <w:pPr>
              <w:spacing w:after="40"/>
            </w:pPr>
            <w:r>
              <w:rPr>
                <w:sz w:val="17"/>
              </w:rPr>
            </w:r>
            <w:r>
              <w:rPr>
                <w:rFonts w:ascii="IBM Plex Sans" w:hAnsi="IBM Plex Sans" w:cs="IBM Plex Sans"/>
                <w:b w:val="0"/>
                <w:i w:val="0"/>
                <w:color w:val="161412"/>
                <w:sz w:val="17"/>
              </w:rPr>
              <w:t>sustain + señal si procede</w:t>
            </w:r>
          </w:p>
        </w:tc>
      </w:tr>
      <w:tr>
        <w:tc>
          <w:tcPr>
            <w:tcW w:type="dxa" w:w="2772"/>
          </w:tcPr>
          <w:p>
            <w:pPr>
              <w:spacing w:after="40"/>
            </w:pPr>
            <w:r>
              <w:rPr>
                <w:sz w:val="17"/>
              </w:rPr>
            </w:r>
            <w:r>
              <w:rPr>
                <w:rFonts w:ascii="IBM Plex Sans" w:hAnsi="IBM Plex Sans" w:cs="IBM Plex Sans"/>
                <w:b w:val="0"/>
                <w:i w:val="0"/>
                <w:color w:val="161412"/>
                <w:sz w:val="17"/>
              </w:rPr>
              <w:t>Commit anticipado</w:t>
            </w:r>
          </w:p>
        </w:tc>
        <w:tc>
          <w:tcPr>
            <w:tcW w:type="dxa" w:w="2772"/>
          </w:tcPr>
          <w:p>
            <w:pPr>
              <w:spacing w:after="40"/>
            </w:pPr>
            <w:r>
              <w:rPr>
                <w:sz w:val="17"/>
              </w:rPr>
            </w:r>
            <w:r>
              <w:rPr>
                <w:rFonts w:ascii="IBM Plex Sans" w:hAnsi="IBM Plex Sans" w:cs="IBM Plex Sans"/>
                <w:b w:val="0"/>
                <w:i w:val="0"/>
                <w:color w:val="161412"/>
                <w:sz w:val="17"/>
              </w:rPr>
              <w:t>contacto con resultado</w:t>
            </w:r>
          </w:p>
        </w:tc>
        <w:tc>
          <w:tcPr>
            <w:tcW w:type="dxa" w:w="2772"/>
          </w:tcPr>
          <w:p>
            <w:pPr>
              <w:spacing w:after="40"/>
            </w:pPr>
            <w:r>
              <w:rPr>
                <w:sz w:val="17"/>
              </w:rPr>
            </w:r>
            <w:r>
              <w:rPr>
                <w:rFonts w:ascii="IBM Plex Sans" w:hAnsi="IBM Plex Sans" w:cs="IBM Plex Sans"/>
                <w:b w:val="0"/>
                <w:i w:val="0"/>
                <w:color w:val="161412"/>
                <w:sz w:val="17"/>
              </w:rPr>
              <w:t>contact → sustain → commit</w:t>
            </w:r>
          </w:p>
        </w:tc>
      </w:tr>
      <w:tr>
        <w:tc>
          <w:tcPr>
            <w:tcW w:type="dxa" w:w="2772"/>
          </w:tcPr>
          <w:p>
            <w:pPr>
              <w:spacing w:after="40"/>
            </w:pPr>
            <w:r>
              <w:rPr>
                <w:sz w:val="17"/>
              </w:rPr>
            </w:r>
            <w:r>
              <w:rPr>
                <w:rFonts w:ascii="IBM Plex Sans" w:hAnsi="IBM Plex Sans" w:cs="IBM Plex Sans"/>
                <w:b w:val="0"/>
                <w:i w:val="0"/>
                <w:color w:val="161412"/>
                <w:sz w:val="17"/>
              </w:rPr>
              <w:t>Pérdida sin huella</w:t>
            </w:r>
          </w:p>
        </w:tc>
        <w:tc>
          <w:tcPr>
            <w:tcW w:type="dxa" w:w="2772"/>
          </w:tcPr>
          <w:p>
            <w:pPr>
              <w:spacing w:after="40"/>
            </w:pPr>
            <w:r>
              <w:rPr>
                <w:sz w:val="17"/>
              </w:rPr>
            </w:r>
            <w:r>
              <w:rPr>
                <w:rFonts w:ascii="IBM Plex Sans" w:hAnsi="IBM Plex Sans" w:cs="IBM Plex Sans"/>
                <w:b w:val="0"/>
                <w:i w:val="0"/>
                <w:color w:val="161412"/>
                <w:sz w:val="17"/>
              </w:rPr>
              <w:t>ocultación con pérdida</w:t>
            </w:r>
          </w:p>
        </w:tc>
        <w:tc>
          <w:tcPr>
            <w:tcW w:type="dxa" w:w="2772"/>
          </w:tcPr>
          <w:p>
            <w:pPr>
              <w:spacing w:after="40"/>
            </w:pPr>
            <w:r>
              <w:rPr>
                <w:sz w:val="17"/>
              </w:rPr>
            </w:r>
            <w:r>
              <w:rPr>
                <w:rFonts w:ascii="IBM Plex Sans" w:hAnsi="IBM Plex Sans" w:cs="IBM Plex Sans"/>
                <w:b w:val="0"/>
                <w:i w:val="0"/>
                <w:color w:val="161412"/>
                <w:sz w:val="17"/>
              </w:rPr>
              <w:t>commit.loss + huella</w:t>
            </w:r>
          </w:p>
        </w:tc>
      </w:tr>
      <w:tr>
        <w:tc>
          <w:tcPr>
            <w:tcW w:type="dxa" w:w="2772"/>
          </w:tcPr>
          <w:p>
            <w:pPr>
              <w:spacing w:after="40"/>
            </w:pPr>
            <w:r>
              <w:rPr>
                <w:sz w:val="17"/>
              </w:rPr>
            </w:r>
            <w:r>
              <w:rPr>
                <w:rFonts w:ascii="IBM Plex Sans" w:hAnsi="IBM Plex Sans" w:cs="IBM Plex Sans"/>
                <w:b w:val="0"/>
                <w:i w:val="0"/>
                <w:color w:val="161412"/>
                <w:sz w:val="17"/>
              </w:rPr>
              <w:t>Drag sin alternativa</w:t>
            </w:r>
          </w:p>
        </w:tc>
        <w:tc>
          <w:tcPr>
            <w:tcW w:type="dxa" w:w="2772"/>
          </w:tcPr>
          <w:p>
            <w:pPr>
              <w:spacing w:after="40"/>
            </w:pPr>
            <w:r>
              <w:rPr>
                <w:sz w:val="17"/>
              </w:rPr>
            </w:r>
            <w:r>
              <w:rPr>
                <w:rFonts w:ascii="IBM Plex Sans" w:hAnsi="IBM Plex Sans" w:cs="IBM Plex Sans"/>
                <w:b w:val="0"/>
                <w:i w:val="0"/>
                <w:color w:val="161412"/>
                <w:sz w:val="17"/>
              </w:rPr>
              <w:t>gesto con evento</w:t>
            </w:r>
          </w:p>
        </w:tc>
        <w:tc>
          <w:tcPr>
            <w:tcW w:type="dxa" w:w="2772"/>
          </w:tcPr>
          <w:p>
            <w:pPr>
              <w:spacing w:after="40"/>
            </w:pPr>
            <w:r>
              <w:rPr>
                <w:sz w:val="17"/>
              </w:rPr>
            </w:r>
            <w:r>
              <w:rPr>
                <w:rFonts w:ascii="IBM Plex Sans" w:hAnsi="IBM Plex Sans" w:cs="IBM Plex Sans"/>
                <w:b w:val="0"/>
                <w:i w:val="0"/>
                <w:color w:val="161412"/>
                <w:sz w:val="17"/>
              </w:rPr>
              <w:t>alternativa operativa</w:t>
            </w:r>
          </w:p>
        </w:tc>
      </w:tr>
      <w:tr>
        <w:tc>
          <w:tcPr>
            <w:tcW w:type="dxa" w:w="2772"/>
          </w:tcPr>
          <w:p>
            <w:pPr>
              <w:spacing w:after="40"/>
            </w:pPr>
            <w:r>
              <w:rPr>
                <w:sz w:val="17"/>
              </w:rPr>
            </w:r>
            <w:r>
              <w:rPr>
                <w:rFonts w:ascii="IBM Plex Sans" w:hAnsi="IBM Plex Sans" w:cs="IBM Plex Sans"/>
                <w:b w:val="0"/>
                <w:i w:val="0"/>
                <w:color w:val="161412"/>
                <w:sz w:val="17"/>
              </w:rPr>
              <w:t>Sonido decorativo</w:t>
            </w:r>
          </w:p>
        </w:tc>
        <w:tc>
          <w:tcPr>
            <w:tcW w:type="dxa" w:w="2772"/>
          </w:tcPr>
          <w:p>
            <w:pPr>
              <w:spacing w:after="40"/>
            </w:pPr>
            <w:r>
              <w:rPr>
                <w:sz w:val="17"/>
              </w:rPr>
            </w:r>
            <w:r>
              <w:rPr>
                <w:rFonts w:ascii="IBM Plex Sans" w:hAnsi="IBM Plex Sans" w:cs="IBM Plex Sans"/>
                <w:b w:val="0"/>
                <w:i w:val="0"/>
                <w:color w:val="161412"/>
                <w:sz w:val="17"/>
              </w:rPr>
              <w:t>canal con adorno</w:t>
            </w:r>
          </w:p>
        </w:tc>
        <w:tc>
          <w:tcPr>
            <w:tcW w:type="dxa" w:w="2772"/>
          </w:tcPr>
          <w:p>
            <w:pPr>
              <w:spacing w:after="40"/>
            </w:pPr>
            <w:r>
              <w:rPr>
                <w:sz w:val="17"/>
              </w:rPr>
            </w:r>
            <w:r>
              <w:rPr>
                <w:rFonts w:ascii="IBM Plex Sans" w:hAnsi="IBM Plex Sans" w:cs="IBM Plex Sans"/>
                <w:b w:val="0"/>
                <w:i w:val="0"/>
                <w:color w:val="161412"/>
                <w:sz w:val="17"/>
              </w:rPr>
              <w:t>sonido solo si comunica evento</w:t>
            </w:r>
          </w:p>
        </w:tc>
      </w:tr>
      <w:tr>
        <w:tc>
          <w:tcPr>
            <w:tcW w:type="dxa" w:w="2772"/>
          </w:tcPr>
          <w:p>
            <w:pPr>
              <w:spacing w:after="40"/>
            </w:pPr>
            <w:r>
              <w:rPr>
                <w:sz w:val="17"/>
              </w:rPr>
            </w:r>
            <w:r>
              <w:rPr>
                <w:rFonts w:ascii="IBM Plex Sans" w:hAnsi="IBM Plex Sans" w:cs="IBM Plex Sans"/>
                <w:b w:val="0"/>
                <w:i w:val="0"/>
                <w:color w:val="161412"/>
                <w:sz w:val="17"/>
              </w:rPr>
              <w:t>Todo vibra</w:t>
            </w:r>
          </w:p>
        </w:tc>
        <w:tc>
          <w:tcPr>
            <w:tcW w:type="dxa" w:w="2772"/>
          </w:tcPr>
          <w:p>
            <w:pPr>
              <w:spacing w:after="40"/>
            </w:pPr>
            <w:r>
              <w:rPr>
                <w:sz w:val="17"/>
              </w:rPr>
            </w:r>
            <w:r>
              <w:rPr>
                <w:rFonts w:ascii="IBM Plex Sans" w:hAnsi="IBM Plex Sans" w:cs="IBM Plex Sans"/>
                <w:b w:val="0"/>
                <w:i w:val="0"/>
                <w:color w:val="161412"/>
                <w:sz w:val="17"/>
              </w:rPr>
              <w:t>respuesta invasiva</w:t>
            </w:r>
          </w:p>
        </w:tc>
        <w:tc>
          <w:tcPr>
            <w:tcW w:type="dxa" w:w="2772"/>
          </w:tcPr>
          <w:p>
            <w:pPr>
              <w:spacing w:after="40"/>
            </w:pPr>
            <w:r>
              <w:rPr>
                <w:sz w:val="17"/>
              </w:rPr>
            </w:r>
            <w:r>
              <w:rPr>
                <w:rFonts w:ascii="IBM Plex Sans" w:hAnsi="IBM Plex Sans" w:cs="IBM Plex Sans"/>
                <w:b w:val="0"/>
                <w:i w:val="0"/>
                <w:color w:val="161412"/>
                <w:sz w:val="17"/>
              </w:rPr>
              <w:t>háptica proporcional</w:t>
            </w:r>
          </w:p>
        </w:tc>
      </w:tr>
      <w:tr>
        <w:tc>
          <w:tcPr>
            <w:tcW w:type="dxa" w:w="2772"/>
          </w:tcPr>
          <w:p>
            <w:pPr>
              <w:spacing w:after="40"/>
            </w:pPr>
            <w:r>
              <w:rPr>
                <w:sz w:val="17"/>
              </w:rPr>
            </w:r>
            <w:r>
              <w:rPr>
                <w:rFonts w:ascii="IBM Plex Sans" w:hAnsi="IBM Plex Sans" w:cs="IBM Plex Sans"/>
                <w:b w:val="0"/>
                <w:i w:val="0"/>
                <w:color w:val="161412"/>
                <w:sz w:val="17"/>
              </w:rPr>
              <w:t>Color como semántica</w:t>
            </w:r>
          </w:p>
        </w:tc>
        <w:tc>
          <w:tcPr>
            <w:tcW w:type="dxa" w:w="2772"/>
          </w:tcPr>
          <w:p>
            <w:pPr>
              <w:spacing w:after="40"/>
            </w:pPr>
            <w:r>
              <w:rPr>
                <w:sz w:val="17"/>
              </w:rPr>
            </w:r>
            <w:r>
              <w:rPr>
                <w:rFonts w:ascii="IBM Plex Sans" w:hAnsi="IBM Plex Sans" w:cs="IBM Plex Sans"/>
                <w:b w:val="0"/>
                <w:i w:val="0"/>
                <w:color w:val="161412"/>
                <w:sz w:val="17"/>
              </w:rPr>
              <w:t>canal con intent</w:t>
            </w:r>
          </w:p>
        </w:tc>
        <w:tc>
          <w:tcPr>
            <w:tcW w:type="dxa" w:w="2772"/>
          </w:tcPr>
          <w:p>
            <w:pPr>
              <w:spacing w:after="40"/>
            </w:pPr>
            <w:r>
              <w:rPr>
                <w:sz w:val="17"/>
              </w:rPr>
            </w:r>
            <w:r>
              <w:rPr>
                <w:rFonts w:ascii="IBM Plex Sans" w:hAnsi="IBM Plex Sans" w:cs="IBM Plex Sans"/>
                <w:b w:val="0"/>
                <w:i w:val="0"/>
                <w:color w:val="161412"/>
                <w:sz w:val="17"/>
              </w:rPr>
              <w:t>intent antes que color</w:t>
            </w:r>
          </w:p>
        </w:tc>
      </w:tr>
      <w:tr>
        <w:tc>
          <w:tcPr>
            <w:tcW w:type="dxa" w:w="2772"/>
          </w:tcPr>
          <w:p>
            <w:pPr>
              <w:spacing w:after="40"/>
            </w:pPr>
            <w:r>
              <w:rPr>
                <w:sz w:val="17"/>
              </w:rPr>
            </w:r>
            <w:r>
              <w:rPr>
                <w:rFonts w:ascii="IBM Plex Sans" w:hAnsi="IBM Plex Sans" w:cs="IBM Plex Sans"/>
                <w:b w:val="0"/>
                <w:i w:val="0"/>
                <w:color w:val="161412"/>
                <w:sz w:val="17"/>
              </w:rPr>
              <w:t>Señales efímeras</w:t>
            </w:r>
          </w:p>
        </w:tc>
        <w:tc>
          <w:tcPr>
            <w:tcW w:type="dxa" w:w="2772"/>
          </w:tcPr>
          <w:p>
            <w:pPr>
              <w:spacing w:after="40"/>
            </w:pPr>
            <w:r>
              <w:rPr>
                <w:sz w:val="17"/>
              </w:rPr>
            </w:r>
            <w:r>
              <w:rPr>
                <w:rFonts w:ascii="IBM Plex Sans" w:hAnsi="IBM Plex Sans" w:cs="IBM Plex Sans"/>
                <w:b w:val="0"/>
                <w:i w:val="0"/>
                <w:color w:val="161412"/>
                <w:sz w:val="17"/>
              </w:rPr>
              <w:t>ligereza con pérdida</w:t>
            </w:r>
          </w:p>
        </w:tc>
        <w:tc>
          <w:tcPr>
            <w:tcW w:type="dxa" w:w="2772"/>
          </w:tcPr>
          <w:p>
            <w:pPr>
              <w:spacing w:after="40"/>
            </w:pPr>
            <w:r>
              <w:rPr>
                <w:sz w:val="17"/>
              </w:rPr>
            </w:r>
            <w:r>
              <w:rPr>
                <w:rFonts w:ascii="IBM Plex Sans" w:hAnsi="IBM Plex Sans" w:cs="IBM Plex Sans"/>
                <w:b w:val="0"/>
                <w:i w:val="0"/>
                <w:color w:val="161412"/>
                <w:sz w:val="17"/>
              </w:rPr>
              <w:t>persistencia proporcional</w:t>
            </w:r>
          </w:p>
        </w:tc>
      </w:tr>
      <w:tr>
        <w:tc>
          <w:tcPr>
            <w:tcW w:type="dxa" w:w="2772"/>
          </w:tcPr>
          <w:p>
            <w:pPr>
              <w:spacing w:after="40"/>
            </w:pPr>
            <w:r>
              <w:rPr>
                <w:sz w:val="17"/>
              </w:rPr>
            </w:r>
            <w:r>
              <w:rPr>
                <w:rFonts w:ascii="IBM Plex Sans" w:hAnsi="IBM Plex Sans" w:cs="IBM Plex Sans"/>
                <w:b w:val="0"/>
                <w:i w:val="0"/>
                <w:color w:val="161412"/>
                <w:sz w:val="17"/>
              </w:rPr>
              <w:t>Shift invisible</w:t>
            </w:r>
          </w:p>
        </w:tc>
        <w:tc>
          <w:tcPr>
            <w:tcW w:type="dxa" w:w="2772"/>
          </w:tcPr>
          <w:p>
            <w:pPr>
              <w:spacing w:after="40"/>
            </w:pPr>
            <w:r>
              <w:rPr>
                <w:sz w:val="17"/>
              </w:rPr>
            </w:r>
            <w:r>
              <w:rPr>
                <w:rFonts w:ascii="IBM Plex Sans" w:hAnsi="IBM Plex Sans" w:cs="IBM Plex Sans"/>
                <w:b w:val="0"/>
                <w:i w:val="0"/>
                <w:color w:val="161412"/>
                <w:sz w:val="17"/>
              </w:rPr>
              <w:t>cambio sin orientación</w:t>
            </w:r>
          </w:p>
        </w:tc>
        <w:tc>
          <w:tcPr>
            <w:tcW w:type="dxa" w:w="2772"/>
          </w:tcPr>
          <w:p>
            <w:pPr>
              <w:spacing w:after="40"/>
            </w:pPr>
            <w:r>
              <w:rPr>
                <w:sz w:val="17"/>
              </w:rPr>
            </w:r>
            <w:r>
              <w:rPr>
                <w:rFonts w:ascii="IBM Plex Sans" w:hAnsi="IBM Plex Sans" w:cs="IBM Plex Sans"/>
                <w:b w:val="0"/>
                <w:i w:val="0"/>
                <w:color w:val="161412"/>
                <w:sz w:val="17"/>
              </w:rPr>
              <w:t>foco y estructura</w:t>
            </w:r>
          </w:p>
        </w:tc>
      </w:tr>
    </w:tbl>
    <w:p>
      <w:pPr>
        <w:spacing w:after="80"/>
      </w:pPr>
    </w:p>
    <w:p>
      <w:r>
        <w:br w:type="page"/>
      </w:r>
    </w:p>
    <w:p>
      <w:pPr>
        <w:spacing w:after="40"/>
      </w:pPr>
      <w:r>
        <w:rPr>
          <w:rFonts w:ascii="IBM Plex Sans" w:hAnsi="IBM Plex Sans" w:cs="IBM Plex Sans"/>
          <w:b/>
          <w:color w:val="1F3A5F"/>
          <w:sz w:val="18"/>
        </w:rPr>
        <w:t>CAPÍTULO 35</w:t>
      </w:r>
    </w:p>
    <w:p>
      <w:pPr>
        <w:spacing w:after="80" w:line="240" w:lineRule="auto"/>
      </w:pPr>
      <w:r>
        <w:rPr>
          <w:rFonts w:ascii="IBM Plex Sans" w:hAnsi="IBM Plex Sans" w:cs="IBM Plex Sans"/>
          <w:color w:val="161412"/>
          <w:sz w:val="220"/>
        </w:rPr>
        <w:t>35</w:t>
      </w:r>
    </w:p>
    <w:p>
      <w:pPr>
        <w:spacing w:after="60" w:line="240" w:lineRule="auto"/>
      </w:pPr>
      <w:r>
        <w:rPr>
          <w:rFonts w:ascii="Newsreader" w:hAnsi="Newsreader" w:cs="Newsreader"/>
          <w:color w:val="161412"/>
          <w:sz w:val="60"/>
        </w:rPr>
        <w:t>Validación de una semántica perceptiva</w:t>
      </w:r>
    </w:p>
    <w:p>
      <w:pPr>
        <w:spacing w:after="280"/>
      </w:pPr>
      <w:r>
        <w:rPr>
          <w:rFonts w:ascii="IBM Plex Sans" w:hAnsi="IBM Plex Sans" w:cs="IBM Plex Sans"/>
          <w:color w:val="6A635A"/>
          <w:sz w:val="26"/>
        </w:rPr>
        <w:t>Cómo saber si el sistema comunica lo que cree comunicar</w:t>
      </w:r>
    </w:p>
    <w:p>
      <w:pPr>
        <w:pBdr>
          <w:bottom w:val="single" w:sz="4" w:space="4" w:color="1F3A5F"/>
        </w:pBdr>
      </w:pPr>
    </w:p>
    <w:p>
      <w:pPr>
        <w:spacing w:after="120" w:line="320" w:lineRule="auto"/>
        <w:jc w:val="both"/>
      </w:pPr>
      <w:r>
        <w:rPr>
          <w:rFonts w:ascii="Newsreader" w:hAnsi="Newsreader" w:cs="Newsreader"/>
          <w:b w:val="0"/>
          <w:i w:val="0"/>
          <w:color w:val="161412"/>
        </w:rPr>
        <w:t xml:space="preserve">Una gramática de la interfaz no debería sostenerse solo porque suene coherente. Si este libro propone una gramática perceptiva del evento, debe poder hacerse una pregunta incómoda:</w:t>
      </w:r>
    </w:p>
    <w:p>
      <w:pPr>
        <w:spacing w:before="160" w:after="40"/>
        <w:pBdr>
          <w:left w:val="single" w:sz="18" w:space="12" w:color="1F3A5F"/>
        </w:pBdr>
      </w:pPr>
      <w:r>
        <w:rPr>
          <w:rFonts w:ascii="IBM Plex Sans" w:hAnsi="IBM Plex Sans" w:cs="IBM Plex Sans"/>
          <w:b/>
          <w:color w:val="1F3A5F"/>
          <w:sz w:val="16"/>
        </w:rPr>
        <w:t xml:space="preserve">PREGUNTA DEL CAPÍTULO</w:t>
      </w:r>
    </w:p>
    <w:p>
      <w:pPr>
        <w:spacing w:after="120" w:line="312" w:lineRule="auto"/>
        <w:pBdr>
          <w:left w:val="single" w:sz="18" w:space="12" w:color="1F3A5F"/>
        </w:pBdr>
      </w:pPr>
      <w:r>
        <w:rPr>
          <w:rFonts w:ascii="Newsreader" w:hAnsi="Newsreader" w:cs="Newsreader"/>
          <w:b w:val="0"/>
          <w:i/>
          <w:color w:val="3A352F"/>
        </w:rPr>
        <w:t xml:space="preserve">¿Cómo sabemos si el usuario percibe el evento que creemos estar comunicando?</w:t>
      </w:r>
    </w:p>
    <w:p>
      <w:pPr>
        <w:spacing w:after="120" w:line="320" w:lineRule="auto"/>
        <w:jc w:val="both"/>
      </w:pPr>
      <w:r>
        <w:rPr>
          <w:rFonts w:ascii="Newsreader" w:hAnsi="Newsreader" w:cs="Newsreader"/>
          <w:b w:val="0"/>
          <w:i w:val="0"/>
          <w:color w:val="161412"/>
        </w:rPr>
        <w:t xml:space="preserve">Porque una interfaz puede estar muy bien construida desde el punto de vista técnico y aun así fracasar semánticamente. El botón funciona, la animación corre a sesenta cuadros por segundo, el color cumple el contraste exigido. Y sin embargo el usuario puede no entender qué ocurrió: si el sistema recibió su acción, si algo sigue procesando, si algo ya terminó, si debe corregir, si algo se perdió.</w:t>
      </w:r>
    </w:p>
    <w:p>
      <w:pPr>
        <w:spacing w:after="120" w:line="320" w:lineRule="auto"/>
        <w:jc w:val="both"/>
      </w:pPr>
      <w:r>
        <w:rPr>
          <w:rFonts w:ascii="Newsreader" w:hAnsi="Newsreader" w:cs="Newsreader"/>
          <w:b w:val="0"/>
          <w:i w:val="0"/>
          <w:color w:val="161412"/>
        </w:rPr>
        <w:t xml:space="preserve">Conviene dejar claro desde el principio qué es este capítulo: una guía de uso, no un informe. El libro no aporta aquí datos ni resultados —los resultados los producirá cada equipo sobre su propio producto—. Lo que aporta son seis protocolos para obtenerlos, una ficha para registrarlos y una tabla para interpretarlos. Las respuestas de usuario que aparecen como ejemplo no son hallazgos del libro: son ilustraciones de qué conviene escuchar cuando el lector ejecute cada prueba.</w:t>
      </w:r>
    </w:p>
    <w:p>
      <w:pPr>
        <w:spacing w:before="200" w:after="60"/>
        <w:jc w:val="center"/>
      </w:pPr>
      <w:r>
        <w:drawing>
          <wp:inline xmlns:a="http://schemas.openxmlformats.org/drawingml/2006/main" xmlns:pic="http://schemas.openxmlformats.org/drawingml/2006/picture">
            <wp:extent cx="5029200" cy="2652903"/>
            <wp:docPr id="83" name="Picture 83"/>
            <wp:cNvGraphicFramePr>
              <a:graphicFrameLocks noChangeAspect="1"/>
            </wp:cNvGraphicFramePr>
            <a:graphic>
              <a:graphicData uri="http://schemas.openxmlformats.org/drawingml/2006/picture">
                <pic:pic>
                  <pic:nvPicPr>
                    <pic:cNvPr id="0" name="figura-35-1.png"/>
                    <pic:cNvPicPr/>
                  </pic:nvPicPr>
                  <pic:blipFill>
                    <a:blip r:embed="rId91"/>
                    <a:stretch>
                      <a:fillRect/>
                    </a:stretch>
                  </pic:blipFill>
                  <pic:spPr>
                    <a:xfrm>
                      <a:off x="0" y="0"/>
                      <a:ext cx="5029200" cy="2652903"/>
                    </a:xfrm>
                    <a:prstGeom prst="rect"/>
                  </pic:spPr>
                </pic:pic>
              </a:graphicData>
            </a:graphic>
          </wp:inline>
        </w:drawing>
      </w:r>
    </w:p>
    <w:p>
      <w:pPr>
        <w:spacing w:before="320" w:after="40"/>
      </w:pPr>
      <w:r>
        <w:rPr>
          <w:rFonts w:ascii="IBM Plex Sans" w:hAnsi="IBM Plex Sans" w:cs="IBM Plex Sans"/>
          <w:b/>
          <w:color w:val="1F3A5F"/>
          <w:sz w:val="18"/>
        </w:rPr>
        <w:t xml:space="preserve">§ 1</w:t>
      </w:r>
    </w:p>
    <w:p>
      <w:pPr>
        <w:spacing w:after="160" w:line="240" w:lineRule="auto"/>
      </w:pPr>
      <w:r>
        <w:rPr>
          <w:rFonts w:ascii="Newsreader" w:hAnsi="Newsreader" w:cs="Newsreader"/>
          <w:color w:val="161412"/>
          <w:sz w:val="38"/>
        </w:rPr>
        <w:t xml:space="preserve">Qué significa validar una semántica</w:t>
      </w:r>
    </w:p>
    <w:p>
      <w:pPr>
        <w:spacing w:after="120" w:line="320" w:lineRule="auto"/>
        <w:jc w:val="both"/>
      </w:pPr>
      <w:r>
        <w:rPr>
          <w:rFonts w:ascii="Newsreader" w:hAnsi="Newsreader" w:cs="Newsreader"/>
          <w:b w:val="0"/>
          <w:i w:val="0"/>
          <w:color w:val="161412"/>
        </w:rPr>
        <w:t xml:space="preserve">Validar una semántica perceptiva significa comprobar si existe correspondencia entre tres cosas: el evento que el sistema quería comunicar, las señales perceptivas utilizadas y la lectura real del usuario. Cuando la correspondencia se rompe, la semántica falló, por bien resuelto que esté el efecto. Si el sistema quería comunicar signal.warn + risk pero el usuario lee signal.alert + threat, falló. Si quería comunicar commit.delete + loss pero el usuario lee emerge.hide, falló. Si quería comunicar sustain.progress pero el usuario lee «sistema bloqueado», falló.</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Una semántica no se valida preguntando si el efecto gusta. Se valida preguntando qué evento ha entendido el usuario.</w:t>
      </w:r>
    </w:p>
    <w:p>
      <w:pPr>
        <w:spacing w:before="320" w:after="40"/>
      </w:pPr>
      <w:r>
        <w:rPr>
          <w:rFonts w:ascii="IBM Plex Sans" w:hAnsi="IBM Plex Sans" w:cs="IBM Plex Sans"/>
          <w:b/>
          <w:color w:val="1F3A5F"/>
          <w:sz w:val="18"/>
        </w:rPr>
        <w:t xml:space="preserve">§ 2</w:t>
      </w:r>
    </w:p>
    <w:p>
      <w:pPr>
        <w:spacing w:after="160" w:line="240" w:lineRule="auto"/>
      </w:pPr>
      <w:r>
        <w:rPr>
          <w:rFonts w:ascii="Newsreader" w:hAnsi="Newsreader" w:cs="Newsreader"/>
          <w:color w:val="161412"/>
          <w:sz w:val="38"/>
        </w:rPr>
        <w:t xml:space="preserve">Qué no es validación semántica</w:t>
      </w:r>
    </w:p>
    <w:p>
      <w:pPr>
        <w:spacing w:after="120" w:line="320" w:lineRule="auto"/>
        <w:jc w:val="both"/>
      </w:pPr>
      <w:r>
        <w:rPr>
          <w:rFonts w:ascii="Newsreader" w:hAnsi="Newsreader" w:cs="Newsreader"/>
          <w:b w:val="0"/>
          <w:i w:val="0"/>
          <w:color w:val="161412"/>
        </w:rPr>
        <w:t xml:space="preserve">Conviene despejar cuatro confusiones. La validación semántica no es usabilidad general: un usuario puede completar una tarea sin entender los eventos intermedios. No es un test de preferencia: preguntar si gusta una animación no valida si comunica contact o commit. No es solo accesibilidad técnica: los roles correctos no garantizan una lectura correcta. Y no es QA funcional: que el estado cambie no significa que el usuario lo perciba.</w:t>
      </w:r>
    </w:p>
    <w:p>
      <w:pPr>
        <w:spacing w:before="320" w:after="40"/>
      </w:pPr>
      <w:r>
        <w:rPr>
          <w:rFonts w:ascii="IBM Plex Sans" w:hAnsi="IBM Plex Sans" w:cs="IBM Plex Sans"/>
          <w:b/>
          <w:color w:val="1F3A5F"/>
          <w:sz w:val="18"/>
        </w:rPr>
        <w:t xml:space="preserve">§ 3</w:t>
      </w:r>
    </w:p>
    <w:p>
      <w:pPr>
        <w:spacing w:after="160" w:line="240" w:lineRule="auto"/>
      </w:pPr>
      <w:r>
        <w:rPr>
          <w:rFonts w:ascii="Newsreader" w:hAnsi="Newsreader" w:cs="Newsreader"/>
          <w:color w:val="161412"/>
          <w:sz w:val="38"/>
        </w:rPr>
        <w:t xml:space="preserve">Qué se valida</w:t>
      </w:r>
    </w:p>
    <w:p>
      <w:pPr>
        <w:spacing w:after="120" w:line="320" w:lineRule="auto"/>
        <w:jc w:val="both"/>
      </w:pPr>
      <w:r>
        <w:rPr>
          <w:rFonts w:ascii="Newsreader" w:hAnsi="Newsreader" w:cs="Newsreader"/>
          <w:b w:val="0"/>
          <w:i w:val="0"/>
          <w:color w:val="161412"/>
        </w:rPr>
        <w:t xml:space="preserve">La validación recorre los niveles de la propia gramática: qué familia percibió el usuario, qué verbo o fase, qué evaluación y qué composición. Antes de ejecutar ningún protocolo conviene decidir qué nivel se pone a prueba, porque la pregunta que se hará al usuario cambia con él.</w:t>
      </w:r>
    </w:p>
    <w:p>
      <w:pPr>
        <w:spacing w:after="200" w:before="40"/>
      </w:pPr>
      <w:r>
        <w:rPr>
          <w:rFonts w:ascii="IBM Plex Sans" w:hAnsi="IBM Plex Sans" w:cs="IBM Plex Sans"/>
          <w:b/>
          <w:color w:val="1F3A5F"/>
          <w:sz w:val="17"/>
        </w:rPr>
        <w:t xml:space="preserve">TABLA 35.1   </w:t>
      </w:r>
      <w:r>
        <w:rPr>
          <w:rFonts w:ascii="IBM Plex Sans" w:hAnsi="IBM Plex Sans" w:cs="IBM Plex Sans"/>
          <w:color w:val="3A352F"/>
          <w:sz w:val="18"/>
        </w:rPr>
        <w:t xml:space="preserve">Niveles de validación y su pregunta</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NIVEL</w:t>
            </w:r>
          </w:p>
        </w:tc>
        <w:tc>
          <w:tcPr>
            <w:tcW w:type="dxa" w:w="4158"/>
            <w:shd w:val="clear" w:color="auto" w:fill="EAE4D8"/>
          </w:tcPr>
          <w:p>
            <w:pPr>
              <w:spacing w:after="40"/>
            </w:pPr>
            <w:r>
              <w:rPr>
                <w:sz w:val="17"/>
              </w:rPr>
            </w:r>
            <w:r>
              <w:rPr>
                <w:rFonts w:ascii="IBM Plex Sans" w:hAnsi="IBM Plex Sans" w:cs="IBM Plex Sans"/>
                <w:b/>
                <w:i w:val="0"/>
                <w:color w:val="1F3A5F"/>
                <w:sz w:val="17"/>
              </w:rPr>
              <w:t>PREGUNTA</w:t>
            </w:r>
          </w:p>
        </w:tc>
      </w:tr>
      <w:tr>
        <w:tc>
          <w:tcPr>
            <w:tcW w:type="dxa" w:w="4158"/>
          </w:tcPr>
          <w:p>
            <w:pPr>
              <w:spacing w:after="40"/>
            </w:pPr>
            <w:r>
              <w:rPr>
                <w:sz w:val="17"/>
              </w:rPr>
            </w:r>
            <w:r>
              <w:rPr>
                <w:rFonts w:ascii="IBM Plex Sans" w:hAnsi="IBM Plex Sans" w:cs="IBM Plex Sans"/>
                <w:b w:val="0"/>
                <w:i w:val="0"/>
                <w:color w:val="161412"/>
                <w:sz w:val="17"/>
              </w:rPr>
              <w:t>Familia</w:t>
            </w:r>
          </w:p>
        </w:tc>
        <w:tc>
          <w:tcPr>
            <w:tcW w:type="dxa" w:w="4158"/>
          </w:tcPr>
          <w:p>
            <w:pPr>
              <w:spacing w:after="40"/>
            </w:pPr>
            <w:r>
              <w:rPr>
                <w:sz w:val="17"/>
              </w:rPr>
            </w:r>
            <w:r>
              <w:rPr>
                <w:rFonts w:ascii="IBM Plex Sans" w:hAnsi="IBM Plex Sans" w:cs="IBM Plex Sans"/>
                <w:b w:val="0"/>
                <w:i w:val="0"/>
                <w:color w:val="161412"/>
                <w:sz w:val="17"/>
              </w:rPr>
              <w:t>¿qué tipo de evento percibió?</w:t>
            </w:r>
          </w:p>
        </w:tc>
      </w:tr>
      <w:tr>
        <w:tc>
          <w:tcPr>
            <w:tcW w:type="dxa" w:w="4158"/>
          </w:tcPr>
          <w:p>
            <w:pPr>
              <w:spacing w:after="40"/>
            </w:pPr>
            <w:r>
              <w:rPr>
                <w:sz w:val="17"/>
              </w:rPr>
            </w:r>
            <w:r>
              <w:rPr>
                <w:rFonts w:ascii="IBM Plex Sans" w:hAnsi="IBM Plex Sans" w:cs="IBM Plex Sans"/>
                <w:b w:val="0"/>
                <w:i w:val="0"/>
                <w:color w:val="161412"/>
                <w:sz w:val="17"/>
              </w:rPr>
              <w:t>Verbo</w:t>
            </w:r>
          </w:p>
        </w:tc>
        <w:tc>
          <w:tcPr>
            <w:tcW w:type="dxa" w:w="4158"/>
          </w:tcPr>
          <w:p>
            <w:pPr>
              <w:spacing w:after="40"/>
            </w:pPr>
            <w:r>
              <w:rPr>
                <w:sz w:val="17"/>
              </w:rPr>
            </w:r>
            <w:r>
              <w:rPr>
                <w:rFonts w:ascii="IBM Plex Sans" w:hAnsi="IBM Plex Sans" w:cs="IBM Plex Sans"/>
                <w:b w:val="0"/>
                <w:i w:val="0"/>
                <w:color w:val="161412"/>
                <w:sz w:val="17"/>
              </w:rPr>
              <w:t>¿qué cree que ocurrió concretamente?</w:t>
            </w:r>
          </w:p>
        </w:tc>
      </w:tr>
      <w:tr>
        <w:tc>
          <w:tcPr>
            <w:tcW w:type="dxa" w:w="4158"/>
          </w:tcPr>
          <w:p>
            <w:pPr>
              <w:spacing w:after="40"/>
            </w:pPr>
            <w:r>
              <w:rPr>
                <w:sz w:val="17"/>
              </w:rPr>
            </w:r>
            <w:r>
              <w:rPr>
                <w:rFonts w:ascii="IBM Plex Sans" w:hAnsi="IBM Plex Sans" w:cs="IBM Plex Sans"/>
                <w:b w:val="0"/>
                <w:i w:val="0"/>
                <w:color w:val="161412"/>
                <w:sz w:val="17"/>
              </w:rPr>
              <w:t>Intent</w:t>
            </w:r>
          </w:p>
        </w:tc>
        <w:tc>
          <w:tcPr>
            <w:tcW w:type="dxa" w:w="4158"/>
          </w:tcPr>
          <w:p>
            <w:pPr>
              <w:spacing w:after="40"/>
            </w:pPr>
            <w:r>
              <w:rPr>
                <w:sz w:val="17"/>
              </w:rPr>
            </w:r>
            <w:r>
              <w:rPr>
                <w:rFonts w:ascii="IBM Plex Sans" w:hAnsi="IBM Plex Sans" w:cs="IBM Plex Sans"/>
                <w:b w:val="0"/>
                <w:i w:val="0"/>
                <w:color w:val="161412"/>
                <w:sz w:val="17"/>
              </w:rPr>
              <w:t>¿cómo evalúa el evento?</w:t>
            </w:r>
          </w:p>
        </w:tc>
      </w:tr>
      <w:tr>
        <w:tc>
          <w:tcPr>
            <w:tcW w:type="dxa" w:w="4158"/>
          </w:tcPr>
          <w:p>
            <w:pPr>
              <w:spacing w:after="40"/>
            </w:pPr>
            <w:r>
              <w:rPr>
                <w:sz w:val="17"/>
              </w:rPr>
            </w:r>
            <w:r>
              <w:rPr>
                <w:rFonts w:ascii="IBM Plex Sans" w:hAnsi="IBM Plex Sans" w:cs="IBM Plex Sans"/>
                <w:b w:val="0"/>
                <w:i w:val="0"/>
                <w:color w:val="161412"/>
                <w:sz w:val="17"/>
              </w:rPr>
              <w:t>Canal</w:t>
            </w:r>
          </w:p>
        </w:tc>
        <w:tc>
          <w:tcPr>
            <w:tcW w:type="dxa" w:w="4158"/>
          </w:tcPr>
          <w:p>
            <w:pPr>
              <w:spacing w:after="40"/>
            </w:pPr>
            <w:r>
              <w:rPr>
                <w:sz w:val="17"/>
              </w:rPr>
            </w:r>
            <w:r>
              <w:rPr>
                <w:rFonts w:ascii="IBM Plex Sans" w:hAnsi="IBM Plex Sans" w:cs="IBM Plex Sans"/>
                <w:b w:val="0"/>
                <w:i w:val="0"/>
                <w:color w:val="161412"/>
                <w:sz w:val="17"/>
              </w:rPr>
              <w:t>¿qué señales usó para entenderlo?</w:t>
            </w:r>
          </w:p>
        </w:tc>
      </w:tr>
      <w:tr>
        <w:tc>
          <w:tcPr>
            <w:tcW w:type="dxa" w:w="4158"/>
          </w:tcPr>
          <w:p>
            <w:pPr>
              <w:spacing w:after="40"/>
            </w:pPr>
            <w:r>
              <w:rPr>
                <w:sz w:val="17"/>
              </w:rPr>
            </w:r>
            <w:r>
              <w:rPr>
                <w:rFonts w:ascii="IBM Plex Sans" w:hAnsi="IBM Plex Sans" w:cs="IBM Plex Sans"/>
                <w:b w:val="0"/>
                <w:i w:val="0"/>
                <w:color w:val="161412"/>
                <w:sz w:val="17"/>
              </w:rPr>
              <w:t>Secuencia</w:t>
            </w:r>
          </w:p>
        </w:tc>
        <w:tc>
          <w:tcPr>
            <w:tcW w:type="dxa" w:w="4158"/>
          </w:tcPr>
          <w:p>
            <w:pPr>
              <w:spacing w:after="40"/>
            </w:pPr>
            <w:r>
              <w:rPr>
                <w:sz w:val="17"/>
              </w:rPr>
            </w:r>
            <w:r>
              <w:rPr>
                <w:rFonts w:ascii="IBM Plex Sans" w:hAnsi="IBM Plex Sans" w:cs="IBM Plex Sans"/>
                <w:b w:val="0"/>
                <w:i w:val="0"/>
                <w:color w:val="161412"/>
                <w:sz w:val="17"/>
              </w:rPr>
              <w:t>¿entendió el orden de los eventos?</w:t>
            </w:r>
          </w:p>
        </w:tc>
      </w:tr>
      <w:tr>
        <w:tc>
          <w:tcPr>
            <w:tcW w:type="dxa" w:w="4158"/>
          </w:tcPr>
          <w:p>
            <w:pPr>
              <w:spacing w:after="40"/>
            </w:pPr>
            <w:r>
              <w:rPr>
                <w:sz w:val="17"/>
              </w:rPr>
            </w:r>
            <w:r>
              <w:rPr>
                <w:rFonts w:ascii="IBM Plex Sans" w:hAnsi="IBM Plex Sans" w:cs="IBM Plex Sans"/>
                <w:b w:val="0"/>
                <w:i w:val="0"/>
                <w:color w:val="161412"/>
                <w:sz w:val="17"/>
              </w:rPr>
              <w:t>Accesibilidad</w:t>
            </w:r>
          </w:p>
        </w:tc>
        <w:tc>
          <w:tcPr>
            <w:tcW w:type="dxa" w:w="4158"/>
          </w:tcPr>
          <w:p>
            <w:pPr>
              <w:spacing w:after="40"/>
            </w:pPr>
            <w:r>
              <w:rPr>
                <w:sz w:val="17"/>
              </w:rPr>
            </w:r>
            <w:r>
              <w:rPr>
                <w:rFonts w:ascii="IBM Plex Sans" w:hAnsi="IBM Plex Sans" w:cs="IBM Plex Sans"/>
                <w:b w:val="0"/>
                <w:i w:val="0"/>
                <w:color w:val="161412"/>
                <w:sz w:val="17"/>
              </w:rPr>
              <w:t>¿se conserva la lectura si se reduce un canal?</w:t>
            </w:r>
          </w:p>
        </w:tc>
      </w:tr>
      <w:tr>
        <w:tc>
          <w:tcPr>
            <w:tcW w:type="dxa" w:w="4158"/>
          </w:tcPr>
          <w:p>
            <w:pPr>
              <w:spacing w:after="40"/>
            </w:pPr>
            <w:r>
              <w:rPr>
                <w:sz w:val="17"/>
              </w:rPr>
            </w:r>
            <w:r>
              <w:rPr>
                <w:rFonts w:ascii="IBM Plex Sans" w:hAnsi="IBM Plex Sans" w:cs="IBM Plex Sans"/>
                <w:b w:val="0"/>
                <w:i w:val="0"/>
                <w:color w:val="161412"/>
                <w:sz w:val="17"/>
              </w:rPr>
              <w:t>Fatiga</w:t>
            </w:r>
          </w:p>
        </w:tc>
        <w:tc>
          <w:tcPr>
            <w:tcW w:type="dxa" w:w="4158"/>
          </w:tcPr>
          <w:p>
            <w:pPr>
              <w:spacing w:after="40"/>
            </w:pPr>
            <w:r>
              <w:rPr>
                <w:sz w:val="17"/>
              </w:rPr>
            </w:r>
            <w:r>
              <w:rPr>
                <w:rFonts w:ascii="IBM Plex Sans" w:hAnsi="IBM Plex Sans" w:cs="IBM Plex Sans"/>
                <w:b w:val="0"/>
                <w:i w:val="0"/>
                <w:color w:val="161412"/>
                <w:sz w:val="17"/>
              </w:rPr>
              <w:t>¿la señal sigue siendo proporcional en repetición?</w:t>
            </w:r>
          </w:p>
        </w:tc>
      </w:tr>
    </w:tbl>
    <w:p>
      <w:pPr>
        <w:spacing w:before="320" w:after="40"/>
      </w:pPr>
      <w:r>
        <w:rPr>
          <w:rFonts w:ascii="IBM Plex Sans" w:hAnsi="IBM Plex Sans" w:cs="IBM Plex Sans"/>
          <w:b/>
          <w:color w:val="1F3A5F"/>
          <w:sz w:val="18"/>
        </w:rPr>
        <w:t xml:space="preserve">§ 4</w:t>
      </w:r>
    </w:p>
    <w:p>
      <w:pPr>
        <w:spacing w:after="160" w:line="240" w:lineRule="auto"/>
      </w:pPr>
      <w:r>
        <w:rPr>
          <w:rFonts w:ascii="Newsreader" w:hAnsi="Newsreader" w:cs="Newsreader"/>
          <w:color w:val="161412"/>
          <w:sz w:val="38"/>
        </w:rPr>
        <w:t xml:space="preserve">Protocolo 1 — Test de lectura inmediata</w:t>
      </w:r>
    </w:p>
    <w:p>
      <w:pPr>
        <w:spacing w:after="120" w:line="320" w:lineRule="auto"/>
        <w:jc w:val="both"/>
      </w:pPr>
      <w:r>
        <w:rPr>
          <w:rFonts w:ascii="Newsreader" w:hAnsi="Newsreader" w:cs="Newsreader"/>
          <w:b/>
          <w:i w:val="0"/>
          <w:color w:val="161412"/>
        </w:rPr>
        <w:t xml:space="preserve">Cómo hacerlo.</w:t>
      </w:r>
      <w:r>
        <w:rPr>
          <w:rFonts w:ascii="Newsreader" w:hAnsi="Newsreader" w:cs="Newsreader"/>
          <w:b w:val="0"/>
          <w:i w:val="0"/>
          <w:color w:val="161412"/>
        </w:rPr>
        <w:t xml:space="preserve"> Se muestra al usuario una interacción —en producto o en prototipo— y, nada más terminar, se le pregunta con lenguaje natural: «¿qué acaba de ocurrir?». Sin explicar nada antes, sin sugerir opciones, sin dar tiempo a racionalizar: interesa la primera lectura, no la reconstrucción.</w:t>
      </w:r>
    </w:p>
    <w:p>
      <w:pPr>
        <w:spacing w:after="120" w:line="320" w:lineRule="auto"/>
        <w:jc w:val="both"/>
      </w:pPr>
      <w:r>
        <w:rPr>
          <w:rFonts w:ascii="Newsreader" w:hAnsi="Newsreader" w:cs="Newsreader"/>
          <w:b/>
          <w:i w:val="0"/>
          <w:color w:val="161412"/>
        </w:rPr>
        <w:t xml:space="preserve">Qué escuchar.</w:t>
      </w:r>
      <w:r>
        <w:rPr>
          <w:rFonts w:ascii="Newsreader" w:hAnsi="Newsreader" w:cs="Newsreader"/>
          <w:b w:val="0"/>
          <w:i w:val="0"/>
          <w:color w:val="161412"/>
        </w:rPr>
        <w:t xml:space="preserve"> La respuesta se compara con el evento diseñado. Si el evento era un contact.press, respuestas como «he pulsado» o «el botón respondió» indican que la semántica llegó; «se ha guardado» o «no sé si ha pasado algo» indican que no. Si era un sustain.progress, «está cargando» confirma la lectura; «ha fallado» o «se bloqueó» delatan una espera que parece avería. Si era un commit.delete + loss, «se eliminó» confirma; «se ocultó», «se cerró» o «no sé dónde fue» delatan una pérdida que parece ocultación.</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Si el usuario no puede decir qué ocurrió, la interfaz no comunicó un evento. Comunicó un cambio.</w:t>
      </w:r>
    </w:p>
    <w:p>
      <w:pPr>
        <w:spacing w:before="200" w:after="60"/>
        <w:jc w:val="center"/>
      </w:pPr>
      <w:r>
        <w:drawing>
          <wp:inline xmlns:a="http://schemas.openxmlformats.org/drawingml/2006/main" xmlns:pic="http://schemas.openxmlformats.org/drawingml/2006/picture">
            <wp:extent cx="5029200" cy="2794349"/>
            <wp:docPr id="84" name="Picture 84"/>
            <wp:cNvGraphicFramePr>
              <a:graphicFrameLocks noChangeAspect="1"/>
            </wp:cNvGraphicFramePr>
            <a:graphic>
              <a:graphicData uri="http://schemas.openxmlformats.org/drawingml/2006/picture">
                <pic:pic>
                  <pic:nvPicPr>
                    <pic:cNvPr id="0" name="figura-35-2.png"/>
                    <pic:cNvPicPr/>
                  </pic:nvPicPr>
                  <pic:blipFill>
                    <a:blip r:embed="rId92"/>
                    <a:stretch>
                      <a:fillRect/>
                    </a:stretch>
                  </pic:blipFill>
                  <pic:spPr>
                    <a:xfrm>
                      <a:off x="0" y="0"/>
                      <a:ext cx="5029200" cy="2794349"/>
                    </a:xfrm>
                    <a:prstGeom prst="rect"/>
                  </pic:spPr>
                </pic:pic>
              </a:graphicData>
            </a:graphic>
          </wp:inline>
        </w:drawing>
      </w:r>
    </w:p>
    <w:p>
      <w:pPr>
        <w:spacing w:before="320" w:after="40"/>
      </w:pPr>
      <w:r>
        <w:rPr>
          <w:rFonts w:ascii="IBM Plex Sans" w:hAnsi="IBM Plex Sans" w:cs="IBM Plex Sans"/>
          <w:b/>
          <w:color w:val="1F3A5F"/>
          <w:sz w:val="18"/>
        </w:rPr>
        <w:t xml:space="preserve">§ 5</w:t>
      </w:r>
    </w:p>
    <w:p>
      <w:pPr>
        <w:spacing w:after="160" w:line="240" w:lineRule="auto"/>
      </w:pPr>
      <w:r>
        <w:rPr>
          <w:rFonts w:ascii="Newsreader" w:hAnsi="Newsreader" w:cs="Newsreader"/>
          <w:color w:val="161412"/>
          <w:sz w:val="38"/>
        </w:rPr>
        <w:t xml:space="preserve">Protocolo 2 — Test de diferenciabilidad</w:t>
      </w:r>
    </w:p>
    <w:p>
      <w:pPr>
        <w:spacing w:after="120" w:line="320" w:lineRule="auto"/>
        <w:jc w:val="both"/>
      </w:pPr>
      <w:r>
        <w:rPr>
          <w:rFonts w:ascii="Newsreader" w:hAnsi="Newsreader" w:cs="Newsreader"/>
          <w:b/>
          <w:i w:val="0"/>
          <w:color w:val="161412"/>
        </w:rPr>
        <w:t xml:space="preserve">Cómo hacerlo.</w:t>
      </w:r>
      <w:r>
        <w:rPr>
          <w:rFonts w:ascii="Newsreader" w:hAnsi="Newsreader" w:cs="Newsreader"/>
          <w:b w:val="0"/>
          <w:i w:val="0"/>
          <w:color w:val="161412"/>
        </w:rPr>
        <w:t xml:space="preserve"> Se muestran dos eventos cercanos, uno después de otro, y se pregunta qué diferencia percibe el usuario entre ambos. Es la prueba de que el sistema no solo comunica, sino que distingue.</w:t>
      </w:r>
    </w:p>
    <w:p>
      <w:pPr>
        <w:spacing w:after="120" w:line="320" w:lineRule="auto"/>
        <w:jc w:val="both"/>
      </w:pPr>
      <w:r>
        <w:rPr>
          <w:rFonts w:ascii="Newsreader" w:hAnsi="Newsreader" w:cs="Newsreader"/>
          <w:b/>
          <w:i w:val="0"/>
          <w:color w:val="161412"/>
        </w:rPr>
        <w:t xml:space="preserve">Qué escuchar.</w:t>
      </w:r>
      <w:r>
        <w:rPr>
          <w:rFonts w:ascii="Newsreader" w:hAnsi="Newsreader" w:cs="Newsreader"/>
          <w:b w:val="0"/>
          <w:i w:val="0"/>
          <w:color w:val="161412"/>
        </w:rPr>
        <w:t xml:space="preserve"> Entre un contact.press y un commit.save + affirm, la lectura sana es «en el primero solo responde; en el segundo se guardó»; «parecen lo mismo» revela que contacto y resultado comparten expresión. Entre un signal.warn + risk y un signal.alert + threat conviene preguntar cuál requiere actuar antes: si ambas «parecen igual de graves», el espacio evaluativo no está llegando.</w:t>
      </w:r>
    </w:p>
    <w:p>
      <w:pPr>
        <w:spacing w:before="200" w:after="60"/>
        <w:jc w:val="center"/>
      </w:pPr>
      <w:r>
        <w:drawing>
          <wp:inline xmlns:a="http://schemas.openxmlformats.org/drawingml/2006/main" xmlns:pic="http://schemas.openxmlformats.org/drawingml/2006/picture">
            <wp:extent cx="5029200" cy="2514600"/>
            <wp:docPr id="85" name="Picture 85"/>
            <wp:cNvGraphicFramePr>
              <a:graphicFrameLocks noChangeAspect="1"/>
            </wp:cNvGraphicFramePr>
            <a:graphic>
              <a:graphicData uri="http://schemas.openxmlformats.org/drawingml/2006/picture">
                <pic:pic>
                  <pic:nvPicPr>
                    <pic:cNvPr id="0" name="figura-35-3.png"/>
                    <pic:cNvPicPr/>
                  </pic:nvPicPr>
                  <pic:blipFill>
                    <a:blip r:embed="rId93"/>
                    <a:stretch>
                      <a:fillRect/>
                    </a:stretch>
                  </pic:blipFill>
                  <pic:spPr>
                    <a:xfrm>
                      <a:off x="0" y="0"/>
                      <a:ext cx="5029200" cy="2514600"/>
                    </a:xfrm>
                    <a:prstGeom prst="rect"/>
                  </pic:spPr>
                </pic:pic>
              </a:graphicData>
            </a:graphic>
          </wp:inline>
        </w:drawing>
      </w:r>
    </w:p>
    <w:p>
      <w:pPr>
        <w:spacing w:before="320" w:after="40"/>
      </w:pPr>
      <w:r>
        <w:rPr>
          <w:rFonts w:ascii="IBM Plex Sans" w:hAnsi="IBM Plex Sans" w:cs="IBM Plex Sans"/>
          <w:b/>
          <w:color w:val="1F3A5F"/>
          <w:sz w:val="18"/>
        </w:rPr>
        <w:t xml:space="preserve">§ 6</w:t>
      </w:r>
    </w:p>
    <w:p>
      <w:pPr>
        <w:spacing w:after="160" w:line="240" w:lineRule="auto"/>
      </w:pPr>
      <w:r>
        <w:rPr>
          <w:rFonts w:ascii="Newsreader" w:hAnsi="Newsreader" w:cs="Newsreader"/>
          <w:color w:val="161412"/>
          <w:sz w:val="38"/>
        </w:rPr>
        <w:t xml:space="preserve">Protocolo 3 — Test de intent</w:t>
      </w:r>
    </w:p>
    <w:p>
      <w:pPr>
        <w:spacing w:after="120" w:line="320" w:lineRule="auto"/>
        <w:jc w:val="both"/>
      </w:pPr>
      <w:r>
        <w:rPr>
          <w:rFonts w:ascii="Newsreader" w:hAnsi="Newsreader" w:cs="Newsreader"/>
          <w:b/>
          <w:i w:val="0"/>
          <w:color w:val="161412"/>
        </w:rPr>
        <w:t xml:space="preserve">Cómo hacerlo.</w:t>
      </w:r>
      <w:r>
        <w:rPr>
          <w:rFonts w:ascii="Newsreader" w:hAnsi="Newsreader" w:cs="Newsreader"/>
          <w:b w:val="0"/>
          <w:i w:val="0"/>
          <w:color w:val="161412"/>
        </w:rPr>
        <w:t xml:space="preserve"> Se muestra un evento evaluable y se pregunta por su tono, siempre con lenguaje natural, nunca con los términos del sistema: no «¿esto es risk?», sino «¿esto parece corregible o urgente?», «¿dirías que algo se perdió o que algo terminó bien?». Cada intent tiene su pregunta característica, y la tabla siguiente las reúne para que el lector componga su guion.</w:t>
      </w:r>
    </w:p>
    <w:p>
      <w:pPr>
        <w:spacing w:after="200" w:before="40"/>
      </w:pPr>
      <w:r>
        <w:rPr>
          <w:rFonts w:ascii="IBM Plex Sans" w:hAnsi="IBM Plex Sans" w:cs="IBM Plex Sans"/>
          <w:b/>
          <w:color w:val="1F3A5F"/>
          <w:sz w:val="17"/>
        </w:rPr>
        <w:t xml:space="preserve">TABLA 35.2   </w:t>
      </w:r>
      <w:r>
        <w:rPr>
          <w:rFonts w:ascii="IBM Plex Sans" w:hAnsi="IBM Plex Sans" w:cs="IBM Plex Sans"/>
          <w:color w:val="3A352F"/>
          <w:sz w:val="18"/>
        </w:rPr>
        <w:t xml:space="preserve">Preguntas de validación por intent</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INTENT</w:t>
            </w:r>
          </w:p>
        </w:tc>
        <w:tc>
          <w:tcPr>
            <w:tcW w:type="dxa" w:w="4158"/>
            <w:shd w:val="clear" w:color="auto" w:fill="EAE4D8"/>
          </w:tcPr>
          <w:p>
            <w:pPr>
              <w:spacing w:after="40"/>
            </w:pPr>
            <w:r>
              <w:rPr>
                <w:sz w:val="17"/>
              </w:rPr>
            </w:r>
            <w:r>
              <w:rPr>
                <w:rFonts w:ascii="IBM Plex Sans" w:hAnsi="IBM Plex Sans" w:cs="IBM Plex Sans"/>
                <w:b/>
                <w:i w:val="0"/>
                <w:color w:val="1F3A5F"/>
                <w:sz w:val="17"/>
              </w:rPr>
              <w:t>PREGUNTA DE VALIDACIÓN</w:t>
            </w:r>
          </w:p>
        </w:tc>
      </w:tr>
      <w:tr>
        <w:tc>
          <w:tcPr>
            <w:tcW w:type="dxa" w:w="4158"/>
          </w:tcPr>
          <w:p>
            <w:pPr>
              <w:spacing w:after="40"/>
            </w:pPr>
            <w:r>
              <w:rPr>
                <w:sz w:val="17"/>
              </w:rPr>
            </w:r>
            <w:r>
              <w:rPr>
                <w:rFonts w:ascii="IBM Plex Sans" w:hAnsi="IBM Plex Sans" w:cs="IBM Plex Sans"/>
                <w:b w:val="0"/>
                <w:i w:val="0"/>
                <w:color w:val="161412"/>
                <w:sz w:val="17"/>
              </w:rPr>
              <w:t>neutral</w:t>
            </w:r>
          </w:p>
        </w:tc>
        <w:tc>
          <w:tcPr>
            <w:tcW w:type="dxa" w:w="4158"/>
          </w:tcPr>
          <w:p>
            <w:pPr>
              <w:spacing w:after="40"/>
            </w:pPr>
            <w:r>
              <w:rPr>
                <w:sz w:val="17"/>
              </w:rPr>
            </w:r>
            <w:r>
              <w:rPr>
                <w:rFonts w:ascii="IBM Plex Sans" w:hAnsi="IBM Plex Sans" w:cs="IBM Plex Sans"/>
                <w:b w:val="0"/>
                <w:i w:val="0"/>
                <w:color w:val="161412"/>
                <w:sz w:val="17"/>
              </w:rPr>
              <w:t>¿esto parece informativo sin carga fuerte?</w:t>
            </w:r>
          </w:p>
        </w:tc>
      </w:tr>
      <w:tr>
        <w:tc>
          <w:tcPr>
            <w:tcW w:type="dxa" w:w="4158"/>
          </w:tcPr>
          <w:p>
            <w:pPr>
              <w:spacing w:after="40"/>
            </w:pPr>
            <w:r>
              <w:rPr>
                <w:sz w:val="17"/>
              </w:rPr>
            </w:r>
            <w:r>
              <w:rPr>
                <w:rFonts w:ascii="IBM Plex Sans" w:hAnsi="IBM Plex Sans" w:cs="IBM Plex Sans"/>
                <w:b w:val="0"/>
                <w:i w:val="0"/>
                <w:color w:val="161412"/>
                <w:sz w:val="17"/>
              </w:rPr>
              <w:t>affirm</w:t>
            </w:r>
          </w:p>
        </w:tc>
        <w:tc>
          <w:tcPr>
            <w:tcW w:type="dxa" w:w="4158"/>
          </w:tcPr>
          <w:p>
            <w:pPr>
              <w:spacing w:after="40"/>
            </w:pPr>
            <w:r>
              <w:rPr>
                <w:sz w:val="17"/>
              </w:rPr>
            </w:r>
            <w:r>
              <w:rPr>
                <w:rFonts w:ascii="IBM Plex Sans" w:hAnsi="IBM Plex Sans" w:cs="IBM Plex Sans"/>
                <w:b w:val="0"/>
                <w:i w:val="0"/>
                <w:color w:val="161412"/>
                <w:sz w:val="17"/>
              </w:rPr>
              <w:t>¿esto confirma que todo va bien sin interrumpir?</w:t>
            </w:r>
          </w:p>
        </w:tc>
      </w:tr>
      <w:tr>
        <w:tc>
          <w:tcPr>
            <w:tcW w:type="dxa" w:w="4158"/>
          </w:tcPr>
          <w:p>
            <w:pPr>
              <w:spacing w:after="40"/>
            </w:pPr>
            <w:r>
              <w:rPr>
                <w:sz w:val="17"/>
              </w:rPr>
            </w:r>
            <w:r>
              <w:rPr>
                <w:rFonts w:ascii="IBM Plex Sans" w:hAnsi="IBM Plex Sans" w:cs="IBM Plex Sans"/>
                <w:b w:val="0"/>
                <w:i w:val="0"/>
                <w:color w:val="161412"/>
                <w:sz w:val="17"/>
              </w:rPr>
              <w:t>fulfill</w:t>
            </w:r>
          </w:p>
        </w:tc>
        <w:tc>
          <w:tcPr>
            <w:tcW w:type="dxa" w:w="4158"/>
          </w:tcPr>
          <w:p>
            <w:pPr>
              <w:spacing w:after="40"/>
            </w:pPr>
            <w:r>
              <w:rPr>
                <w:sz w:val="17"/>
              </w:rPr>
            </w:r>
            <w:r>
              <w:rPr>
                <w:rFonts w:ascii="IBM Plex Sans" w:hAnsi="IBM Plex Sans" w:cs="IBM Plex Sans"/>
                <w:b w:val="0"/>
                <w:i w:val="0"/>
                <w:color w:val="161412"/>
                <w:sz w:val="17"/>
              </w:rPr>
              <w:t>¿esto parece objetivo cumplido?</w:t>
            </w:r>
          </w:p>
        </w:tc>
      </w:tr>
      <w:tr>
        <w:tc>
          <w:tcPr>
            <w:tcW w:type="dxa" w:w="4158"/>
          </w:tcPr>
          <w:p>
            <w:pPr>
              <w:spacing w:after="40"/>
            </w:pPr>
            <w:r>
              <w:rPr>
                <w:sz w:val="17"/>
              </w:rPr>
            </w:r>
            <w:r>
              <w:rPr>
                <w:rFonts w:ascii="IBM Plex Sans" w:hAnsi="IBM Plex Sans" w:cs="IBM Plex Sans"/>
                <w:b w:val="0"/>
                <w:i w:val="0"/>
                <w:color w:val="161412"/>
                <w:sz w:val="17"/>
              </w:rPr>
              <w:t>risk</w:t>
            </w:r>
          </w:p>
        </w:tc>
        <w:tc>
          <w:tcPr>
            <w:tcW w:type="dxa" w:w="4158"/>
          </w:tcPr>
          <w:p>
            <w:pPr>
              <w:spacing w:after="40"/>
            </w:pPr>
            <w:r>
              <w:rPr>
                <w:sz w:val="17"/>
              </w:rPr>
            </w:r>
            <w:r>
              <w:rPr>
                <w:rFonts w:ascii="IBM Plex Sans" w:hAnsi="IBM Plex Sans" w:cs="IBM Plex Sans"/>
                <w:b w:val="0"/>
                <w:i w:val="0"/>
                <w:color w:val="161412"/>
                <w:sz w:val="17"/>
              </w:rPr>
              <w:t>¿esto parece corregible?</w:t>
            </w:r>
          </w:p>
        </w:tc>
      </w:tr>
      <w:tr>
        <w:tc>
          <w:tcPr>
            <w:tcW w:type="dxa" w:w="4158"/>
          </w:tcPr>
          <w:p>
            <w:pPr>
              <w:spacing w:after="40"/>
            </w:pPr>
            <w:r>
              <w:rPr>
                <w:sz w:val="17"/>
              </w:rPr>
            </w:r>
            <w:r>
              <w:rPr>
                <w:rFonts w:ascii="IBM Plex Sans" w:hAnsi="IBM Plex Sans" w:cs="IBM Plex Sans"/>
                <w:b w:val="0"/>
                <w:i w:val="0"/>
                <w:color w:val="161412"/>
                <w:sz w:val="17"/>
              </w:rPr>
              <w:t>threat</w:t>
            </w:r>
          </w:p>
        </w:tc>
        <w:tc>
          <w:tcPr>
            <w:tcW w:type="dxa" w:w="4158"/>
          </w:tcPr>
          <w:p>
            <w:pPr>
              <w:spacing w:after="40"/>
            </w:pPr>
            <w:r>
              <w:rPr>
                <w:sz w:val="17"/>
              </w:rPr>
            </w:r>
            <w:r>
              <w:rPr>
                <w:rFonts w:ascii="IBM Plex Sans" w:hAnsi="IBM Plex Sans" w:cs="IBM Plex Sans"/>
                <w:b w:val="0"/>
                <w:i w:val="0"/>
                <w:color w:val="161412"/>
                <w:sz w:val="17"/>
              </w:rPr>
              <w:t>¿esto exige actuar ahora?</w:t>
            </w:r>
          </w:p>
        </w:tc>
      </w:tr>
      <w:tr>
        <w:tc>
          <w:tcPr>
            <w:tcW w:type="dxa" w:w="4158"/>
          </w:tcPr>
          <w:p>
            <w:pPr>
              <w:spacing w:after="40"/>
            </w:pPr>
            <w:r>
              <w:rPr>
                <w:sz w:val="17"/>
              </w:rPr>
            </w:r>
            <w:r>
              <w:rPr>
                <w:rFonts w:ascii="IBM Plex Sans" w:hAnsi="IBM Plex Sans" w:cs="IBM Plex Sans"/>
                <w:b w:val="0"/>
                <w:i w:val="0"/>
                <w:color w:val="161412"/>
                <w:sz w:val="17"/>
              </w:rPr>
              <w:t>loss</w:t>
            </w:r>
          </w:p>
        </w:tc>
        <w:tc>
          <w:tcPr>
            <w:tcW w:type="dxa" w:w="4158"/>
          </w:tcPr>
          <w:p>
            <w:pPr>
              <w:spacing w:after="40"/>
            </w:pPr>
            <w:r>
              <w:rPr>
                <w:sz w:val="17"/>
              </w:rPr>
            </w:r>
            <w:r>
              <w:rPr>
                <w:rFonts w:ascii="IBM Plex Sans" w:hAnsi="IBM Plex Sans" w:cs="IBM Plex Sans"/>
                <w:b w:val="0"/>
                <w:i w:val="0"/>
                <w:color w:val="161412"/>
                <w:sz w:val="17"/>
              </w:rPr>
              <w:t>¿esto ya ocurrió y dejó consecuencia?</w:t>
            </w:r>
          </w:p>
        </w:tc>
      </w:tr>
    </w:tbl>
    <w:p>
      <w:pPr>
        <w:spacing w:before="320" w:after="40"/>
      </w:pPr>
      <w:r>
        <w:rPr>
          <w:rFonts w:ascii="IBM Plex Sans" w:hAnsi="IBM Plex Sans" w:cs="IBM Plex Sans"/>
          <w:b/>
          <w:color w:val="1F3A5F"/>
          <w:sz w:val="18"/>
        </w:rPr>
        <w:t xml:space="preserve">§ 7</w:t>
      </w:r>
    </w:p>
    <w:p>
      <w:pPr>
        <w:spacing w:after="160" w:line="240" w:lineRule="auto"/>
      </w:pPr>
      <w:r>
        <w:rPr>
          <w:rFonts w:ascii="Newsreader" w:hAnsi="Newsreader" w:cs="Newsreader"/>
          <w:color w:val="161412"/>
          <w:sz w:val="38"/>
        </w:rPr>
        <w:t xml:space="preserve">Protocolo 4 — Test de reducción de canal</w:t>
      </w:r>
    </w:p>
    <w:p>
      <w:pPr>
        <w:spacing w:after="120" w:line="320" w:lineRule="auto"/>
        <w:jc w:val="both"/>
      </w:pPr>
      <w:r>
        <w:rPr>
          <w:rFonts w:ascii="Newsreader" w:hAnsi="Newsreader" w:cs="Newsreader"/>
          <w:b/>
          <w:i w:val="0"/>
          <w:color w:val="161412"/>
        </w:rPr>
        <w:t xml:space="preserve">Cómo hacerlo.</w:t>
      </w:r>
      <w:r>
        <w:rPr>
          <w:rFonts w:ascii="Newsreader" w:hAnsi="Newsreader" w:cs="Newsreader"/>
          <w:b w:val="0"/>
          <w:i w:val="0"/>
          <w:color w:val="161412"/>
        </w:rPr>
        <w:t xml:space="preserve"> Se prueba el mismo evento retirando un canal cada vez: sin color, con reduced motion activado, sin sonido, solo con teclado, con lector de pantalla. En cada variante se repite el protocolo 1.</w:t>
      </w:r>
    </w:p>
    <w:p>
      <w:pPr>
        <w:spacing w:after="120" w:line="320" w:lineRule="auto"/>
        <w:jc w:val="both"/>
      </w:pPr>
      <w:r>
        <w:rPr>
          <w:rFonts w:ascii="Newsreader" w:hAnsi="Newsreader" w:cs="Newsreader"/>
          <w:b/>
          <w:i w:val="0"/>
          <w:color w:val="161412"/>
        </w:rPr>
        <w:t xml:space="preserve">Qué escuchar.</w:t>
      </w:r>
      <w:r>
        <w:rPr>
          <w:rFonts w:ascii="Newsreader" w:hAnsi="Newsreader" w:cs="Newsreader"/>
          <w:b w:val="0"/>
          <w:i w:val="0"/>
          <w:color w:val="161412"/>
        </w:rPr>
        <w:t xml:space="preserve"> La pregunta correcta no es «¿se sigue viendo parecido?», sino «¿se sigue entendiendo el mismo evento?». Un evento robusto conserva su familia y su intent en todas las variantes; uno frágil cambia de significado cuando pierde su canal favorito.</w:t>
      </w:r>
    </w:p>
    <w:p>
      <w:pPr>
        <w:spacing w:before="320" w:after="40"/>
      </w:pPr>
      <w:r>
        <w:rPr>
          <w:rFonts w:ascii="IBM Plex Sans" w:hAnsi="IBM Plex Sans" w:cs="IBM Plex Sans"/>
          <w:b/>
          <w:color w:val="1F3A5F"/>
          <w:sz w:val="18"/>
        </w:rPr>
        <w:t xml:space="preserve">§ 8</w:t>
      </w:r>
    </w:p>
    <w:p>
      <w:pPr>
        <w:spacing w:after="160" w:line="240" w:lineRule="auto"/>
      </w:pPr>
      <w:r>
        <w:rPr>
          <w:rFonts w:ascii="Newsreader" w:hAnsi="Newsreader" w:cs="Newsreader"/>
          <w:color w:val="161412"/>
          <w:sz w:val="38"/>
        </w:rPr>
        <w:t xml:space="preserve">Protocolo 5 — Test de secuencia</w:t>
      </w:r>
    </w:p>
    <w:p>
      <w:pPr>
        <w:spacing w:after="120" w:line="320" w:lineRule="auto"/>
        <w:jc w:val="both"/>
      </w:pPr>
      <w:r>
        <w:rPr>
          <w:rFonts w:ascii="Newsreader" w:hAnsi="Newsreader" w:cs="Newsreader"/>
          <w:b/>
          <w:i w:val="0"/>
          <w:color w:val="161412"/>
        </w:rPr>
        <w:t xml:space="preserve">Cómo hacerlo.</w:t>
      </w:r>
      <w:r>
        <w:rPr>
          <w:rFonts w:ascii="Newsreader" w:hAnsi="Newsreader" w:cs="Newsreader"/>
          <w:b w:val="0"/>
          <w:i w:val="0"/>
          <w:color w:val="161412"/>
        </w:rPr>
        <w:t xml:space="preserve"> Se muestra una operación completa —no un evento aislado— y se pide al usuario que cuente qué pasó primero, qué después y qué al final.</w:t>
      </w:r>
    </w:p>
    <w:p>
      <w:pPr>
        <w:spacing w:after="120" w:line="320" w:lineRule="auto"/>
        <w:jc w:val="both"/>
      </w:pPr>
      <w:r>
        <w:rPr>
          <w:rFonts w:ascii="Newsreader" w:hAnsi="Newsreader" w:cs="Newsreader"/>
          <w:b/>
          <w:i w:val="0"/>
          <w:color w:val="161412"/>
        </w:rPr>
        <w:t xml:space="preserve">Qué escuchar.</w:t>
      </w:r>
      <w:r>
        <w:rPr>
          <w:rFonts w:ascii="Newsreader" w:hAnsi="Newsreader" w:cs="Newsreader"/>
          <w:b w:val="0"/>
          <w:i w:val="0"/>
          <w:color w:val="161412"/>
        </w:rPr>
        <w:t xml:space="preserve"> Si el relato conserva los momentos —«pulsé, estuvo trabajando, avisó de algo, al final quedó guardado»—, la composición funciona. Si el usuario solo percibe «hubo un error y luego un success», la composición perdió matiz: el contacto, la espera y la advertencia intermedia no llegaron a existir para él.</w:t>
      </w:r>
    </w:p>
    <w:p>
      <w:pPr>
        <w:spacing w:before="320" w:after="40"/>
      </w:pPr>
      <w:r>
        <w:rPr>
          <w:rFonts w:ascii="IBM Plex Sans" w:hAnsi="IBM Plex Sans" w:cs="IBM Plex Sans"/>
          <w:b/>
          <w:color w:val="1F3A5F"/>
          <w:sz w:val="18"/>
        </w:rPr>
        <w:t xml:space="preserve">§ 9</w:t>
      </w:r>
    </w:p>
    <w:p>
      <w:pPr>
        <w:spacing w:after="160" w:line="240" w:lineRule="auto"/>
      </w:pPr>
      <w:r>
        <w:rPr>
          <w:rFonts w:ascii="Newsreader" w:hAnsi="Newsreader" w:cs="Newsreader"/>
          <w:color w:val="161412"/>
          <w:sz w:val="38"/>
        </w:rPr>
        <w:t xml:space="preserve">Protocolo 6 — Test de fatiga</w:t>
      </w:r>
    </w:p>
    <w:p>
      <w:pPr>
        <w:spacing w:after="120" w:line="320" w:lineRule="auto"/>
        <w:jc w:val="both"/>
      </w:pPr>
      <w:r>
        <w:rPr>
          <w:rFonts w:ascii="Newsreader" w:hAnsi="Newsreader" w:cs="Newsreader"/>
          <w:b/>
          <w:i w:val="0"/>
          <w:color w:val="161412"/>
        </w:rPr>
        <w:t xml:space="preserve">Cómo hacerlo.</w:t>
      </w:r>
      <w:r>
        <w:rPr>
          <w:rFonts w:ascii="Newsreader" w:hAnsi="Newsreader" w:cs="Newsreader"/>
          <w:b w:val="0"/>
          <w:i w:val="0"/>
          <w:color w:val="161412"/>
        </w:rPr>
        <w:t xml:space="preserve"> Se somete el evento a repetición —veinte veces seguidas, o su frecuencia real de uso durante una sesión— y se pregunta al final si sigue siendo tolerable, si se ha vuelto molesto, si ha perdido significado.</w:t>
      </w:r>
    </w:p>
    <w:p>
      <w:pPr>
        <w:spacing w:after="120" w:line="320" w:lineRule="auto"/>
        <w:jc w:val="both"/>
      </w:pPr>
      <w:r>
        <w:rPr>
          <w:rFonts w:ascii="Newsreader" w:hAnsi="Newsreader" w:cs="Newsreader"/>
          <w:b/>
          <w:i w:val="0"/>
          <w:color w:val="161412"/>
        </w:rPr>
        <w:t xml:space="preserve">Qué escuchar.</w:t>
      </w:r>
      <w:r>
        <w:rPr>
          <w:rFonts w:ascii="Newsreader" w:hAnsi="Newsreader" w:cs="Newsreader"/>
          <w:b w:val="0"/>
          <w:i w:val="0"/>
          <w:color w:val="161412"/>
        </w:rPr>
        <w:t xml:space="preserve"> Un microclick puede ser útil una vez y fatigar en cada tecla; un guardado con animación puede ser agradable una vez y absurdo en cada autoguardado. La repetición es la variable que los demás protocolos ignoran, y la que más antipatrones de intensidad destapa.</w:t>
      </w:r>
    </w:p>
    <w:p>
      <w:pPr>
        <w:spacing w:before="320" w:after="40"/>
      </w:pPr>
      <w:r>
        <w:rPr>
          <w:rFonts w:ascii="IBM Plex Sans" w:hAnsi="IBM Plex Sans" w:cs="IBM Plex Sans"/>
          <w:b/>
          <w:color w:val="1F3A5F"/>
          <w:sz w:val="18"/>
        </w:rPr>
        <w:t xml:space="preserve">§ 10</w:t>
      </w:r>
    </w:p>
    <w:p>
      <w:pPr>
        <w:spacing w:after="160" w:line="240" w:lineRule="auto"/>
      </w:pPr>
      <w:r>
        <w:rPr>
          <w:rFonts w:ascii="Newsreader" w:hAnsi="Newsreader" w:cs="Newsreader"/>
          <w:color w:val="161412"/>
          <w:sz w:val="38"/>
        </w:rPr>
        <w:t xml:space="preserve">La ficha de validación semántica</w:t>
      </w:r>
    </w:p>
    <w:p>
      <w:pPr>
        <w:spacing w:after="120" w:line="320" w:lineRule="auto"/>
        <w:jc w:val="both"/>
      </w:pPr>
      <w:r>
        <w:rPr>
          <w:rFonts w:ascii="Newsreader" w:hAnsi="Newsreader" w:cs="Newsreader"/>
          <w:b w:val="0"/>
          <w:i w:val="0"/>
          <w:color w:val="161412"/>
        </w:rPr>
        <w:t xml:space="preserve">Los seis protocolos se registran en una ficha. Es una plantilla para rellenar —una por flujo evaluado—, y su valor está en obligar a explicitar la lectura esperada antes de escuchar la real:</w:t>
      </w:r>
    </w:p>
    <w:p>
      <w:pPr>
        <w:spacing w:after="100" w:line="312" w:lineRule="auto"/>
        <w:ind w:left="403" w:hanging="259"/>
        <w:jc w:val="both"/>
      </w:pPr>
      <w:r>
        <w:rPr>
          <w:rFonts w:ascii="IBM Plex Sans" w:hAnsi="IBM Plex Sans" w:cs="IBM Plex Sans"/>
          <w:b/>
          <w:color w:val="1F3A5F"/>
          <w:sz w:val="20"/>
        </w:rPr>
        <w:t xml:space="preserve">•  Nombre del flujo y evento o secuencia evaluada.</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Familia esperada, intent esperado, canales usados y canal dominante.</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Lectura esperada, lectura real y diferencia detectada.</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¿Se distingue de los eventos cercanos?</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¿Sobrevive sin color, con reduced motion, sin sonido, solo con teclado?</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¿Produce fatiga por repetición?</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Corrección propuesta.</w:t>
      </w:r>
      <w:r>
        <w:rPr>
          <w:rFonts w:ascii="Newsreader" w:hAnsi="Newsreader" w:cs="Newsreader"/>
          <w:b w:val="0"/>
          <w:i w:val="0"/>
          <w:color w:val="161412"/>
        </w:rPr>
        <w:t xml:space="preserve"/>
      </w:r>
    </w:p>
    <w:p>
      <w:pPr>
        <w:spacing w:before="320" w:after="40"/>
      </w:pPr>
      <w:r>
        <w:rPr>
          <w:rFonts w:ascii="IBM Plex Sans" w:hAnsi="IBM Plex Sans" w:cs="IBM Plex Sans"/>
          <w:b/>
          <w:color w:val="1F3A5F"/>
          <w:sz w:val="18"/>
        </w:rPr>
        <w:t xml:space="preserve">§ 11</w:t>
      </w:r>
    </w:p>
    <w:p>
      <w:pPr>
        <w:spacing w:after="160" w:line="240" w:lineRule="auto"/>
      </w:pPr>
      <w:r>
        <w:rPr>
          <w:rFonts w:ascii="Newsreader" w:hAnsi="Newsreader" w:cs="Newsreader"/>
          <w:color w:val="161412"/>
          <w:sz w:val="38"/>
        </w:rPr>
        <w:t xml:space="preserve">Cómo interpretar los resultados</w:t>
      </w:r>
    </w:p>
    <w:p>
      <w:pPr>
        <w:spacing w:after="120" w:line="320" w:lineRule="auto"/>
        <w:jc w:val="both"/>
      </w:pPr>
      <w:r>
        <w:rPr>
          <w:rFonts w:ascii="Newsreader" w:hAnsi="Newsreader" w:cs="Newsreader"/>
          <w:b w:val="0"/>
          <w:i w:val="0"/>
          <w:color w:val="161412"/>
        </w:rPr>
        <w:t xml:space="preserve">La validación busca patrones, no anécdotas. Si un usuario se confunde, puede ser ruido; si varios confunden lo mismo, hay un problema semántico. La tabla siguiente ayuda a traducir las respuestas típicas en diagnóstico y corrección: es la guía de lectura de la ficha, no un catálogo de resultados.</w:t>
      </w:r>
    </w:p>
    <w:p>
      <w:pPr>
        <w:spacing w:after="200" w:before="40"/>
      </w:pPr>
      <w:r>
        <w:rPr>
          <w:rFonts w:ascii="IBM Plex Sans" w:hAnsi="IBM Plex Sans" w:cs="IBM Plex Sans"/>
          <w:b/>
          <w:color w:val="1F3A5F"/>
          <w:sz w:val="17"/>
        </w:rPr>
        <w:t xml:space="preserve">TABLA 35.3   </w:t>
      </w:r>
      <w:r>
        <w:rPr>
          <w:rFonts w:ascii="IBM Plex Sans" w:hAnsi="IBM Plex Sans" w:cs="IBM Plex Sans"/>
          <w:color w:val="3A352F"/>
          <w:sz w:val="18"/>
        </w:rPr>
        <w:t xml:space="preserve">Respuestas típicas, diagnóstico y corrección</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RESPUESTA DEL USUARIO</w:t>
            </w:r>
          </w:p>
        </w:tc>
        <w:tc>
          <w:tcPr>
            <w:tcW w:type="dxa" w:w="2772"/>
            <w:shd w:val="clear" w:color="auto" w:fill="EAE4D8"/>
          </w:tcPr>
          <w:p>
            <w:pPr>
              <w:spacing w:after="40"/>
            </w:pPr>
            <w:r>
              <w:rPr>
                <w:sz w:val="17"/>
              </w:rPr>
            </w:r>
            <w:r>
              <w:rPr>
                <w:rFonts w:ascii="IBM Plex Sans" w:hAnsi="IBM Plex Sans" w:cs="IBM Plex Sans"/>
                <w:b/>
                <w:i w:val="0"/>
                <w:color w:val="1F3A5F"/>
                <w:sz w:val="17"/>
              </w:rPr>
              <w:t>DIAGNÓSTICO PROBABLE</w:t>
            </w:r>
          </w:p>
        </w:tc>
        <w:tc>
          <w:tcPr>
            <w:tcW w:type="dxa" w:w="2772"/>
            <w:shd w:val="clear" w:color="auto" w:fill="EAE4D8"/>
          </w:tcPr>
          <w:p>
            <w:pPr>
              <w:spacing w:after="40"/>
            </w:pPr>
            <w:r>
              <w:rPr>
                <w:sz w:val="17"/>
              </w:rPr>
            </w:r>
            <w:r>
              <w:rPr>
                <w:rFonts w:ascii="IBM Plex Sans" w:hAnsi="IBM Plex Sans" w:cs="IBM Plex Sans"/>
                <w:b/>
                <w:i w:val="0"/>
                <w:color w:val="1F3A5F"/>
                <w:sz w:val="17"/>
              </w:rPr>
              <w:t>CORRECCIÓN</w:t>
            </w:r>
          </w:p>
        </w:tc>
      </w:tr>
      <w:tr>
        <w:tc>
          <w:tcPr>
            <w:tcW w:type="dxa" w:w="2772"/>
          </w:tcPr>
          <w:p>
            <w:pPr>
              <w:spacing w:after="40"/>
            </w:pPr>
            <w:r>
              <w:rPr>
                <w:sz w:val="17"/>
              </w:rPr>
            </w:r>
            <w:r>
              <w:rPr>
                <w:rFonts w:ascii="IBM Plex Sans" w:hAnsi="IBM Plex Sans" w:cs="IBM Plex Sans"/>
                <w:b w:val="0"/>
                <w:i w:val="0"/>
                <w:color w:val="161412"/>
                <w:sz w:val="17"/>
              </w:rPr>
              <w:t>«No sé qué pasó»</w:t>
            </w:r>
          </w:p>
        </w:tc>
        <w:tc>
          <w:tcPr>
            <w:tcW w:type="dxa" w:w="2772"/>
          </w:tcPr>
          <w:p>
            <w:pPr>
              <w:spacing w:after="40"/>
            </w:pPr>
            <w:r>
              <w:rPr>
                <w:sz w:val="17"/>
              </w:rPr>
            </w:r>
            <w:r>
              <w:rPr>
                <w:rFonts w:ascii="IBM Plex Sans" w:hAnsi="IBM Plex Sans" w:cs="IBM Plex Sans"/>
                <w:b w:val="0"/>
                <w:i w:val="0"/>
                <w:color w:val="161412"/>
                <w:sz w:val="17"/>
              </w:rPr>
              <w:t>evento poco legible</w:t>
            </w:r>
          </w:p>
        </w:tc>
        <w:tc>
          <w:tcPr>
            <w:tcW w:type="dxa" w:w="2772"/>
          </w:tcPr>
          <w:p>
            <w:pPr>
              <w:spacing w:after="40"/>
            </w:pPr>
            <w:r>
              <w:rPr>
                <w:sz w:val="17"/>
              </w:rPr>
            </w:r>
            <w:r>
              <w:rPr>
                <w:rFonts w:ascii="IBM Plex Sans" w:hAnsi="IBM Plex Sans" w:cs="IBM Plex Sans"/>
                <w:b w:val="0"/>
                <w:i w:val="0"/>
                <w:color w:val="161412"/>
                <w:sz w:val="17"/>
              </w:rPr>
              <w:t>reforzar presencia / texto / huella</w:t>
            </w:r>
          </w:p>
        </w:tc>
      </w:tr>
      <w:tr>
        <w:tc>
          <w:tcPr>
            <w:tcW w:type="dxa" w:w="2772"/>
          </w:tcPr>
          <w:p>
            <w:pPr>
              <w:spacing w:after="40"/>
            </w:pPr>
            <w:r>
              <w:rPr>
                <w:sz w:val="17"/>
              </w:rPr>
            </w:r>
            <w:r>
              <w:rPr>
                <w:rFonts w:ascii="IBM Plex Sans" w:hAnsi="IBM Plex Sans" w:cs="IBM Plex Sans"/>
                <w:b w:val="0"/>
                <w:i w:val="0"/>
                <w:color w:val="161412"/>
                <w:sz w:val="17"/>
              </w:rPr>
              <w:t>«Se guardó» ante contact</w:t>
            </w:r>
          </w:p>
        </w:tc>
        <w:tc>
          <w:tcPr>
            <w:tcW w:type="dxa" w:w="2772"/>
          </w:tcPr>
          <w:p>
            <w:pPr>
              <w:spacing w:after="40"/>
            </w:pPr>
            <w:r>
              <w:rPr>
                <w:sz w:val="17"/>
              </w:rPr>
            </w:r>
            <w:r>
              <w:rPr>
                <w:rFonts w:ascii="IBM Plex Sans" w:hAnsi="IBM Plex Sans" w:cs="IBM Plex Sans"/>
                <w:b w:val="0"/>
                <w:i w:val="0"/>
                <w:color w:val="161412"/>
                <w:sz w:val="17"/>
              </w:rPr>
              <w:t>commit anticipado</w:t>
            </w:r>
          </w:p>
        </w:tc>
        <w:tc>
          <w:tcPr>
            <w:tcW w:type="dxa" w:w="2772"/>
          </w:tcPr>
          <w:p>
            <w:pPr>
              <w:spacing w:after="40"/>
            </w:pPr>
            <w:r>
              <w:rPr>
                <w:sz w:val="17"/>
              </w:rPr>
            </w:r>
            <w:r>
              <w:rPr>
                <w:rFonts w:ascii="IBM Plex Sans" w:hAnsi="IBM Plex Sans" w:cs="IBM Plex Sans"/>
                <w:b w:val="0"/>
                <w:i w:val="0"/>
                <w:color w:val="161412"/>
                <w:sz w:val="17"/>
              </w:rPr>
              <w:t>separar contact de commit</w:t>
            </w:r>
          </w:p>
        </w:tc>
      </w:tr>
      <w:tr>
        <w:tc>
          <w:tcPr>
            <w:tcW w:type="dxa" w:w="2772"/>
          </w:tcPr>
          <w:p>
            <w:pPr>
              <w:spacing w:after="40"/>
            </w:pPr>
            <w:r>
              <w:rPr>
                <w:sz w:val="17"/>
              </w:rPr>
            </w:r>
            <w:r>
              <w:rPr>
                <w:rFonts w:ascii="IBM Plex Sans" w:hAnsi="IBM Plex Sans" w:cs="IBM Plex Sans"/>
                <w:b w:val="0"/>
                <w:i w:val="0"/>
                <w:color w:val="161412"/>
                <w:sz w:val="17"/>
              </w:rPr>
              <w:t>«Parece peligroso» ante risk</w:t>
            </w:r>
          </w:p>
        </w:tc>
        <w:tc>
          <w:tcPr>
            <w:tcW w:type="dxa" w:w="2772"/>
          </w:tcPr>
          <w:p>
            <w:pPr>
              <w:spacing w:after="40"/>
            </w:pPr>
            <w:r>
              <w:rPr>
                <w:sz w:val="17"/>
              </w:rPr>
            </w:r>
            <w:r>
              <w:rPr>
                <w:rFonts w:ascii="IBM Plex Sans" w:hAnsi="IBM Plex Sans" w:cs="IBM Plex Sans"/>
                <w:b w:val="0"/>
                <w:i w:val="0"/>
                <w:color w:val="161412"/>
                <w:sz w:val="17"/>
              </w:rPr>
              <w:t>exceso de activación</w:t>
            </w:r>
          </w:p>
        </w:tc>
        <w:tc>
          <w:tcPr>
            <w:tcW w:type="dxa" w:w="2772"/>
          </w:tcPr>
          <w:p>
            <w:pPr>
              <w:spacing w:after="40"/>
            </w:pPr>
            <w:r>
              <w:rPr>
                <w:sz w:val="17"/>
              </w:rPr>
            </w:r>
            <w:r>
              <w:rPr>
                <w:rFonts w:ascii="IBM Plex Sans" w:hAnsi="IBM Plex Sans" w:cs="IBM Plex Sans"/>
                <w:b w:val="0"/>
                <w:i w:val="0"/>
                <w:color w:val="161412"/>
                <w:sz w:val="17"/>
              </w:rPr>
              <w:t>reducir saliencia</w:t>
            </w:r>
          </w:p>
        </w:tc>
      </w:tr>
      <w:tr>
        <w:tc>
          <w:tcPr>
            <w:tcW w:type="dxa" w:w="2772"/>
          </w:tcPr>
          <w:p>
            <w:pPr>
              <w:spacing w:after="40"/>
            </w:pPr>
            <w:r>
              <w:rPr>
                <w:sz w:val="17"/>
              </w:rPr>
            </w:r>
            <w:r>
              <w:rPr>
                <w:rFonts w:ascii="IBM Plex Sans" w:hAnsi="IBM Plex Sans" w:cs="IBM Plex Sans"/>
                <w:b w:val="0"/>
                <w:i w:val="0"/>
                <w:color w:val="161412"/>
                <w:sz w:val="17"/>
              </w:rPr>
              <w:t>«Parece oculto» ante loss</w:t>
            </w:r>
          </w:p>
        </w:tc>
        <w:tc>
          <w:tcPr>
            <w:tcW w:type="dxa" w:w="2772"/>
          </w:tcPr>
          <w:p>
            <w:pPr>
              <w:spacing w:after="40"/>
            </w:pPr>
            <w:r>
              <w:rPr>
                <w:sz w:val="17"/>
              </w:rPr>
            </w:r>
            <w:r>
              <w:rPr>
                <w:rFonts w:ascii="IBM Plex Sans" w:hAnsi="IBM Plex Sans" w:cs="IBM Plex Sans"/>
                <w:b w:val="0"/>
                <w:i w:val="0"/>
                <w:color w:val="161412"/>
                <w:sz w:val="17"/>
              </w:rPr>
              <w:t>falta huella</w:t>
            </w:r>
          </w:p>
        </w:tc>
        <w:tc>
          <w:tcPr>
            <w:tcW w:type="dxa" w:w="2772"/>
          </w:tcPr>
          <w:p>
            <w:pPr>
              <w:spacing w:after="40"/>
            </w:pPr>
            <w:r>
              <w:rPr>
                <w:sz w:val="17"/>
              </w:rPr>
            </w:r>
            <w:r>
              <w:rPr>
                <w:rFonts w:ascii="IBM Plex Sans" w:hAnsi="IBM Plex Sans" w:cs="IBM Plex Sans"/>
                <w:b w:val="0"/>
                <w:i w:val="0"/>
                <w:color w:val="161412"/>
                <w:sz w:val="17"/>
              </w:rPr>
              <w:t>mensaje / undo / registro</w:t>
            </w:r>
          </w:p>
        </w:tc>
      </w:tr>
      <w:tr>
        <w:tc>
          <w:tcPr>
            <w:tcW w:type="dxa" w:w="2772"/>
          </w:tcPr>
          <w:p>
            <w:pPr>
              <w:spacing w:after="40"/>
            </w:pPr>
            <w:r>
              <w:rPr>
                <w:sz w:val="17"/>
              </w:rPr>
            </w:r>
            <w:r>
              <w:rPr>
                <w:rFonts w:ascii="IBM Plex Sans" w:hAnsi="IBM Plex Sans" w:cs="IBM Plex Sans"/>
                <w:b w:val="0"/>
                <w:i w:val="0"/>
                <w:color w:val="161412"/>
                <w:sz w:val="17"/>
              </w:rPr>
              <w:t>«Parece modal» ante dropdown</w:t>
            </w:r>
          </w:p>
        </w:tc>
        <w:tc>
          <w:tcPr>
            <w:tcW w:type="dxa" w:w="2772"/>
          </w:tcPr>
          <w:p>
            <w:pPr>
              <w:spacing w:after="40"/>
            </w:pPr>
            <w:r>
              <w:rPr>
                <w:sz w:val="17"/>
              </w:rPr>
            </w:r>
            <w:r>
              <w:rPr>
                <w:rFonts w:ascii="IBM Plex Sans" w:hAnsi="IBM Plex Sans" w:cs="IBM Plex Sans"/>
                <w:b w:val="0"/>
                <w:i w:val="0"/>
                <w:color w:val="161412"/>
                <w:sz w:val="17"/>
              </w:rPr>
              <w:t>profundidad excesiva</w:t>
            </w:r>
          </w:p>
        </w:tc>
        <w:tc>
          <w:tcPr>
            <w:tcW w:type="dxa" w:w="2772"/>
          </w:tcPr>
          <w:p>
            <w:pPr>
              <w:spacing w:after="40"/>
            </w:pPr>
            <w:r>
              <w:rPr>
                <w:sz w:val="17"/>
              </w:rPr>
            </w:r>
            <w:r>
              <w:rPr>
                <w:rFonts w:ascii="IBM Plex Sans" w:hAnsi="IBM Plex Sans" w:cs="IBM Plex Sans"/>
                <w:b w:val="0"/>
                <w:i w:val="0"/>
                <w:color w:val="161412"/>
                <w:sz w:val="17"/>
              </w:rPr>
              <w:t>reducir shift, reforzar emerge</w:t>
            </w:r>
          </w:p>
        </w:tc>
      </w:tr>
      <w:tr>
        <w:tc>
          <w:tcPr>
            <w:tcW w:type="dxa" w:w="2772"/>
          </w:tcPr>
          <w:p>
            <w:pPr>
              <w:spacing w:after="40"/>
            </w:pPr>
            <w:r>
              <w:rPr>
                <w:sz w:val="17"/>
              </w:rPr>
            </w:r>
            <w:r>
              <w:rPr>
                <w:rFonts w:ascii="IBM Plex Sans" w:hAnsi="IBM Plex Sans" w:cs="IBM Plex Sans"/>
                <w:b w:val="0"/>
                <w:i w:val="0"/>
                <w:color w:val="161412"/>
                <w:sz w:val="17"/>
              </w:rPr>
              <w:t>«Se bloqueó» ante sustain</w:t>
            </w:r>
          </w:p>
        </w:tc>
        <w:tc>
          <w:tcPr>
            <w:tcW w:type="dxa" w:w="2772"/>
          </w:tcPr>
          <w:p>
            <w:pPr>
              <w:spacing w:after="40"/>
            </w:pPr>
            <w:r>
              <w:rPr>
                <w:sz w:val="17"/>
              </w:rPr>
            </w:r>
            <w:r>
              <w:rPr>
                <w:rFonts w:ascii="IBM Plex Sans" w:hAnsi="IBM Plex Sans" w:cs="IBM Plex Sans"/>
                <w:b w:val="0"/>
                <w:i w:val="0"/>
                <w:color w:val="161412"/>
                <w:sz w:val="17"/>
              </w:rPr>
              <w:t>continuidad insuficiente</w:t>
            </w:r>
          </w:p>
        </w:tc>
        <w:tc>
          <w:tcPr>
            <w:tcW w:type="dxa" w:w="2772"/>
          </w:tcPr>
          <w:p>
            <w:pPr>
              <w:spacing w:after="40"/>
            </w:pPr>
            <w:r>
              <w:rPr>
                <w:sz w:val="17"/>
              </w:rPr>
            </w:r>
            <w:r>
              <w:rPr>
                <w:rFonts w:ascii="IBM Plex Sans" w:hAnsi="IBM Plex Sans" w:cs="IBM Plex Sans"/>
                <w:b w:val="0"/>
                <w:i w:val="0"/>
                <w:color w:val="161412"/>
                <w:sz w:val="17"/>
              </w:rPr>
              <w:t>texto / progreso</w:t>
            </w:r>
          </w:p>
        </w:tc>
      </w:tr>
      <w:tr>
        <w:tc>
          <w:tcPr>
            <w:tcW w:type="dxa" w:w="2772"/>
          </w:tcPr>
          <w:p>
            <w:pPr>
              <w:spacing w:after="40"/>
            </w:pPr>
            <w:r>
              <w:rPr>
                <w:sz w:val="17"/>
              </w:rPr>
            </w:r>
            <w:r>
              <w:rPr>
                <w:rFonts w:ascii="IBM Plex Sans" w:hAnsi="IBM Plex Sans" w:cs="IBM Plex Sans"/>
                <w:b w:val="0"/>
                <w:i w:val="0"/>
                <w:color w:val="161412"/>
                <w:sz w:val="17"/>
              </w:rPr>
              <w:t>«Molesta tras repetir»</w:t>
            </w:r>
          </w:p>
        </w:tc>
        <w:tc>
          <w:tcPr>
            <w:tcW w:type="dxa" w:w="2772"/>
          </w:tcPr>
          <w:p>
            <w:pPr>
              <w:spacing w:after="40"/>
            </w:pPr>
            <w:r>
              <w:rPr>
                <w:sz w:val="17"/>
              </w:rPr>
            </w:r>
            <w:r>
              <w:rPr>
                <w:rFonts w:ascii="IBM Plex Sans" w:hAnsi="IBM Plex Sans" w:cs="IBM Plex Sans"/>
                <w:b w:val="0"/>
                <w:i w:val="0"/>
                <w:color w:val="161412"/>
                <w:sz w:val="17"/>
              </w:rPr>
              <w:t>fatiga sensorial</w:t>
            </w:r>
          </w:p>
        </w:tc>
        <w:tc>
          <w:tcPr>
            <w:tcW w:type="dxa" w:w="2772"/>
          </w:tcPr>
          <w:p>
            <w:pPr>
              <w:spacing w:after="40"/>
            </w:pPr>
            <w:r>
              <w:rPr>
                <w:sz w:val="17"/>
              </w:rPr>
            </w:r>
            <w:r>
              <w:rPr>
                <w:rFonts w:ascii="IBM Plex Sans" w:hAnsi="IBM Plex Sans" w:cs="IBM Plex Sans"/>
                <w:b w:val="0"/>
                <w:i w:val="0"/>
                <w:color w:val="161412"/>
                <w:sz w:val="17"/>
              </w:rPr>
              <w:t>reducir intensidad / frecuencia</w:t>
            </w:r>
          </w:p>
        </w:tc>
      </w:tr>
    </w:tbl>
    <w:p>
      <w:pPr>
        <w:spacing w:before="320" w:after="40"/>
      </w:pPr>
      <w:r>
        <w:rPr>
          <w:rFonts w:ascii="IBM Plex Sans" w:hAnsi="IBM Plex Sans" w:cs="IBM Plex Sans"/>
          <w:b/>
          <w:color w:val="1F3A5F"/>
          <w:sz w:val="18"/>
        </w:rPr>
        <w:t xml:space="preserve">§ 12</w:t>
      </w:r>
    </w:p>
    <w:p>
      <w:pPr>
        <w:spacing w:after="160" w:line="240" w:lineRule="auto"/>
      </w:pPr>
      <w:r>
        <w:rPr>
          <w:rFonts w:ascii="Newsreader" w:hAnsi="Newsreader" w:cs="Newsreader"/>
          <w:color w:val="161412"/>
          <w:sz w:val="38"/>
        </w:rPr>
        <w:t xml:space="preserve">Validación sin laboratorio</w:t>
      </w:r>
    </w:p>
    <w:p>
      <w:pPr>
        <w:spacing w:after="120" w:line="320" w:lineRule="auto"/>
        <w:jc w:val="both"/>
      </w:pPr>
      <w:r>
        <w:rPr>
          <w:rFonts w:ascii="Newsreader" w:hAnsi="Newsreader" w:cs="Newsreader"/>
          <w:b w:val="0"/>
          <w:i w:val="0"/>
          <w:color w:val="161412"/>
        </w:rPr>
        <w:t xml:space="preserve">Nada de esto exige un laboratorio formal. Un equipo puede ejecutar los seis protocolos con un prototipo interactivo, entre cinco y ocho usuarios, grabación de pantalla y preguntas inmediatas; comparando variantes, probando con reduced motion, revisando con teclado y sin color. Lo que distingue la validación semántica no es el aparato, sino la pregunta.</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La validación semántica no pregunta si el usuario puede usar la interfaz. Pregunta si puede leer lo que la interfaz está diciendo.</w:t>
      </w:r>
    </w:p>
    <w:p>
      <w:pPr>
        <w:spacing w:before="320" w:after="40"/>
      </w:pPr>
      <w:r>
        <w:rPr>
          <w:rFonts w:ascii="IBM Plex Sans" w:hAnsi="IBM Plex Sans" w:cs="IBM Plex Sans"/>
          <w:b/>
          <w:color w:val="1F3A5F"/>
          <w:sz w:val="18"/>
        </w:rPr>
        <w:t xml:space="preserve">§ 13</w:t>
      </w:r>
    </w:p>
    <w:p>
      <w:pPr>
        <w:spacing w:after="160" w:line="240" w:lineRule="auto"/>
      </w:pPr>
      <w:r>
        <w:rPr>
          <w:rFonts w:ascii="Newsreader" w:hAnsi="Newsreader" w:cs="Newsreader"/>
          <w:color w:val="161412"/>
          <w:sz w:val="38"/>
        </w:rPr>
        <w:t xml:space="preserve">Antipatrones de validación</w:t>
      </w:r>
    </w:p>
    <w:p>
      <w:pPr>
        <w:spacing w:after="120" w:line="320" w:lineRule="auto"/>
        <w:jc w:val="both"/>
      </w:pPr>
      <w:r>
        <w:rPr>
          <w:rFonts w:ascii="Newsreader" w:hAnsi="Newsreader" w:cs="Newsreader"/>
          <w:b/>
          <w:i w:val="0"/>
          <w:color w:val="161412"/>
        </w:rPr>
        <w:t xml:space="preserve">Preguntar si gusta.</w:t>
      </w:r>
      <w:r>
        <w:rPr>
          <w:rFonts w:ascii="Newsreader" w:hAnsi="Newsreader" w:cs="Newsreader"/>
          <w:b w:val="0"/>
          <w:i w:val="0"/>
          <w:color w:val="161412"/>
        </w:rPr>
        <w:t xml:space="preserve"> El gusto no equivale a lectura: una animación puede encantar y no comunicar nada.</w:t>
      </w:r>
    </w:p>
    <w:p>
      <w:pPr>
        <w:spacing w:after="120" w:line="320" w:lineRule="auto"/>
        <w:jc w:val="both"/>
      </w:pPr>
      <w:r>
        <w:rPr>
          <w:rFonts w:ascii="Newsreader" w:hAnsi="Newsreader" w:cs="Newsreader"/>
          <w:b/>
          <w:i w:val="0"/>
          <w:color w:val="161412"/>
        </w:rPr>
        <w:t xml:space="preserve">Validar solo el resultado final.</w:t>
      </w:r>
      <w:r>
        <w:rPr>
          <w:rFonts w:ascii="Newsreader" w:hAnsi="Newsreader" w:cs="Newsreader"/>
          <w:b w:val="0"/>
          <w:i w:val="0"/>
          <w:color w:val="161412"/>
        </w:rPr>
        <w:t xml:space="preserve"> El usuario puede completar la tarea sin haber entendido los eventos intermedios; la tarea sale bien y la semántica está rota.</w:t>
      </w:r>
    </w:p>
    <w:p>
      <w:pPr>
        <w:spacing w:after="120" w:line="320" w:lineRule="auto"/>
        <w:jc w:val="both"/>
      </w:pPr>
      <w:r>
        <w:rPr>
          <w:rFonts w:ascii="Newsreader" w:hAnsi="Newsreader" w:cs="Newsreader"/>
          <w:b/>
          <w:i w:val="0"/>
          <w:color w:val="161412"/>
        </w:rPr>
        <w:t xml:space="preserve">Probar solo la versión completa.</w:t>
      </w:r>
      <w:r>
        <w:rPr>
          <w:rFonts w:ascii="Newsreader" w:hAnsi="Newsreader" w:cs="Newsreader"/>
          <w:b w:val="0"/>
          <w:i w:val="0"/>
          <w:color w:val="161412"/>
        </w:rPr>
        <w:t xml:space="preserve"> Sin probar la reducción de canales no se sabe si la semántica es robusta o si dependía de un solo canal.</w:t>
      </w:r>
    </w:p>
    <w:p>
      <w:pPr>
        <w:spacing w:after="120" w:line="320" w:lineRule="auto"/>
        <w:jc w:val="both"/>
      </w:pPr>
      <w:r>
        <w:rPr>
          <w:rFonts w:ascii="Newsreader" w:hAnsi="Newsreader" w:cs="Newsreader"/>
          <w:b/>
          <w:i w:val="0"/>
          <w:color w:val="161412"/>
        </w:rPr>
        <w:t xml:space="preserve">Confundir rapidez con claridad.</w:t>
      </w:r>
      <w:r>
        <w:rPr>
          <w:rFonts w:ascii="Newsreader" w:hAnsi="Newsreader" w:cs="Newsreader"/>
          <w:b w:val="0"/>
          <w:i w:val="0"/>
          <w:color w:val="161412"/>
        </w:rPr>
        <w:t xml:space="preserve"> Una interacción rápida puede ser ambigua; el tiempo de tarea no mide la lectura.</w:t>
      </w:r>
    </w:p>
    <w:p>
      <w:pPr>
        <w:spacing w:after="120" w:line="320" w:lineRule="auto"/>
        <w:jc w:val="both"/>
      </w:pPr>
      <w:r>
        <w:rPr>
          <w:rFonts w:ascii="Newsreader" w:hAnsi="Newsreader" w:cs="Newsreader"/>
          <w:b/>
          <w:i w:val="0"/>
          <w:color w:val="161412"/>
        </w:rPr>
        <w:t xml:space="preserve">Preguntar con términos del sistema.</w:t>
      </w:r>
      <w:r>
        <w:rPr>
          <w:rFonts w:ascii="Newsreader" w:hAnsi="Newsreader" w:cs="Newsreader"/>
          <w:b w:val="0"/>
          <w:i w:val="0"/>
          <w:color w:val="161412"/>
        </w:rPr>
        <w:t xml:space="preserve"> No se pregunta «¿percibiste risk?», sino «¿esto parecía corregible o urgente?».</w:t>
      </w:r>
    </w:p>
    <w:p>
      <w:pPr>
        <w:spacing w:after="120" w:line="320" w:lineRule="auto"/>
        <w:jc w:val="both"/>
      </w:pPr>
      <w:r>
        <w:rPr>
          <w:rFonts w:ascii="Newsreader" w:hAnsi="Newsreader" w:cs="Newsreader"/>
          <w:b/>
          <w:i w:val="0"/>
          <w:color w:val="161412"/>
        </w:rPr>
        <w:t xml:space="preserve">Ignorar la fatiga.</w:t>
      </w:r>
      <w:r>
        <w:rPr>
          <w:rFonts w:ascii="Newsreader" w:hAnsi="Newsreader" w:cs="Newsreader"/>
          <w:b w:val="0"/>
          <w:i w:val="0"/>
          <w:color w:val="161412"/>
        </w:rPr>
        <w:t xml:space="preserve"> Una microinteracción agradable puede volverse insoportable en repetición, y el test de una sola exposición no lo verá.</w:t>
      </w:r>
    </w:p>
    <w:p>
      <w:pPr>
        <w:spacing w:before="320" w:after="40"/>
      </w:pPr>
      <w:r>
        <w:rPr>
          <w:rFonts w:ascii="IBM Plex Sans" w:hAnsi="IBM Plex Sans" w:cs="IBM Plex Sans"/>
          <w:b/>
          <w:color w:val="1F3A5F"/>
          <w:sz w:val="18"/>
        </w:rPr>
        <w:t xml:space="preserve">§ 14</w:t>
      </w:r>
    </w:p>
    <w:p>
      <w:pPr>
        <w:spacing w:after="160" w:line="240" w:lineRule="auto"/>
      </w:pPr>
      <w:r>
        <w:rPr>
          <w:rFonts w:ascii="Newsreader" w:hAnsi="Newsreader" w:cs="Newsreader"/>
          <w:color w:val="161412"/>
          <w:sz w:val="38"/>
        </w:rPr>
        <w:t xml:space="preserve">Síntesis</w:t>
      </w:r>
    </w:p>
    <w:p>
      <w:pPr>
        <w:spacing w:after="120" w:line="320" w:lineRule="auto"/>
        <w:jc w:val="both"/>
      </w:pPr>
      <w:r>
        <w:rPr>
          <w:rFonts w:ascii="Newsreader" w:hAnsi="Newsreader" w:cs="Newsreader"/>
          <w:b w:val="0"/>
          <w:i w:val="0"/>
          <w:color w:val="161412"/>
        </w:rPr>
        <w:t xml:space="preserve">Este capítulo deja en manos del lector un instrumento, no un resultado: seis protocolos, una ficha y una tabla de interpretación. La validación semántica cierra el circuito entre lo que el sistema quiso decir, lo que mostró y lo que el usuario entendió — y ese circuito solo puede cerrarlo quien tiene delante a sus usuarios.</w:t>
      </w:r>
    </w:p>
    <w:p>
      <w:pPr>
        <w:spacing w:before="160" w:after="40"/>
        <w:pBdr>
          <w:left w:val="single" w:sz="18" w:space="12" w:color="1F3A5F"/>
        </w:pBdr>
      </w:pPr>
      <w:r>
        <w:rPr>
          <w:rFonts w:ascii="IBM Plex Sans" w:hAnsi="IBM Plex Sans" w:cs="IBM Plex Sans"/>
          <w:b/>
          <w:color w:val="1F3A5F"/>
          <w:sz w:val="16"/>
        </w:rPr>
        <w:t xml:space="preserve">DISTINCIÓN</w:t>
      </w:r>
    </w:p>
    <w:p>
      <w:pPr>
        <w:spacing w:after="120" w:line="312" w:lineRule="auto"/>
        <w:pBdr>
          <w:left w:val="single" w:sz="18" w:space="12" w:color="1F3A5F"/>
        </w:pBdr>
      </w:pPr>
      <w:r>
        <w:rPr>
          <w:rFonts w:ascii="Newsreader" w:hAnsi="Newsreader" w:cs="Newsreader"/>
          <w:b w:val="0"/>
          <w:i/>
          <w:color w:val="3A352F"/>
        </w:rPr>
        <w:t xml:space="preserve">Una semántica perceptiva no debe defenderse solo porque suene coherente. Debe poder ponerse a prueba.</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Si el usuario interpreta otro evento distinto del que el sistema quería comunicar, la semántica falló aunque la interfaz funcione.</w:t>
      </w:r>
    </w:p>
    <w:p>
      <w:r>
        <w:br w:type="page"/>
      </w:r>
    </w:p>
    <w:p>
      <w:pPr>
        <w:spacing w:after="40"/>
      </w:pPr>
      <w:r>
        <w:rPr>
          <w:rFonts w:ascii="IBM Plex Sans" w:hAnsi="IBM Plex Sans" w:cs="IBM Plex Sans"/>
          <w:b/>
          <w:color w:val="1F3A5F"/>
          <w:sz w:val="18"/>
        </w:rPr>
        <w:t>CAPÍTULO 36</w:t>
      </w:r>
    </w:p>
    <w:p>
      <w:pPr>
        <w:spacing w:after="80" w:line="240" w:lineRule="auto"/>
      </w:pPr>
      <w:r>
        <w:rPr>
          <w:rFonts w:ascii="IBM Plex Sans" w:hAnsi="IBM Plex Sans" w:cs="IBM Plex Sans"/>
          <w:color w:val="161412"/>
          <w:sz w:val="220"/>
        </w:rPr>
        <w:t>36</w:t>
      </w:r>
    </w:p>
    <w:p>
      <w:pPr>
        <w:spacing w:after="60" w:line="240" w:lineRule="auto"/>
      </w:pPr>
      <w:r>
        <w:rPr>
          <w:rFonts w:ascii="Newsreader" w:hAnsi="Newsreader" w:cs="Newsreader"/>
          <w:color w:val="161412"/>
          <w:sz w:val="60"/>
        </w:rPr>
        <w:t>De la gramática al sistema</w:t>
      </w:r>
    </w:p>
    <w:p>
      <w:pPr>
        <w:spacing w:after="280"/>
      </w:pPr>
      <w:r>
        <w:rPr>
          <w:rFonts w:ascii="IBM Plex Sans" w:hAnsi="IBM Plex Sans" w:cs="IBM Plex Sans"/>
          <w:color w:val="6A635A"/>
          <w:sz w:val="26"/>
        </w:rPr>
        <w:t>Nombres, documentación, tokens y diseño operativo</w:t>
      </w:r>
    </w:p>
    <w:p>
      <w:pPr>
        <w:pBdr>
          <w:bottom w:val="single" w:sz="4" w:space="4" w:color="1F3A5F"/>
        </w:pBdr>
      </w:pPr>
    </w:p>
    <w:p>
      <w:pPr>
        <w:spacing w:after="120" w:line="320" w:lineRule="auto"/>
        <w:jc w:val="both"/>
      </w:pPr>
      <w:r>
        <w:rPr>
          <w:rFonts w:ascii="Newsreader" w:hAnsi="Newsreader" w:cs="Newsreader"/>
          <w:b w:val="0"/>
          <w:i w:val="0"/>
          <w:color w:val="161412"/>
        </w:rPr>
        <w:t>Una gramática de interfaz no se vuelve útil solo porque esté bien formulada. Se vuelve útil cuando puede entrar en el trabajo diario de un equipo. Cuando ayuda a nombrar eventos. Cuando permite documentar decisiones. Cuando ordena tokens. Cuando mejora revisiones de diseño. Cuando evita discusiones vagas.</w:t>
      </w:r>
    </w:p>
    <w:p>
      <w:pPr>
        <w:spacing w:before="160" w:after="40"/>
        <w:pBdr>
          <w:left w:val="single" w:sz="18" w:space="12" w:color="1F3A5F"/>
        </w:pBdr>
      </w:pPr>
      <w:r>
        <w:rPr>
          <w:rFonts w:ascii="IBM Plex Sans" w:hAnsi="IBM Plex Sans" w:cs="IBM Plex Sans"/>
          <w:b/>
          <w:color w:val="1F3A5F"/>
          <w:sz w:val="16"/>
        </w:rPr>
        <w:t>PREGUNTA DEL CAPÍTULO</w:t>
      </w:r>
    </w:p>
    <w:p>
      <w:pPr>
        <w:spacing w:after="120" w:line="312" w:lineRule="auto"/>
        <w:pBdr>
          <w:left w:val="single" w:sz="18" w:space="12" w:color="1F3A5F"/>
        </w:pBdr>
      </w:pPr>
      <w:r>
        <w:rPr>
          <w:rFonts w:ascii="Newsreader" w:hAnsi="Newsreader" w:cs="Newsreader"/>
          <w:b w:val="0"/>
          <w:i/>
          <w:color w:val="3A352F"/>
        </w:rPr>
        <w:t>¿Cómo puede una gramática así entrar en un sistema de diseño sin convertirse en un framework rígido?</w:t>
      </w:r>
    </w:p>
    <w:p>
      <w:pPr>
        <w:spacing w:before="320" w:after="40"/>
      </w:pPr>
      <w:r>
        <w:rPr>
          <w:rFonts w:ascii="IBM Plex Sans" w:hAnsi="IBM Plex Sans" w:cs="IBM Plex Sans"/>
          <w:b/>
          <w:color w:val="1F3A5F"/>
          <w:sz w:val="18"/>
        </w:rPr>
        <w:t>§ 1</w:t>
      </w:r>
    </w:p>
    <w:p>
      <w:pPr>
        <w:spacing w:after="160" w:line="240" w:lineRule="auto"/>
      </w:pPr>
      <w:r>
        <w:rPr>
          <w:rFonts w:ascii="Newsreader" w:hAnsi="Newsreader" w:cs="Newsreader"/>
          <w:color w:val="161412"/>
          <w:sz w:val="38"/>
        </w:rPr>
        <w:t>La gramática no es un framework</w:t>
      </w:r>
    </w:p>
    <w:p>
      <w:pPr>
        <w:spacing w:after="120" w:line="320" w:lineRule="auto"/>
        <w:jc w:val="both"/>
      </w:pPr>
      <w:r>
        <w:rPr>
          <w:rFonts w:ascii="Newsreader" w:hAnsi="Newsreader" w:cs="Newsreader"/>
          <w:b w:val="0"/>
          <w:i w:val="0"/>
          <w:color w:val="161412"/>
        </w:rPr>
        <w:t>Este libro no propone que todos los equipos adopten los mismos nombres internos, los mismos tokens ni la misma arquitectura. La gramática cumple otra función: obliga a distinguir funciones que la implementación no debería mezclar.</w:t>
      </w:r>
    </w:p>
    <w:p>
      <w:pPr>
        <w:spacing w:after="120" w:line="320" w:lineRule="auto"/>
        <w:jc w:val="both"/>
      </w:pPr>
      <w:r>
        <w:rPr>
          <w:rFonts w:ascii="Newsreader" w:hAnsi="Newsreader" w:cs="Newsreader"/>
          <w:b w:val="0"/>
          <w:i w:val="0"/>
          <w:color w:val="161412"/>
        </w:rPr>
        <w:t>Un equipo puede llamar a algo danger. Otro puede llamarlo destructive. Otro puede usar critical. Lo importante no es el nombre exacto. Lo importante es que el sistema distinga: risk ≠ threat ≠ loss, affirm ≠ fulfill, emerge ≠ shift, contact ≠ commit.</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La gramática no obliga a una implementación concreta. Obliga a no confundir funciones perceptivas distintas.</w:t>
      </w:r>
    </w:p>
    <w:p>
      <w:pPr>
        <w:spacing w:before="320" w:after="40"/>
      </w:pPr>
      <w:r>
        <w:rPr>
          <w:rFonts w:ascii="IBM Plex Sans" w:hAnsi="IBM Plex Sans" w:cs="IBM Plex Sans"/>
          <w:b/>
          <w:color w:val="1F3A5F"/>
          <w:sz w:val="18"/>
        </w:rPr>
        <w:t>§ 2</w:t>
      </w:r>
    </w:p>
    <w:p>
      <w:pPr>
        <w:spacing w:after="160" w:line="240" w:lineRule="auto"/>
      </w:pPr>
      <w:r>
        <w:rPr>
          <w:rFonts w:ascii="Newsreader" w:hAnsi="Newsreader" w:cs="Newsreader"/>
          <w:color w:val="161412"/>
          <w:sz w:val="38"/>
        </w:rPr>
        <w:t>Por qué llevar la gramática al sistema</w:t>
      </w:r>
    </w:p>
    <w:p>
      <w:pPr>
        <w:spacing w:after="120" w:line="320" w:lineRule="auto"/>
        <w:jc w:val="both"/>
      </w:pPr>
      <w:r>
        <w:rPr>
          <w:rFonts w:ascii="Newsreader" w:hAnsi="Newsreader" w:cs="Newsreader"/>
          <w:b w:val="0"/>
          <w:i w:val="0"/>
          <w:color w:val="161412"/>
        </w:rPr>
        <w:t>Si la gramática se queda solo en el libro, sirve para pensar. Pero si entra en el sistema, también sirve para coordinar. En muchos equipos, las decisiones sobre interfaz se reparten: diseño visual define color, frontend implementa estado, UX define copy, accesibilidad revisa foco, producto define prioridad, motion se añade al final, sonido ni se considera.</w:t>
      </w:r>
    </w:p>
    <w:p>
      <w:pPr>
        <w:spacing w:after="120" w:line="320" w:lineRule="auto"/>
        <w:jc w:val="both"/>
      </w:pPr>
      <w:r>
        <w:rPr>
          <w:rFonts w:ascii="Newsreader" w:hAnsi="Newsreader" w:cs="Newsreader"/>
          <w:b w:val="0"/>
          <w:i w:val="0"/>
          <w:color w:val="161412"/>
        </w:rPr>
        <w:t>La gramática permite alinear esas decisiones alrededor de un evento. Por ejemplo, signal.warn + risk implica: copy que explica un problema corregible, color que refuerza advertencia sin amenaza, forma que localiza el problema, motion contenido, accesibilidad que persiste y vincula al campo.</w:t>
      </w:r>
    </w:p>
    <w:p>
      <w:pPr>
        <w:spacing w:before="200" w:after="60"/>
        <w:jc w:val="center"/>
      </w:pPr>
      <w:r>
        <w:drawing>
          <wp:inline xmlns:a="http://schemas.openxmlformats.org/drawingml/2006/main" xmlns:pic="http://schemas.openxmlformats.org/drawingml/2006/picture">
            <wp:extent cx="5029200" cy="2652903"/>
            <wp:docPr id="86" name="Picture 86"/>
            <wp:cNvGraphicFramePr>
              <a:graphicFrameLocks noChangeAspect="1"/>
            </wp:cNvGraphicFramePr>
            <a:graphic>
              <a:graphicData uri="http://schemas.openxmlformats.org/drawingml/2006/picture">
                <pic:pic>
                  <pic:nvPicPr>
                    <pic:cNvPr id="0" name="figura-36-1.png"/>
                    <pic:cNvPicPr/>
                  </pic:nvPicPr>
                  <pic:blipFill>
                    <a:blip r:embed="rId94"/>
                    <a:stretch>
                      <a:fillRect/>
                    </a:stretch>
                  </pic:blipFill>
                  <pic:spPr>
                    <a:xfrm>
                      <a:off x="0" y="0"/>
                      <a:ext cx="5029200" cy="2652903"/>
                    </a:xfrm>
                    <a:prstGeom prst="rect"/>
                  </pic:spPr>
                </pic:pic>
              </a:graphicData>
            </a:graphic>
          </wp:inline>
        </w:drawing>
      </w:r>
    </w:p>
    <w:p>
      <w:pPr>
        <w:spacing w:before="320" w:after="40"/>
      </w:pPr>
      <w:r>
        <w:rPr>
          <w:rFonts w:ascii="IBM Plex Sans" w:hAnsi="IBM Plex Sans" w:cs="IBM Plex Sans"/>
          <w:b/>
          <w:color w:val="1F3A5F"/>
          <w:sz w:val="18"/>
        </w:rPr>
        <w:t>§ 3</w:t>
      </w:r>
    </w:p>
    <w:p>
      <w:pPr>
        <w:spacing w:after="160" w:line="240" w:lineRule="auto"/>
      </w:pPr>
      <w:r>
        <w:rPr>
          <w:rFonts w:ascii="Newsreader" w:hAnsi="Newsreader" w:cs="Newsreader"/>
          <w:color w:val="161412"/>
          <w:sz w:val="38"/>
        </w:rPr>
        <w:t>Tres niveles de adopción</w:t>
      </w:r>
    </w:p>
    <w:p>
      <w:pPr>
        <w:spacing w:after="120" w:line="320" w:lineRule="auto"/>
        <w:jc w:val="both"/>
      </w:pPr>
      <w:r>
        <w:rPr>
          <w:rFonts w:ascii="Newsreader" w:hAnsi="Newsreader" w:cs="Newsreader"/>
          <w:b w:val="0"/>
          <w:i w:val="0"/>
          <w:color w:val="161412"/>
        </w:rPr>
        <w:t>3.1. NIVEL CONCEPTUAL</w:t>
      </w:r>
    </w:p>
    <w:p>
      <w:pPr>
        <w:spacing w:after="120" w:line="320" w:lineRule="auto"/>
        <w:jc w:val="both"/>
      </w:pPr>
      <w:r>
        <w:rPr>
          <w:rFonts w:ascii="Newsreader" w:hAnsi="Newsreader" w:cs="Newsreader"/>
          <w:b w:val="0"/>
          <w:i w:val="0"/>
          <w:color w:val="161412"/>
        </w:rPr>
        <w:t>El equipo usa la gramática como lenguaje de revisión. Preguntas típicas: ¿esto es contact o commit? ¿esto es risk o threat? ¿esta desaparición es hide o loss? No requiere cambiar código ni tokens. Solo requiere cambiar cómo se conversa.</w:t>
      </w:r>
    </w:p>
    <w:p>
      <w:pPr>
        <w:spacing w:after="120" w:line="320" w:lineRule="auto"/>
        <w:jc w:val="both"/>
      </w:pPr>
      <w:r>
        <w:rPr>
          <w:rFonts w:ascii="Newsreader" w:hAnsi="Newsreader" w:cs="Newsreader"/>
          <w:b w:val="0"/>
          <w:i w:val="0"/>
          <w:color w:val="161412"/>
        </w:rPr>
        <w:t>3.2. NIVEL DOCUMENTAL</w:t>
      </w:r>
    </w:p>
    <w:p>
      <w:pPr>
        <w:spacing w:after="120" w:line="320" w:lineRule="auto"/>
        <w:jc w:val="both"/>
      </w:pPr>
      <w:r>
        <w:rPr>
          <w:rFonts w:ascii="Newsreader" w:hAnsi="Newsreader" w:cs="Newsreader"/>
          <w:b w:val="0"/>
          <w:i w:val="0"/>
          <w:color w:val="161412"/>
        </w:rPr>
        <w:t>El sistema de diseño documenta eventos semánticos. Cada evento tiene pregunta perceptiva, canales recomendados, errores comunes, accesibilidad y ejemplos. Aquí la gramática se vuelve documentación.</w:t>
      </w:r>
    </w:p>
    <w:p>
      <w:pPr>
        <w:spacing w:after="120" w:line="320" w:lineRule="auto"/>
        <w:jc w:val="both"/>
      </w:pPr>
      <w:r>
        <w:rPr>
          <w:rFonts w:ascii="Newsreader" w:hAnsi="Newsreader" w:cs="Newsreader"/>
          <w:b w:val="0"/>
          <w:i w:val="0"/>
          <w:color w:val="161412"/>
        </w:rPr>
        <w:t>3.3. NIVEL OPERATIVO</w:t>
      </w:r>
    </w:p>
    <w:p>
      <w:pPr>
        <w:spacing w:after="120" w:line="320" w:lineRule="auto"/>
        <w:jc w:val="both"/>
      </w:pPr>
      <w:r>
        <w:rPr>
          <w:rFonts w:ascii="Newsreader" w:hAnsi="Newsreader" w:cs="Newsreader"/>
          <w:b w:val="0"/>
          <w:i w:val="0"/>
          <w:color w:val="161412"/>
        </w:rPr>
        <w:t>La gramática entra en tokens, componentes, eventos declarativos o herramientas. Este nivel es más potente pero también más peligroso. Si se implementa sin criterio, puede convertirse en rigidez.</w:t>
      </w:r>
    </w:p>
    <w:p>
      <w:pPr>
        <w:spacing w:before="320" w:after="40"/>
      </w:pPr>
      <w:r>
        <w:rPr>
          <w:rFonts w:ascii="IBM Plex Sans" w:hAnsi="IBM Plex Sans" w:cs="IBM Plex Sans"/>
          <w:b/>
          <w:color w:val="1F3A5F"/>
          <w:sz w:val="18"/>
        </w:rPr>
        <w:t>§ 4</w:t>
      </w:r>
    </w:p>
    <w:p>
      <w:pPr>
        <w:spacing w:after="160" w:line="240" w:lineRule="auto"/>
      </w:pPr>
      <w:r>
        <w:rPr>
          <w:rFonts w:ascii="Newsreader" w:hAnsi="Newsreader" w:cs="Newsreader"/>
          <w:color w:val="161412"/>
          <w:sz w:val="38"/>
        </w:rPr>
        <w:t>Naming: nombrar eventos, no efectos</w:t>
      </w:r>
    </w:p>
    <w:p>
      <w:pPr>
        <w:spacing w:after="120" w:line="320" w:lineRule="auto"/>
        <w:jc w:val="both"/>
      </w:pPr>
      <w:r>
        <w:rPr>
          <w:rFonts w:ascii="Newsreader" w:hAnsi="Newsreader" w:cs="Newsreader"/>
          <w:b w:val="0"/>
          <w:i w:val="0"/>
          <w:color w:val="161412"/>
        </w:rPr>
        <w:t>Muchos sistemas nombran por apariencia (red-alert, green-success, slide-in, shake-error) o por componente (ButtonDanger, SuccessToast, ErrorModal). Ese naming mezcla planos.</w:t>
      </w:r>
    </w:p>
    <w:p>
      <w:pPr>
        <w:spacing w:after="120" w:line="320" w:lineRule="auto"/>
        <w:jc w:val="both"/>
      </w:pPr>
      <w:r>
        <w:rPr>
          <w:rFonts w:ascii="Newsreader" w:hAnsi="Newsreader" w:cs="Newsreader"/>
          <w:b w:val="0"/>
          <w:i w:val="0"/>
          <w:color w:val="161412"/>
        </w:rPr>
        <w:t>Una gramática semántica intenta nombrar por evento: contact.press, commit.save + affirm, signal.warn + risk, commit.delete + loss.</w:t>
      </w:r>
    </w:p>
    <w:p>
      <w:pPr>
        <w:spacing w:before="320" w:after="40"/>
      </w:pPr>
      <w:r>
        <w:rPr>
          <w:rFonts w:ascii="IBM Plex Sans" w:hAnsi="IBM Plex Sans" w:cs="IBM Plex Sans"/>
          <w:b/>
          <w:color w:val="1F3A5F"/>
          <w:sz w:val="18"/>
        </w:rPr>
        <w:t>§ 5</w:t>
      </w:r>
    </w:p>
    <w:p>
      <w:pPr>
        <w:spacing w:after="160" w:line="240" w:lineRule="auto"/>
      </w:pPr>
      <w:r>
        <w:rPr>
          <w:rFonts w:ascii="Newsreader" w:hAnsi="Newsreader" w:cs="Newsreader"/>
          <w:color w:val="161412"/>
          <w:sz w:val="38"/>
        </w:rPr>
        <w:t>Tokens semánticos</w:t>
      </w:r>
    </w:p>
    <w:p>
      <w:pPr>
        <w:spacing w:after="120" w:line="320" w:lineRule="auto"/>
        <w:jc w:val="both"/>
      </w:pPr>
      <w:r>
        <w:rPr>
          <w:rFonts w:ascii="Newsreader" w:hAnsi="Newsreader" w:cs="Newsreader"/>
          <w:b w:val="0"/>
          <w:i w:val="0"/>
          <w:color w:val="161412"/>
        </w:rPr>
        <w:t>Los tokens suelen organizarse por propiedades: color.red.500, duration.200, shadow.lg. Eso es necesario pero no suficiente. Una gramática semántica no sustituye esos tokens. Los organiza en un nivel superior. Pero hay que pensar en firmas perceptivas, no en tokens de intent que parezcan tokens de color.</w:t>
      </w:r>
    </w:p>
    <w:p>
      <w:pPr>
        <w:spacing w:before="200" w:after="60"/>
        <w:jc w:val="center"/>
      </w:pPr>
      <w:r>
        <w:drawing>
          <wp:inline xmlns:a="http://schemas.openxmlformats.org/drawingml/2006/main" xmlns:pic="http://schemas.openxmlformats.org/drawingml/2006/picture">
            <wp:extent cx="5029200" cy="2514600"/>
            <wp:docPr id="87" name="Picture 87"/>
            <wp:cNvGraphicFramePr>
              <a:graphicFrameLocks noChangeAspect="1"/>
            </wp:cNvGraphicFramePr>
            <a:graphic>
              <a:graphicData uri="http://schemas.openxmlformats.org/drawingml/2006/picture">
                <pic:pic>
                  <pic:nvPicPr>
                    <pic:cNvPr id="0" name="figura-36-2.png"/>
                    <pic:cNvPicPr/>
                  </pic:nvPicPr>
                  <pic:blipFill>
                    <a:blip r:embed="rId95"/>
                    <a:stretch>
                      <a:fillRect/>
                    </a:stretch>
                  </pic:blipFill>
                  <pic:spPr>
                    <a:xfrm>
                      <a:off x="0" y="0"/>
                      <a:ext cx="5029200" cy="2514600"/>
                    </a:xfrm>
                    <a:prstGeom prst="rect"/>
                  </pic:spPr>
                </pic:pic>
              </a:graphicData>
            </a:graphic>
          </wp:inline>
        </w:drawing>
      </w:r>
    </w:p>
    <w:p>
      <w:pPr>
        <w:spacing w:before="320" w:after="40"/>
      </w:pPr>
      <w:r>
        <w:rPr>
          <w:rFonts w:ascii="IBM Plex Sans" w:hAnsi="IBM Plex Sans" w:cs="IBM Plex Sans"/>
          <w:b/>
          <w:color w:val="1F3A5F"/>
          <w:sz w:val="18"/>
        </w:rPr>
        <w:t>§ 6</w:t>
      </w:r>
    </w:p>
    <w:p>
      <w:pPr>
        <w:spacing w:after="160" w:line="240" w:lineRule="auto"/>
      </w:pPr>
      <w:r>
        <w:rPr>
          <w:rFonts w:ascii="Newsreader" w:hAnsi="Newsreader" w:cs="Newsreader"/>
          <w:color w:val="161412"/>
          <w:sz w:val="38"/>
        </w:rPr>
        <w:t>Firma perceptiva</w:t>
      </w:r>
    </w:p>
    <w:p>
      <w:pPr>
        <w:spacing w:after="120" w:line="320" w:lineRule="auto"/>
        <w:jc w:val="both"/>
      </w:pPr>
      <w:r>
        <w:rPr>
          <w:rFonts w:ascii="Newsreader" w:hAnsi="Newsreader" w:cs="Newsreader"/>
          <w:b w:val="0"/>
          <w:i w:val="0"/>
          <w:color w:val="161412"/>
        </w:rPr>
        <w:t>Una firma perceptiva es el conjunto de decisiones de canal asociadas a un evento. Por ejemplo, commit.save + affirm: tiempo breve, motion asentamiento mínimo, forma marca persistente, color positivo discreto, sonido no por defecto. La firma perceptiva evita que cada canal se decida por separado.</w:t>
      </w:r>
    </w:p>
    <w:p>
      <w:pPr>
        <w:spacing w:before="320" w:after="40"/>
      </w:pPr>
      <w:r>
        <w:rPr>
          <w:rFonts w:ascii="IBM Plex Sans" w:hAnsi="IBM Plex Sans" w:cs="IBM Plex Sans"/>
          <w:b/>
          <w:color w:val="1F3A5F"/>
          <w:sz w:val="18"/>
        </w:rPr>
        <w:t>§ 7</w:t>
      </w:r>
    </w:p>
    <w:p>
      <w:pPr>
        <w:spacing w:after="160" w:line="240" w:lineRule="auto"/>
      </w:pPr>
      <w:r>
        <w:rPr>
          <w:rFonts w:ascii="Newsreader" w:hAnsi="Newsreader" w:cs="Newsreader"/>
          <w:color w:val="161412"/>
          <w:sz w:val="38"/>
        </w:rPr>
        <w:t>Fichas de evento semántico</w:t>
      </w:r>
    </w:p>
    <w:p>
      <w:pPr>
        <w:spacing w:after="120" w:line="320" w:lineRule="auto"/>
        <w:jc w:val="both"/>
      </w:pPr>
      <w:r>
        <w:rPr>
          <w:rFonts w:ascii="Newsreader" w:hAnsi="Newsreader" w:cs="Newsreader"/>
          <w:b w:val="0"/>
          <w:i w:val="0"/>
          <w:color w:val="161412"/>
        </w:rPr>
        <w:t>Una documentación de sistema podría incluir fichas como esta:</w:t>
      </w:r>
    </w:p>
    <w:p>
      <w:pPr>
        <w:spacing w:after="120" w:line="320" w:lineRule="auto"/>
        <w:jc w:val="both"/>
      </w:pPr>
      <w:r>
        <w:rPr>
          <w:rFonts w:ascii="Newsreader" w:hAnsi="Newsreader" w:cs="Newsreader"/>
          <w:b w:val="0"/>
          <w:i w:val="0"/>
          <w:color w:val="161412"/>
        </w:rPr>
        <w:t>Ficha: commit.delete + loss. Pregunta: ¿qué dejó de estar disponible? Canales dominantes: presencia, forma, texto. Canales de apoyo: color, motion, sonido opcional. Firma perceptiva: retirada del objeto, mensaje de consecuencia, huella o registro, undo si existe. Accesibilidad: no depender solo de desaparición visual, anunciar pérdida si procede, mantener undo el tiempo suficiente. No usar: alarma sostenida de threat, solo color rojo, fade out sin huella. Antipatrones cercanos: todo es danger, pérdida sin huella, threat después de loss.</w:t>
      </w:r>
    </w:p>
    <w:p>
      <w:pPr>
        <w:spacing w:after="120" w:line="320" w:lineRule="auto"/>
        <w:jc w:val="both"/>
      </w:pPr>
      <w:r>
        <w:rPr>
          <w:rFonts w:ascii="Newsreader" w:hAnsi="Newsreader" w:cs="Newsreader"/>
          <w:b w:val="0"/>
          <w:i w:val="0"/>
          <w:color w:val="161412"/>
        </w:rPr>
        <w:t>Ficha: signal.warn + risk. Pregunta: ¿qué requiere revisión? Canales dominantes: forma, texto, presencia. Firma: callout local, mensaje claro, persistencia hasta corrección, color moderado. Accesibilidad: mensaje vinculado al campo, no depender solo de color, no desaparecer automáticamente. No usar: alarma de threat, modal si no cambia el marco, shake agresivo.</w:t>
      </w:r>
    </w:p>
    <w:p>
      <w:pPr>
        <w:spacing w:after="120" w:line="320" w:lineRule="auto"/>
        <w:jc w:val="both"/>
      </w:pPr>
      <w:r>
        <w:rPr>
          <w:rFonts w:ascii="Newsreader" w:hAnsi="Newsreader" w:cs="Newsreader"/>
          <w:b w:val="0"/>
          <w:i w:val="0"/>
          <w:color w:val="161412"/>
        </w:rPr>
        <w:t>Ficha: commit.complete + fulfill. Pregunta: ¿qué objetivo quedó cumplido? Canales dominantes: motion, presencia, forma. Firma: cierre resolutivo, marca de completado, color positivo visible, sonido breve opcional. No usar: success genérico para todo, celebración excesiva, desaparición sin estado final.</w:t>
      </w:r>
    </w:p>
    <w:p>
      <w:pPr>
        <w:spacing w:before="200" w:after="60"/>
        <w:jc w:val="center"/>
      </w:pPr>
      <w:r>
        <w:drawing>
          <wp:inline xmlns:a="http://schemas.openxmlformats.org/drawingml/2006/main" xmlns:pic="http://schemas.openxmlformats.org/drawingml/2006/picture">
            <wp:extent cx="5029200" cy="2652903"/>
            <wp:docPr id="88" name="Picture 88"/>
            <wp:cNvGraphicFramePr>
              <a:graphicFrameLocks noChangeAspect="1"/>
            </wp:cNvGraphicFramePr>
            <a:graphic>
              <a:graphicData uri="http://schemas.openxmlformats.org/drawingml/2006/picture">
                <pic:pic>
                  <pic:nvPicPr>
                    <pic:cNvPr id="0" name="figura-36-3.png"/>
                    <pic:cNvPicPr/>
                  </pic:nvPicPr>
                  <pic:blipFill>
                    <a:blip r:embed="rId96"/>
                    <a:stretch>
                      <a:fillRect/>
                    </a:stretch>
                  </pic:blipFill>
                  <pic:spPr>
                    <a:xfrm>
                      <a:off x="0" y="0"/>
                      <a:ext cx="5029200" cy="2652903"/>
                    </a:xfrm>
                    <a:prstGeom prst="rect"/>
                  </pic:spPr>
                </pic:pic>
              </a:graphicData>
            </a:graphic>
          </wp:inline>
        </w:drawing>
      </w:r>
    </w:p>
    <w:p>
      <w:pPr>
        <w:spacing w:before="320" w:after="40"/>
      </w:pPr>
      <w:r>
        <w:rPr>
          <w:rFonts w:ascii="IBM Plex Sans" w:hAnsi="IBM Plex Sans" w:cs="IBM Plex Sans"/>
          <w:b/>
          <w:color w:val="1F3A5F"/>
          <w:sz w:val="18"/>
        </w:rPr>
        <w:t>§ 8</w:t>
      </w:r>
    </w:p>
    <w:p>
      <w:pPr>
        <w:spacing w:after="160" w:line="240" w:lineRule="auto"/>
      </w:pPr>
      <w:r>
        <w:rPr>
          <w:rFonts w:ascii="Newsreader" w:hAnsi="Newsreader" w:cs="Newsreader"/>
          <w:color w:val="161412"/>
          <w:sz w:val="38"/>
        </w:rPr>
        <w:t>Documentar decisiones, no solo componentes</w:t>
      </w:r>
    </w:p>
    <w:p>
      <w:pPr>
        <w:spacing w:after="120" w:line="320" w:lineRule="auto"/>
        <w:jc w:val="both"/>
      </w:pPr>
      <w:r>
        <w:rPr>
          <w:rFonts w:ascii="Newsreader" w:hAnsi="Newsreader" w:cs="Newsreader"/>
          <w:b w:val="0"/>
          <w:i w:val="0"/>
          <w:color w:val="161412"/>
        </w:rPr>
        <w:t>Un design system suele documentar componentes: Button, Modal, Toast, Tooltip, Spinner. Pero un botón puede participar en contact.press, commit.delete + loss, signal.warn + threat, shift.navigate. Un modal puede participar en shift.enter-mode, signal.alert + threat, commit.cancel + neutral. La documentación debería incluir una capa de eventos, no solo de componentes.</w:t>
      </w:r>
    </w:p>
    <w:p>
      <w:pPr>
        <w:spacing w:before="320" w:after="40"/>
      </w:pPr>
      <w:r>
        <w:rPr>
          <w:rFonts w:ascii="IBM Plex Sans" w:hAnsi="IBM Plex Sans" w:cs="IBM Plex Sans"/>
          <w:b/>
          <w:color w:val="1F3A5F"/>
          <w:sz w:val="18"/>
        </w:rPr>
        <w:t>§ 9</w:t>
      </w:r>
    </w:p>
    <w:p>
      <w:pPr>
        <w:spacing w:after="160" w:line="240" w:lineRule="auto"/>
      </w:pPr>
      <w:r>
        <w:rPr>
          <w:rFonts w:ascii="Newsreader" w:hAnsi="Newsreader" w:cs="Newsreader"/>
          <w:color w:val="161412"/>
          <w:sz w:val="38"/>
        </w:rPr>
        <w:t>Tokens de canal y tokens de evento</w:t>
      </w:r>
    </w:p>
    <w:p>
      <w:pPr>
        <w:spacing w:after="120" w:line="320" w:lineRule="auto"/>
        <w:jc w:val="both"/>
      </w:pPr>
      <w:r>
        <w:rPr>
          <w:rFonts w:ascii="Newsreader" w:hAnsi="Newsreader" w:cs="Newsreader"/>
          <w:b w:val="0"/>
          <w:i w:val="0"/>
          <w:color w:val="161412"/>
        </w:rPr>
        <w:t>Tokens de canal definen propiedades perceptivas básicas: color.red.600, motion.duration.short. Tokens de evento agrupan decisiones por semántica: event.signal.warn.risk podría mapear a color intent.risk.color, shape callout.warning, duration persistent.untilResolved. El token de evento no reemplaza los tokens de canal. Los coordina.</w:t>
      </w:r>
    </w:p>
    <w:p>
      <w:pPr>
        <w:spacing w:before="320" w:after="40"/>
      </w:pPr>
      <w:r>
        <w:rPr>
          <w:rFonts w:ascii="IBM Plex Sans" w:hAnsi="IBM Plex Sans" w:cs="IBM Plex Sans"/>
          <w:b/>
          <w:color w:val="1F3A5F"/>
          <w:sz w:val="18"/>
        </w:rPr>
        <w:t>§ 10</w:t>
      </w:r>
    </w:p>
    <w:p>
      <w:pPr>
        <w:spacing w:after="160" w:line="240" w:lineRule="auto"/>
      </w:pPr>
      <w:r>
        <w:rPr>
          <w:rFonts w:ascii="Newsreader" w:hAnsi="Newsreader" w:cs="Newsreader"/>
          <w:color w:val="161412"/>
          <w:sz w:val="38"/>
        </w:rPr>
        <w:t>Cuidado: tokens no son verdad</w:t>
      </w:r>
    </w:p>
    <w:p>
      <w:pPr>
        <w:spacing w:after="120" w:line="320" w:lineRule="auto"/>
        <w:jc w:val="both"/>
      </w:pPr>
      <w:r>
        <w:rPr>
          <w:rFonts w:ascii="Newsreader" w:hAnsi="Newsreader" w:cs="Newsreader"/>
          <w:b w:val="0"/>
          <w:i w:val="0"/>
          <w:color w:val="161412"/>
        </w:rPr>
        <w:t>Si el sistema convierte la gramática en tokens demasiado rígidos, puede matar la adaptación contextual. Un signal.warn + risk en un campo de formulario no es igual que en una operación financiera. La gramática orienta. No sustituye al juicio.</w:t>
      </w:r>
    </w:p>
    <w:p>
      <w:pPr>
        <w:spacing w:before="160" w:after="40"/>
        <w:pBdr>
          <w:left w:val="single" w:sz="18" w:space="12" w:color="1F3A5F"/>
        </w:pBdr>
      </w:pPr>
      <w:r>
        <w:rPr>
          <w:rFonts w:ascii="IBM Plex Sans" w:hAnsi="IBM Plex Sans" w:cs="IBM Plex Sans"/>
          <w:b/>
          <w:color w:val="1F3A5F"/>
          <w:sz w:val="16"/>
        </w:rPr>
        <w:t>DISTINCIÓN</w:t>
      </w:r>
    </w:p>
    <w:p>
      <w:pPr>
        <w:spacing w:after="120" w:line="312" w:lineRule="auto"/>
        <w:pBdr>
          <w:left w:val="single" w:sz="18" w:space="12" w:color="1F3A5F"/>
        </w:pBdr>
      </w:pPr>
      <w:r>
        <w:rPr>
          <w:rFonts w:ascii="Newsreader" w:hAnsi="Newsreader" w:cs="Newsreader"/>
          <w:b w:val="0"/>
          <w:i/>
          <w:color w:val="3A352F"/>
        </w:rPr>
        <w:t>Un token semántico no debe congelar la experiencia. Debe impedir que se confundan funciones distintas.</w:t>
      </w:r>
    </w:p>
    <w:p>
      <w:pPr>
        <w:spacing w:before="320" w:after="40"/>
      </w:pPr>
      <w:r>
        <w:rPr>
          <w:rFonts w:ascii="IBM Plex Sans" w:hAnsi="IBM Plex Sans" w:cs="IBM Plex Sans"/>
          <w:b/>
          <w:color w:val="1F3A5F"/>
          <w:sz w:val="18"/>
        </w:rPr>
        <w:t>§ 11</w:t>
      </w:r>
    </w:p>
    <w:p>
      <w:pPr>
        <w:spacing w:after="160" w:line="240" w:lineRule="auto"/>
      </w:pPr>
      <w:r>
        <w:rPr>
          <w:rFonts w:ascii="Newsreader" w:hAnsi="Newsreader" w:cs="Newsreader"/>
          <w:color w:val="161412"/>
          <w:sz w:val="38"/>
        </w:rPr>
        <w:t>Cómo usarlo en revisión de diseño</w:t>
      </w:r>
    </w:p>
    <w:p>
      <w:pPr>
        <w:spacing w:after="120" w:line="320" w:lineRule="auto"/>
        <w:jc w:val="both"/>
      </w:pPr>
      <w:r>
        <w:rPr>
          <w:rFonts w:ascii="Newsreader" w:hAnsi="Newsreader" w:cs="Newsreader"/>
          <w:b w:val="0"/>
          <w:i w:val="0"/>
          <w:color w:val="161412"/>
        </w:rPr>
        <w:t>En lugar de decir «el modal se siente raro» podemos preguntar: ¿es realmente shift o solo emerge? ¿el intent vive en el mensaje o en el contenedor? ¿el commit deja huella? ¿el signal persiste lo suficiente? ¿la semántica sobrevive sin motion?</w:t>
      </w:r>
    </w:p>
    <w:p>
      <w:pPr>
        <w:spacing w:before="200" w:after="60"/>
        <w:jc w:val="center"/>
      </w:pPr>
      <w:r>
        <w:drawing>
          <wp:inline xmlns:a="http://schemas.openxmlformats.org/drawingml/2006/main" xmlns:pic="http://schemas.openxmlformats.org/drawingml/2006/picture">
            <wp:extent cx="5029200" cy="2376297"/>
            <wp:docPr id="89" name="Picture 89"/>
            <wp:cNvGraphicFramePr>
              <a:graphicFrameLocks noChangeAspect="1"/>
            </wp:cNvGraphicFramePr>
            <a:graphic>
              <a:graphicData uri="http://schemas.openxmlformats.org/drawingml/2006/picture">
                <pic:pic>
                  <pic:nvPicPr>
                    <pic:cNvPr id="0" name="figura-36-4.png"/>
                    <pic:cNvPicPr/>
                  </pic:nvPicPr>
                  <pic:blipFill>
                    <a:blip r:embed="rId97"/>
                    <a:stretch>
                      <a:fillRect/>
                    </a:stretch>
                  </pic:blipFill>
                  <pic:spPr>
                    <a:xfrm>
                      <a:off x="0" y="0"/>
                      <a:ext cx="5029200" cy="2376297"/>
                    </a:xfrm>
                    <a:prstGeom prst="rect"/>
                  </pic:spPr>
                </pic:pic>
              </a:graphicData>
            </a:graphic>
          </wp:inline>
        </w:drawing>
      </w:r>
    </w:p>
    <w:p>
      <w:pPr>
        <w:spacing w:before="320" w:after="40"/>
      </w:pPr>
      <w:r>
        <w:rPr>
          <w:rFonts w:ascii="IBM Plex Sans" w:hAnsi="IBM Plex Sans" w:cs="IBM Plex Sans"/>
          <w:b/>
          <w:color w:val="1F3A5F"/>
          <w:sz w:val="18"/>
        </w:rPr>
        <w:t>§ 12</w:t>
      </w:r>
    </w:p>
    <w:p>
      <w:pPr>
        <w:spacing w:after="160" w:line="240" w:lineRule="auto"/>
      </w:pPr>
      <w:r>
        <w:rPr>
          <w:rFonts w:ascii="Newsreader" w:hAnsi="Newsreader" w:cs="Newsreader"/>
          <w:color w:val="161412"/>
          <w:sz w:val="38"/>
        </w:rPr>
        <w:t>De la gramática al sistema sin dogmatismo</w:t>
      </w:r>
    </w:p>
    <w:p>
      <w:pPr>
        <w:spacing w:after="120" w:line="320" w:lineRule="auto"/>
        <w:jc w:val="both"/>
      </w:pPr>
      <w:r>
        <w:rPr>
          <w:rFonts w:ascii="Newsreader" w:hAnsi="Newsreader" w:cs="Newsreader"/>
          <w:b w:val="0"/>
          <w:i w:val="0"/>
          <w:color w:val="161412"/>
        </w:rPr>
        <w:t>El peligro de toda gramática es convertirse en policía. Este libro no propone eso. La pregunta no es «¿hemos aplicado la taxonomía de forma perfecta?» sino «¿hemos evitado confundir eventos perceptivamente distintos?»</w:t>
      </w:r>
    </w:p>
    <w:p>
      <w:pPr>
        <w:spacing w:before="320" w:after="40"/>
      </w:pPr>
      <w:r>
        <w:rPr>
          <w:rFonts w:ascii="IBM Plex Sans" w:hAnsi="IBM Plex Sans" w:cs="IBM Plex Sans"/>
          <w:b/>
          <w:color w:val="1F3A5F"/>
          <w:sz w:val="18"/>
        </w:rPr>
        <w:t>§ 13</w:t>
      </w:r>
    </w:p>
    <w:p>
      <w:pPr>
        <w:spacing w:after="160" w:line="240" w:lineRule="auto"/>
      </w:pPr>
      <w:r>
        <w:rPr>
          <w:rFonts w:ascii="Newsreader" w:hAnsi="Newsreader" w:cs="Newsreader"/>
          <w:color w:val="161412"/>
          <w:sz w:val="38"/>
        </w:rPr>
        <w:t>Síntesis</w:t>
      </w:r>
    </w:p>
    <w:p>
      <w:pPr>
        <w:spacing w:after="120" w:line="320" w:lineRule="auto"/>
        <w:jc w:val="both"/>
      </w:pPr>
      <w:r>
        <w:rPr>
          <w:rFonts w:ascii="Newsreader" w:hAnsi="Newsreader" w:cs="Newsreader"/>
          <w:b w:val="0"/>
          <w:i w:val="0"/>
          <w:color w:val="161412"/>
        </w:rPr>
        <w:t>Convertir la gramática en sistema no significa construir un framework universal. Significa introducir una capa de lenguaje donde antes solo había componentes, estilos y efectos.</w:t>
      </w:r>
    </w:p>
    <w:p>
      <w:pPr>
        <w:spacing w:before="160" w:after="40"/>
        <w:pBdr>
          <w:left w:val="single" w:sz="18" w:space="12" w:color="1F3A5F"/>
        </w:pBdr>
      </w:pPr>
      <w:r>
        <w:rPr>
          <w:rFonts w:ascii="IBM Plex Sans" w:hAnsi="IBM Plex Sans" w:cs="IBM Plex Sans"/>
          <w:b/>
          <w:color w:val="1F3A5F"/>
          <w:sz w:val="16"/>
        </w:rPr>
        <w:t>DISTINCIÓN</w:t>
      </w:r>
    </w:p>
    <w:p>
      <w:pPr>
        <w:spacing w:after="120" w:line="312" w:lineRule="auto"/>
        <w:pBdr>
          <w:left w:val="single" w:sz="18" w:space="12" w:color="1F3A5F"/>
        </w:pBdr>
      </w:pPr>
      <w:r>
        <w:rPr>
          <w:rFonts w:ascii="Newsreader" w:hAnsi="Newsreader" w:cs="Newsreader"/>
          <w:b w:val="0"/>
          <w:i/>
          <w:color w:val="3A352F"/>
        </w:rPr>
        <w:t>La gramática no obliga a una implementación concreta. Obliga a distinguir funciones que la implementación no debería mezclar.</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Nombra eventos antes de nombrar efectos.</w:t>
      </w:r>
    </w:p>
    <w:p>
      <w:pPr>
        <w:spacing w:after="200" w:before="40"/>
      </w:pPr>
      <w:r>
        <w:rPr>
          <w:rFonts w:ascii="IBM Plex Sans" w:hAnsi="IBM Plex Sans" w:cs="IBM Plex Sans"/>
          <w:b/>
          <w:color w:val="1F3A5F"/>
          <w:sz w:val="17"/>
        </w:rPr>
        <w:t xml:space="preserve">TABLA 36.1   </w:t>
      </w:r>
      <w:r>
        <w:rPr>
          <w:rFonts w:ascii="IBM Plex Sans" w:hAnsi="IBM Plex Sans" w:cs="IBM Plex Sans"/>
          <w:color w:val="3A352F"/>
          <w:sz w:val="18"/>
        </w:rPr>
        <w:t xml:space="preserve">Del naming por efecto al naming semántico</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2772"/>
        <w:gridCol w:w="2772"/>
        <w:gridCol w:w="2772"/>
      </w:tblGrid>
      <w:tr>
        <w:tc>
          <w:tcPr>
            <w:tcW w:type="dxa" w:w="2772"/>
            <w:shd w:val="clear" w:color="auto" w:fill="EAE4D8"/>
          </w:tcPr>
          <w:p>
            <w:pPr>
              <w:spacing w:after="40"/>
            </w:pPr>
            <w:r>
              <w:rPr>
                <w:sz w:val="17"/>
              </w:rPr>
            </w:r>
            <w:r>
              <w:rPr>
                <w:rFonts w:ascii="IBM Plex Sans" w:hAnsi="IBM Plex Sans" w:cs="IBM Plex Sans"/>
                <w:b/>
                <w:i w:val="0"/>
                <w:color w:val="1F3A5F"/>
                <w:sz w:val="17"/>
              </w:rPr>
              <w:t>NAMING HABITUAL</w:t>
            </w:r>
          </w:p>
        </w:tc>
        <w:tc>
          <w:tcPr>
            <w:tcW w:type="dxa" w:w="2772"/>
            <w:shd w:val="clear" w:color="auto" w:fill="EAE4D8"/>
          </w:tcPr>
          <w:p>
            <w:pPr>
              <w:spacing w:after="40"/>
            </w:pPr>
            <w:r>
              <w:rPr>
                <w:sz w:val="17"/>
              </w:rPr>
            </w:r>
            <w:r>
              <w:rPr>
                <w:rFonts w:ascii="IBM Plex Sans" w:hAnsi="IBM Plex Sans" w:cs="IBM Plex Sans"/>
                <w:b/>
                <w:i w:val="0"/>
                <w:color w:val="1F3A5F"/>
                <w:sz w:val="17"/>
              </w:rPr>
              <w:t>PROBLEMA</w:t>
            </w:r>
          </w:p>
        </w:tc>
        <w:tc>
          <w:tcPr>
            <w:tcW w:type="dxa" w:w="2772"/>
            <w:shd w:val="clear" w:color="auto" w:fill="EAE4D8"/>
          </w:tcPr>
          <w:p>
            <w:pPr>
              <w:spacing w:after="40"/>
            </w:pPr>
            <w:r>
              <w:rPr>
                <w:sz w:val="17"/>
              </w:rPr>
            </w:r>
            <w:r>
              <w:rPr>
                <w:rFonts w:ascii="IBM Plex Sans" w:hAnsi="IBM Plex Sans" w:cs="IBM Plex Sans"/>
                <w:b/>
                <w:i w:val="0"/>
                <w:color w:val="1F3A5F"/>
                <w:sz w:val="17"/>
              </w:rPr>
              <w:t>NAMING SEMÁNTICO</w:t>
            </w:r>
          </w:p>
        </w:tc>
      </w:tr>
      <w:tr>
        <w:tc>
          <w:tcPr>
            <w:tcW w:type="dxa" w:w="2772"/>
          </w:tcPr>
          <w:p>
            <w:pPr>
              <w:spacing w:after="40"/>
            </w:pPr>
            <w:r>
              <w:rPr>
                <w:sz w:val="17"/>
              </w:rPr>
            </w:r>
            <w:r>
              <w:rPr>
                <w:rFonts w:ascii="IBM Plex Sans" w:hAnsi="IBM Plex Sans" w:cs="IBM Plex Sans"/>
                <w:b w:val="0"/>
                <w:i w:val="0"/>
                <w:color w:val="161412"/>
                <w:sz w:val="17"/>
              </w:rPr>
              <w:t>redAlert</w:t>
            </w:r>
          </w:p>
        </w:tc>
        <w:tc>
          <w:tcPr>
            <w:tcW w:type="dxa" w:w="2772"/>
          </w:tcPr>
          <w:p>
            <w:pPr>
              <w:spacing w:after="40"/>
            </w:pPr>
            <w:r>
              <w:rPr>
                <w:sz w:val="17"/>
              </w:rPr>
            </w:r>
            <w:r>
              <w:rPr>
                <w:rFonts w:ascii="IBM Plex Sans" w:hAnsi="IBM Plex Sans" w:cs="IBM Plex Sans"/>
                <w:b w:val="0"/>
                <w:i w:val="0"/>
                <w:color w:val="161412"/>
                <w:sz w:val="17"/>
              </w:rPr>
              <w:t>color como significado</w:t>
            </w:r>
          </w:p>
        </w:tc>
        <w:tc>
          <w:tcPr>
            <w:tcW w:type="dxa" w:w="2772"/>
          </w:tcPr>
          <w:p>
            <w:pPr>
              <w:spacing w:after="40"/>
            </w:pPr>
            <w:r>
              <w:rPr>
                <w:sz w:val="17"/>
              </w:rPr>
            </w:r>
            <w:r>
              <w:rPr>
                <w:rFonts w:ascii="IBM Plex Sans" w:hAnsi="IBM Plex Sans" w:cs="IBM Plex Sans"/>
                <w:b w:val="0"/>
                <w:i w:val="0"/>
                <w:color w:val="161412"/>
                <w:sz w:val="17"/>
              </w:rPr>
              <w:t>signal.alert + threat</w:t>
            </w:r>
          </w:p>
        </w:tc>
      </w:tr>
      <w:tr>
        <w:tc>
          <w:tcPr>
            <w:tcW w:type="dxa" w:w="2772"/>
          </w:tcPr>
          <w:p>
            <w:pPr>
              <w:spacing w:after="40"/>
            </w:pPr>
            <w:r>
              <w:rPr>
                <w:sz w:val="17"/>
              </w:rPr>
            </w:r>
            <w:r>
              <w:rPr>
                <w:rFonts w:ascii="IBM Plex Sans" w:hAnsi="IBM Plex Sans" w:cs="IBM Plex Sans"/>
                <w:b w:val="0"/>
                <w:i w:val="0"/>
                <w:color w:val="161412"/>
                <w:sz w:val="17"/>
              </w:rPr>
              <w:t>successToast</w:t>
            </w:r>
          </w:p>
        </w:tc>
        <w:tc>
          <w:tcPr>
            <w:tcW w:type="dxa" w:w="2772"/>
          </w:tcPr>
          <w:p>
            <w:pPr>
              <w:spacing w:after="40"/>
            </w:pPr>
            <w:r>
              <w:rPr>
                <w:sz w:val="17"/>
              </w:rPr>
            </w:r>
            <w:r>
              <w:rPr>
                <w:rFonts w:ascii="IBM Plex Sans" w:hAnsi="IBM Plex Sans" w:cs="IBM Plex Sans"/>
                <w:b w:val="0"/>
                <w:i w:val="0"/>
                <w:color w:val="161412"/>
                <w:sz w:val="17"/>
              </w:rPr>
              <w:t>componente + color</w:t>
            </w:r>
          </w:p>
        </w:tc>
        <w:tc>
          <w:tcPr>
            <w:tcW w:type="dxa" w:w="2772"/>
          </w:tcPr>
          <w:p>
            <w:pPr>
              <w:spacing w:after="40"/>
            </w:pPr>
            <w:r>
              <w:rPr>
                <w:sz w:val="17"/>
              </w:rPr>
            </w:r>
            <w:r>
              <w:rPr>
                <w:rFonts w:ascii="IBM Plex Sans" w:hAnsi="IBM Plex Sans" w:cs="IBM Plex Sans"/>
                <w:b w:val="0"/>
                <w:i w:val="0"/>
                <w:color w:val="161412"/>
                <w:sz w:val="17"/>
              </w:rPr>
              <w:t>commit.save + affirm</w:t>
            </w:r>
          </w:p>
        </w:tc>
      </w:tr>
      <w:tr>
        <w:tc>
          <w:tcPr>
            <w:tcW w:type="dxa" w:w="2772"/>
          </w:tcPr>
          <w:p>
            <w:pPr>
              <w:spacing w:after="40"/>
            </w:pPr>
            <w:r>
              <w:rPr>
                <w:sz w:val="17"/>
              </w:rPr>
            </w:r>
            <w:r>
              <w:rPr>
                <w:rFonts w:ascii="IBM Plex Sans" w:hAnsi="IBM Plex Sans" w:cs="IBM Plex Sans"/>
                <w:b w:val="0"/>
                <w:i w:val="0"/>
                <w:color w:val="161412"/>
                <w:sz w:val="17"/>
              </w:rPr>
              <w:t>dangerButton</w:t>
            </w:r>
          </w:p>
        </w:tc>
        <w:tc>
          <w:tcPr>
            <w:tcW w:type="dxa" w:w="2772"/>
          </w:tcPr>
          <w:p>
            <w:pPr>
              <w:spacing w:after="40"/>
            </w:pPr>
            <w:r>
              <w:rPr>
                <w:sz w:val="17"/>
              </w:rPr>
            </w:r>
            <w:r>
              <w:rPr>
                <w:rFonts w:ascii="IBM Plex Sans" w:hAnsi="IBM Plex Sans" w:cs="IBM Plex Sans"/>
                <w:b w:val="0"/>
                <w:i w:val="0"/>
                <w:color w:val="161412"/>
                <w:sz w:val="17"/>
              </w:rPr>
              <w:t>intent en componente</w:t>
            </w:r>
          </w:p>
        </w:tc>
        <w:tc>
          <w:tcPr>
            <w:tcW w:type="dxa" w:w="2772"/>
          </w:tcPr>
          <w:p>
            <w:pPr>
              <w:spacing w:after="40"/>
            </w:pPr>
            <w:r>
              <w:rPr>
                <w:sz w:val="17"/>
              </w:rPr>
            </w:r>
            <w:r>
              <w:rPr>
                <w:rFonts w:ascii="IBM Plex Sans" w:hAnsi="IBM Plex Sans" w:cs="IBM Plex Sans"/>
                <w:b w:val="0"/>
                <w:i w:val="0"/>
                <w:color w:val="161412"/>
                <w:sz w:val="17"/>
              </w:rPr>
              <w:t>commit.delete + loss</w:t>
            </w:r>
          </w:p>
        </w:tc>
      </w:tr>
      <w:tr>
        <w:tc>
          <w:tcPr>
            <w:tcW w:type="dxa" w:w="2772"/>
          </w:tcPr>
          <w:p>
            <w:pPr>
              <w:spacing w:after="40"/>
            </w:pPr>
            <w:r>
              <w:rPr>
                <w:sz w:val="17"/>
              </w:rPr>
            </w:r>
            <w:r>
              <w:rPr>
                <w:rFonts w:ascii="IBM Plex Sans" w:hAnsi="IBM Plex Sans" w:cs="IBM Plex Sans"/>
                <w:b w:val="0"/>
                <w:i w:val="0"/>
                <w:color w:val="161412"/>
                <w:sz w:val="17"/>
              </w:rPr>
              <w:t>loadingSpinner</w:t>
            </w:r>
          </w:p>
        </w:tc>
        <w:tc>
          <w:tcPr>
            <w:tcW w:type="dxa" w:w="2772"/>
          </w:tcPr>
          <w:p>
            <w:pPr>
              <w:spacing w:after="40"/>
            </w:pPr>
            <w:r>
              <w:rPr>
                <w:sz w:val="17"/>
              </w:rPr>
            </w:r>
            <w:r>
              <w:rPr>
                <w:rFonts w:ascii="IBM Plex Sans" w:hAnsi="IBM Plex Sans" w:cs="IBM Plex Sans"/>
                <w:b w:val="0"/>
                <w:i w:val="0"/>
                <w:color w:val="161412"/>
                <w:sz w:val="17"/>
              </w:rPr>
              <w:t>canal como evento</w:t>
            </w:r>
          </w:p>
        </w:tc>
        <w:tc>
          <w:tcPr>
            <w:tcW w:type="dxa" w:w="2772"/>
          </w:tcPr>
          <w:p>
            <w:pPr>
              <w:spacing w:after="40"/>
            </w:pPr>
            <w:r>
              <w:rPr>
                <w:sz w:val="17"/>
              </w:rPr>
            </w:r>
            <w:r>
              <w:rPr>
                <w:rFonts w:ascii="IBM Plex Sans" w:hAnsi="IBM Plex Sans" w:cs="IBM Plex Sans"/>
                <w:b w:val="0"/>
                <w:i w:val="0"/>
                <w:color w:val="161412"/>
                <w:sz w:val="17"/>
              </w:rPr>
              <w:t>sustain.progress</w:t>
            </w:r>
          </w:p>
        </w:tc>
      </w:tr>
      <w:tr>
        <w:tc>
          <w:tcPr>
            <w:tcW w:type="dxa" w:w="2772"/>
          </w:tcPr>
          <w:p>
            <w:pPr>
              <w:spacing w:after="40"/>
            </w:pPr>
            <w:r>
              <w:rPr>
                <w:sz w:val="17"/>
              </w:rPr>
            </w:r>
            <w:r>
              <w:rPr>
                <w:rFonts w:ascii="IBM Plex Sans" w:hAnsi="IBM Plex Sans" w:cs="IBM Plex Sans"/>
                <w:b w:val="0"/>
                <w:i w:val="0"/>
                <w:color w:val="161412"/>
                <w:sz w:val="17"/>
              </w:rPr>
              <w:t>shakeError</w:t>
            </w:r>
          </w:p>
        </w:tc>
        <w:tc>
          <w:tcPr>
            <w:tcW w:type="dxa" w:w="2772"/>
          </w:tcPr>
          <w:p>
            <w:pPr>
              <w:spacing w:after="40"/>
            </w:pPr>
            <w:r>
              <w:rPr>
                <w:sz w:val="17"/>
              </w:rPr>
            </w:r>
            <w:r>
              <w:rPr>
                <w:rFonts w:ascii="IBM Plex Sans" w:hAnsi="IBM Plex Sans" w:cs="IBM Plex Sans"/>
                <w:b w:val="0"/>
                <w:i w:val="0"/>
                <w:color w:val="161412"/>
                <w:sz w:val="17"/>
              </w:rPr>
              <w:t>efecto como semántica</w:t>
            </w:r>
          </w:p>
        </w:tc>
        <w:tc>
          <w:tcPr>
            <w:tcW w:type="dxa" w:w="2772"/>
          </w:tcPr>
          <w:p>
            <w:pPr>
              <w:spacing w:after="40"/>
            </w:pPr>
            <w:r>
              <w:rPr>
                <w:sz w:val="17"/>
              </w:rPr>
            </w:r>
            <w:r>
              <w:rPr>
                <w:rFonts w:ascii="IBM Plex Sans" w:hAnsi="IBM Plex Sans" w:cs="IBM Plex Sans"/>
                <w:b w:val="0"/>
                <w:i w:val="0"/>
                <w:color w:val="161412"/>
                <w:sz w:val="17"/>
              </w:rPr>
              <w:t>signal.warn + risk</w:t>
            </w:r>
          </w:p>
        </w:tc>
      </w:tr>
      <w:tr>
        <w:tc>
          <w:tcPr>
            <w:tcW w:type="dxa" w:w="2772"/>
          </w:tcPr>
          <w:p>
            <w:pPr>
              <w:spacing w:after="40"/>
            </w:pPr>
            <w:r>
              <w:rPr>
                <w:sz w:val="17"/>
              </w:rPr>
            </w:r>
            <w:r>
              <w:rPr>
                <w:rFonts w:ascii="IBM Plex Sans" w:hAnsi="IBM Plex Sans" w:cs="IBM Plex Sans"/>
                <w:b w:val="0"/>
                <w:i w:val="0"/>
                <w:color w:val="161412"/>
                <w:sz w:val="17"/>
              </w:rPr>
              <w:t>modalDanger</w:t>
            </w:r>
          </w:p>
        </w:tc>
        <w:tc>
          <w:tcPr>
            <w:tcW w:type="dxa" w:w="2772"/>
          </w:tcPr>
          <w:p>
            <w:pPr>
              <w:spacing w:after="40"/>
            </w:pPr>
            <w:r>
              <w:rPr>
                <w:sz w:val="17"/>
              </w:rPr>
            </w:r>
            <w:r>
              <w:rPr>
                <w:rFonts w:ascii="IBM Plex Sans" w:hAnsi="IBM Plex Sans" w:cs="IBM Plex Sans"/>
                <w:b w:val="0"/>
                <w:i w:val="0"/>
                <w:color w:val="161412"/>
                <w:sz w:val="17"/>
              </w:rPr>
              <w:t>contenedor como amenaza</w:t>
            </w:r>
          </w:p>
        </w:tc>
        <w:tc>
          <w:tcPr>
            <w:tcW w:type="dxa" w:w="2772"/>
          </w:tcPr>
          <w:p>
            <w:pPr>
              <w:spacing w:after="40"/>
            </w:pPr>
            <w:r>
              <w:rPr>
                <w:sz w:val="17"/>
              </w:rPr>
            </w:r>
            <w:r>
              <w:rPr>
                <w:rFonts w:ascii="IBM Plex Sans" w:hAnsi="IBM Plex Sans" w:cs="IBM Plex Sans"/>
                <w:b w:val="0"/>
                <w:i w:val="0"/>
                <w:color w:val="161412"/>
                <w:sz w:val="17"/>
              </w:rPr>
              <w:t>shift.enter-mode + signal.warn + threat</w:t>
            </w:r>
          </w:p>
        </w:tc>
      </w:tr>
    </w:tbl>
    <w:p>
      <w:pPr>
        <w:spacing w:after="80"/>
      </w:pPr>
    </w:p>
    <w:p>
      <w:pPr>
        <w:spacing w:after="200" w:before="40"/>
      </w:pPr>
      <w:r>
        <w:rPr>
          <w:rFonts w:ascii="IBM Plex Sans" w:hAnsi="IBM Plex Sans" w:cs="IBM Plex Sans"/>
          <w:b/>
          <w:color w:val="1F3A5F"/>
          <w:sz w:val="17"/>
        </w:rPr>
        <w:t xml:space="preserve">TABLA 36.2   </w:t>
      </w:r>
      <w:r>
        <w:rPr>
          <w:rFonts w:ascii="IBM Plex Sans" w:hAnsi="IBM Plex Sans" w:cs="IBM Plex Sans"/>
          <w:color w:val="3A352F"/>
          <w:sz w:val="18"/>
        </w:rPr>
        <w:t xml:space="preserve">Preguntas de revisión y qué detectan</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PREGUNTA</w:t>
            </w:r>
          </w:p>
        </w:tc>
        <w:tc>
          <w:tcPr>
            <w:tcW w:type="dxa" w:w="4158"/>
            <w:shd w:val="clear" w:color="auto" w:fill="EAE4D8"/>
          </w:tcPr>
          <w:p>
            <w:pPr>
              <w:spacing w:after="40"/>
            </w:pPr>
            <w:r>
              <w:rPr>
                <w:sz w:val="17"/>
              </w:rPr>
            </w:r>
            <w:r>
              <w:rPr>
                <w:rFonts w:ascii="IBM Plex Sans" w:hAnsi="IBM Plex Sans" w:cs="IBM Plex Sans"/>
                <w:b/>
                <w:i w:val="0"/>
                <w:color w:val="1F3A5F"/>
                <w:sz w:val="17"/>
              </w:rPr>
              <w:t>DETECTA</w:t>
            </w:r>
          </w:p>
        </w:tc>
      </w:tr>
      <w:tr>
        <w:tc>
          <w:tcPr>
            <w:tcW w:type="dxa" w:w="4158"/>
          </w:tcPr>
          <w:p>
            <w:pPr>
              <w:spacing w:after="40"/>
            </w:pPr>
            <w:r>
              <w:rPr>
                <w:sz w:val="17"/>
              </w:rPr>
            </w:r>
            <w:r>
              <w:rPr>
                <w:rFonts w:ascii="IBM Plex Sans" w:hAnsi="IBM Plex Sans" w:cs="IBM Plex Sans"/>
                <w:b w:val="0"/>
                <w:i w:val="0"/>
                <w:color w:val="161412"/>
                <w:sz w:val="17"/>
              </w:rPr>
              <w:t>¿Qué evento ocurre?</w:t>
            </w:r>
          </w:p>
        </w:tc>
        <w:tc>
          <w:tcPr>
            <w:tcW w:type="dxa" w:w="4158"/>
          </w:tcPr>
          <w:p>
            <w:pPr>
              <w:spacing w:after="40"/>
            </w:pPr>
            <w:r>
              <w:rPr>
                <w:sz w:val="17"/>
              </w:rPr>
            </w:r>
            <w:r>
              <w:rPr>
                <w:rFonts w:ascii="IBM Plex Sans" w:hAnsi="IBM Plex Sans" w:cs="IBM Plex Sans"/>
                <w:b w:val="0"/>
                <w:i w:val="0"/>
                <w:color w:val="161412"/>
                <w:sz w:val="17"/>
              </w:rPr>
              <w:t>ambigüedad de familia</w:t>
            </w:r>
          </w:p>
        </w:tc>
      </w:tr>
      <w:tr>
        <w:tc>
          <w:tcPr>
            <w:tcW w:type="dxa" w:w="4158"/>
          </w:tcPr>
          <w:p>
            <w:pPr>
              <w:spacing w:after="40"/>
            </w:pPr>
            <w:r>
              <w:rPr>
                <w:sz w:val="17"/>
              </w:rPr>
            </w:r>
            <w:r>
              <w:rPr>
                <w:rFonts w:ascii="IBM Plex Sans" w:hAnsi="IBM Plex Sans" w:cs="IBM Plex Sans"/>
                <w:b w:val="0"/>
                <w:i w:val="0"/>
                <w:color w:val="161412"/>
                <w:sz w:val="17"/>
              </w:rPr>
              <w:t>¿Hay intent?</w:t>
            </w:r>
          </w:p>
        </w:tc>
        <w:tc>
          <w:tcPr>
            <w:tcW w:type="dxa" w:w="4158"/>
          </w:tcPr>
          <w:p>
            <w:pPr>
              <w:spacing w:after="40"/>
            </w:pPr>
            <w:r>
              <w:rPr>
                <w:sz w:val="17"/>
              </w:rPr>
            </w:r>
            <w:r>
              <w:rPr>
                <w:rFonts w:ascii="IBM Plex Sans" w:hAnsi="IBM Plex Sans" w:cs="IBM Plex Sans"/>
                <w:b w:val="0"/>
                <w:i w:val="0"/>
                <w:color w:val="161412"/>
                <w:sz w:val="17"/>
              </w:rPr>
              <w:t>evaluación ausente o excesiva</w:t>
            </w:r>
          </w:p>
        </w:tc>
      </w:tr>
      <w:tr>
        <w:tc>
          <w:tcPr>
            <w:tcW w:type="dxa" w:w="4158"/>
          </w:tcPr>
          <w:p>
            <w:pPr>
              <w:spacing w:after="40"/>
            </w:pPr>
            <w:r>
              <w:rPr>
                <w:sz w:val="17"/>
              </w:rPr>
            </w:r>
            <w:r>
              <w:rPr>
                <w:rFonts w:ascii="IBM Plex Sans" w:hAnsi="IBM Plex Sans" w:cs="IBM Plex Sans"/>
                <w:b w:val="0"/>
                <w:i w:val="0"/>
                <w:color w:val="161412"/>
                <w:sz w:val="17"/>
              </w:rPr>
              <w:t>¿Dónde vive el intent?</w:t>
            </w:r>
          </w:p>
        </w:tc>
        <w:tc>
          <w:tcPr>
            <w:tcW w:type="dxa" w:w="4158"/>
          </w:tcPr>
          <w:p>
            <w:pPr>
              <w:spacing w:after="40"/>
            </w:pPr>
            <w:r>
              <w:rPr>
                <w:sz w:val="17"/>
              </w:rPr>
            </w:r>
            <w:r>
              <w:rPr>
                <w:rFonts w:ascii="IBM Plex Sans" w:hAnsi="IBM Plex Sans" w:cs="IBM Plex Sans"/>
                <w:b w:val="0"/>
                <w:i w:val="0"/>
                <w:color w:val="161412"/>
                <w:sz w:val="17"/>
              </w:rPr>
              <w:t>contenedor coloreado</w:t>
            </w:r>
          </w:p>
        </w:tc>
      </w:tr>
      <w:tr>
        <w:tc>
          <w:tcPr>
            <w:tcW w:type="dxa" w:w="4158"/>
          </w:tcPr>
          <w:p>
            <w:pPr>
              <w:spacing w:after="40"/>
            </w:pPr>
            <w:r>
              <w:rPr>
                <w:sz w:val="17"/>
              </w:rPr>
            </w:r>
            <w:r>
              <w:rPr>
                <w:rFonts w:ascii="IBM Plex Sans" w:hAnsi="IBM Plex Sans" w:cs="IBM Plex Sans"/>
                <w:b w:val="0"/>
                <w:i w:val="0"/>
                <w:color w:val="161412"/>
                <w:sz w:val="17"/>
              </w:rPr>
              <w:t>¿Qué canal domina?</w:t>
            </w:r>
          </w:p>
        </w:tc>
        <w:tc>
          <w:tcPr>
            <w:tcW w:type="dxa" w:w="4158"/>
          </w:tcPr>
          <w:p>
            <w:pPr>
              <w:spacing w:after="40"/>
            </w:pPr>
            <w:r>
              <w:rPr>
                <w:sz w:val="17"/>
              </w:rPr>
            </w:r>
            <w:r>
              <w:rPr>
                <w:rFonts w:ascii="IBM Plex Sans" w:hAnsi="IBM Plex Sans" w:cs="IBM Plex Sans"/>
                <w:b w:val="0"/>
                <w:i w:val="0"/>
                <w:color w:val="161412"/>
                <w:sz w:val="17"/>
              </w:rPr>
              <w:t>sobrecarga o fragilidad</w:t>
            </w:r>
          </w:p>
        </w:tc>
      </w:tr>
      <w:tr>
        <w:tc>
          <w:tcPr>
            <w:tcW w:type="dxa" w:w="4158"/>
          </w:tcPr>
          <w:p>
            <w:pPr>
              <w:spacing w:after="40"/>
            </w:pPr>
            <w:r>
              <w:rPr>
                <w:sz w:val="17"/>
              </w:rPr>
            </w:r>
            <w:r>
              <w:rPr>
                <w:rFonts w:ascii="IBM Plex Sans" w:hAnsi="IBM Plex Sans" w:cs="IBM Plex Sans"/>
                <w:b w:val="0"/>
                <w:i w:val="0"/>
                <w:color w:val="161412"/>
                <w:sz w:val="17"/>
              </w:rPr>
              <w:t>¿Qué queda como huella?</w:t>
            </w:r>
          </w:p>
        </w:tc>
        <w:tc>
          <w:tcPr>
            <w:tcW w:type="dxa" w:w="4158"/>
          </w:tcPr>
          <w:p>
            <w:pPr>
              <w:spacing w:after="40"/>
            </w:pPr>
            <w:r>
              <w:rPr>
                <w:sz w:val="17"/>
              </w:rPr>
            </w:r>
            <w:r>
              <w:rPr>
                <w:rFonts w:ascii="IBM Plex Sans" w:hAnsi="IBM Plex Sans" w:cs="IBM Plex Sans"/>
                <w:b w:val="0"/>
                <w:i w:val="0"/>
                <w:color w:val="161412"/>
                <w:sz w:val="17"/>
              </w:rPr>
              <w:t>commit débil</w:t>
            </w:r>
          </w:p>
        </w:tc>
      </w:tr>
      <w:tr>
        <w:tc>
          <w:tcPr>
            <w:tcW w:type="dxa" w:w="4158"/>
          </w:tcPr>
          <w:p>
            <w:pPr>
              <w:spacing w:after="40"/>
            </w:pPr>
            <w:r>
              <w:rPr>
                <w:sz w:val="17"/>
              </w:rPr>
            </w:r>
            <w:r>
              <w:rPr>
                <w:rFonts w:ascii="IBM Plex Sans" w:hAnsi="IBM Plex Sans" w:cs="IBM Plex Sans"/>
                <w:b w:val="0"/>
                <w:i w:val="0"/>
                <w:color w:val="161412"/>
                <w:sz w:val="17"/>
              </w:rPr>
              <w:t>¿Qué pasa sin color?</w:t>
            </w:r>
          </w:p>
        </w:tc>
        <w:tc>
          <w:tcPr>
            <w:tcW w:type="dxa" w:w="4158"/>
          </w:tcPr>
          <w:p>
            <w:pPr>
              <w:spacing w:after="40"/>
            </w:pPr>
            <w:r>
              <w:rPr>
                <w:sz w:val="17"/>
              </w:rPr>
            </w:r>
            <w:r>
              <w:rPr>
                <w:rFonts w:ascii="IBM Plex Sans" w:hAnsi="IBM Plex Sans" w:cs="IBM Plex Sans"/>
                <w:b w:val="0"/>
                <w:i w:val="0"/>
                <w:color w:val="161412"/>
                <w:sz w:val="17"/>
              </w:rPr>
              <w:t>dependencia cromática</w:t>
            </w:r>
          </w:p>
        </w:tc>
      </w:tr>
      <w:tr>
        <w:tc>
          <w:tcPr>
            <w:tcW w:type="dxa" w:w="4158"/>
          </w:tcPr>
          <w:p>
            <w:pPr>
              <w:spacing w:after="40"/>
            </w:pPr>
            <w:r>
              <w:rPr>
                <w:sz w:val="17"/>
              </w:rPr>
            </w:r>
            <w:r>
              <w:rPr>
                <w:rFonts w:ascii="IBM Plex Sans" w:hAnsi="IBM Plex Sans" w:cs="IBM Plex Sans"/>
                <w:b w:val="0"/>
                <w:i w:val="0"/>
                <w:color w:val="161412"/>
                <w:sz w:val="17"/>
              </w:rPr>
              <w:t>¿Qué pasa con reduced motion?</w:t>
            </w:r>
          </w:p>
        </w:tc>
        <w:tc>
          <w:tcPr>
            <w:tcW w:type="dxa" w:w="4158"/>
          </w:tcPr>
          <w:p>
            <w:pPr>
              <w:spacing w:after="40"/>
            </w:pPr>
            <w:r>
              <w:rPr>
                <w:sz w:val="17"/>
              </w:rPr>
            </w:r>
            <w:r>
              <w:rPr>
                <w:rFonts w:ascii="IBM Plex Sans" w:hAnsi="IBM Plex Sans" w:cs="IBM Plex Sans"/>
                <w:b w:val="0"/>
                <w:i w:val="0"/>
                <w:color w:val="161412"/>
                <w:sz w:val="17"/>
              </w:rPr>
              <w:t>pérdida de causalidad</w:t>
            </w:r>
          </w:p>
        </w:tc>
      </w:tr>
      <w:tr>
        <w:tc>
          <w:tcPr>
            <w:tcW w:type="dxa" w:w="4158"/>
          </w:tcPr>
          <w:p>
            <w:pPr>
              <w:spacing w:after="40"/>
            </w:pPr>
            <w:r>
              <w:rPr>
                <w:sz w:val="17"/>
              </w:rPr>
            </w:r>
            <w:r>
              <w:rPr>
                <w:rFonts w:ascii="IBM Plex Sans" w:hAnsi="IBM Plex Sans" w:cs="IBM Plex Sans"/>
                <w:b w:val="0"/>
                <w:i w:val="0"/>
                <w:color w:val="161412"/>
                <w:sz w:val="17"/>
              </w:rPr>
              <w:t>¿El evento es frecuente?</w:t>
            </w:r>
          </w:p>
        </w:tc>
        <w:tc>
          <w:tcPr>
            <w:tcW w:type="dxa" w:w="4158"/>
          </w:tcPr>
          <w:p>
            <w:pPr>
              <w:spacing w:after="40"/>
            </w:pPr>
            <w:r>
              <w:rPr>
                <w:sz w:val="17"/>
              </w:rPr>
            </w:r>
            <w:r>
              <w:rPr>
                <w:rFonts w:ascii="IBM Plex Sans" w:hAnsi="IBM Plex Sans" w:cs="IBM Plex Sans"/>
                <w:b w:val="0"/>
                <w:i w:val="0"/>
                <w:color w:val="161412"/>
                <w:sz w:val="17"/>
              </w:rPr>
              <w:t>fatiga sensorial</w:t>
            </w:r>
          </w:p>
        </w:tc>
      </w:tr>
      <w:tr>
        <w:tc>
          <w:tcPr>
            <w:tcW w:type="dxa" w:w="4158"/>
          </w:tcPr>
          <w:p>
            <w:pPr>
              <w:spacing w:after="40"/>
            </w:pPr>
            <w:r>
              <w:rPr>
                <w:sz w:val="17"/>
              </w:rPr>
            </w:r>
            <w:r>
              <w:rPr>
                <w:rFonts w:ascii="IBM Plex Sans" w:hAnsi="IBM Plex Sans" w:cs="IBM Plex Sans"/>
                <w:b w:val="0"/>
                <w:i w:val="0"/>
                <w:color w:val="161412"/>
                <w:sz w:val="17"/>
              </w:rPr>
              <w:t>¿Hay cierre?</w:t>
            </w:r>
          </w:p>
        </w:tc>
        <w:tc>
          <w:tcPr>
            <w:tcW w:type="dxa" w:w="4158"/>
          </w:tcPr>
          <w:p>
            <w:pPr>
              <w:spacing w:after="40"/>
            </w:pPr>
            <w:r>
              <w:rPr>
                <w:sz w:val="17"/>
              </w:rPr>
            </w:r>
            <w:r>
              <w:rPr>
                <w:rFonts w:ascii="IBM Plex Sans" w:hAnsi="IBM Plex Sans" w:cs="IBM Plex Sans"/>
                <w:b w:val="0"/>
                <w:i w:val="0"/>
                <w:color w:val="161412"/>
                <w:sz w:val="17"/>
              </w:rPr>
              <w:t>sustain infinito</w:t>
            </w:r>
          </w:p>
        </w:tc>
      </w:tr>
    </w:tbl>
    <w:p>
      <w:pPr>
        <w:spacing w:after="80"/>
      </w:pPr>
    </w:p>
    <w:p>
      <w:pPr>
        <w:spacing w:after="200" w:before="40"/>
      </w:pPr>
      <w:r>
        <w:rPr>
          <w:rFonts w:ascii="IBM Plex Sans" w:hAnsi="IBM Plex Sans" w:cs="IBM Plex Sans"/>
          <w:b/>
          <w:color w:val="1F3A5F"/>
          <w:sz w:val="17"/>
        </w:rPr>
        <w:t xml:space="preserve">TABLA 36.3   </w:t>
      </w:r>
      <w:r>
        <w:rPr>
          <w:rFonts w:ascii="IBM Plex Sans" w:hAnsi="IBM Plex Sans" w:cs="IBM Plex Sans"/>
          <w:color w:val="3A352F"/>
          <w:sz w:val="18"/>
        </w:rPr>
        <w:t xml:space="preserve">Niveles de adopción del sistema y su uso</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NIVEL</w:t>
            </w:r>
          </w:p>
        </w:tc>
        <w:tc>
          <w:tcPr>
            <w:tcW w:type="dxa" w:w="4158"/>
            <w:shd w:val="clear" w:color="auto" w:fill="EAE4D8"/>
          </w:tcPr>
          <w:p>
            <w:pPr>
              <w:spacing w:after="40"/>
            </w:pPr>
            <w:r>
              <w:rPr>
                <w:sz w:val="17"/>
              </w:rPr>
            </w:r>
            <w:r>
              <w:rPr>
                <w:rFonts w:ascii="IBM Plex Sans" w:hAnsi="IBM Plex Sans" w:cs="IBM Plex Sans"/>
                <w:b/>
                <w:i w:val="0"/>
                <w:color w:val="1F3A5F"/>
                <w:sz w:val="17"/>
              </w:rPr>
              <w:t>USO</w:t>
            </w:r>
          </w:p>
        </w:tc>
      </w:tr>
      <w:tr>
        <w:tc>
          <w:tcPr>
            <w:tcW w:type="dxa" w:w="4158"/>
          </w:tcPr>
          <w:p>
            <w:pPr>
              <w:spacing w:after="40"/>
            </w:pPr>
            <w:r>
              <w:rPr>
                <w:sz w:val="17"/>
              </w:rPr>
            </w:r>
            <w:r>
              <w:rPr>
                <w:rFonts w:ascii="IBM Plex Sans" w:hAnsi="IBM Plex Sans" w:cs="IBM Plex Sans"/>
                <w:b w:val="0"/>
                <w:i w:val="0"/>
                <w:color w:val="161412"/>
                <w:sz w:val="17"/>
              </w:rPr>
              <w:t>Conceptual</w:t>
            </w:r>
          </w:p>
        </w:tc>
        <w:tc>
          <w:tcPr>
            <w:tcW w:type="dxa" w:w="4158"/>
          </w:tcPr>
          <w:p>
            <w:pPr>
              <w:spacing w:after="40"/>
            </w:pPr>
            <w:r>
              <w:rPr>
                <w:sz w:val="17"/>
              </w:rPr>
            </w:r>
            <w:r>
              <w:rPr>
                <w:rFonts w:ascii="IBM Plex Sans" w:hAnsi="IBM Plex Sans" w:cs="IBM Plex Sans"/>
                <w:b w:val="0"/>
                <w:i w:val="0"/>
                <w:color w:val="161412"/>
                <w:sz w:val="17"/>
              </w:rPr>
              <w:t>conversaciones y revisión</w:t>
            </w:r>
          </w:p>
        </w:tc>
      </w:tr>
      <w:tr>
        <w:tc>
          <w:tcPr>
            <w:tcW w:type="dxa" w:w="4158"/>
          </w:tcPr>
          <w:p>
            <w:pPr>
              <w:spacing w:after="40"/>
            </w:pPr>
            <w:r>
              <w:rPr>
                <w:sz w:val="17"/>
              </w:rPr>
            </w:r>
            <w:r>
              <w:rPr>
                <w:rFonts w:ascii="IBM Plex Sans" w:hAnsi="IBM Plex Sans" w:cs="IBM Plex Sans"/>
                <w:b w:val="0"/>
                <w:i w:val="0"/>
                <w:color w:val="161412"/>
                <w:sz w:val="17"/>
              </w:rPr>
              <w:t>Documental</w:t>
            </w:r>
          </w:p>
        </w:tc>
        <w:tc>
          <w:tcPr>
            <w:tcW w:type="dxa" w:w="4158"/>
          </w:tcPr>
          <w:p>
            <w:pPr>
              <w:spacing w:after="40"/>
            </w:pPr>
            <w:r>
              <w:rPr>
                <w:sz w:val="17"/>
              </w:rPr>
            </w:r>
            <w:r>
              <w:rPr>
                <w:rFonts w:ascii="IBM Plex Sans" w:hAnsi="IBM Plex Sans" w:cs="IBM Plex Sans"/>
                <w:b w:val="0"/>
                <w:i w:val="0"/>
                <w:color w:val="161412"/>
                <w:sz w:val="17"/>
              </w:rPr>
              <w:t>guías, fichas, ejemplos</w:t>
            </w:r>
          </w:p>
        </w:tc>
      </w:tr>
      <w:tr>
        <w:tc>
          <w:tcPr>
            <w:tcW w:type="dxa" w:w="4158"/>
          </w:tcPr>
          <w:p>
            <w:pPr>
              <w:spacing w:after="40"/>
            </w:pPr>
            <w:r>
              <w:rPr>
                <w:sz w:val="17"/>
              </w:rPr>
            </w:r>
            <w:r>
              <w:rPr>
                <w:rFonts w:ascii="IBM Plex Sans" w:hAnsi="IBM Plex Sans" w:cs="IBM Plex Sans"/>
                <w:b w:val="0"/>
                <w:i w:val="0"/>
                <w:color w:val="161412"/>
                <w:sz w:val="17"/>
              </w:rPr>
              <w:t>Operativo</w:t>
            </w:r>
          </w:p>
        </w:tc>
        <w:tc>
          <w:tcPr>
            <w:tcW w:type="dxa" w:w="4158"/>
          </w:tcPr>
          <w:p>
            <w:pPr>
              <w:spacing w:after="40"/>
            </w:pPr>
            <w:r>
              <w:rPr>
                <w:sz w:val="17"/>
              </w:rPr>
            </w:r>
            <w:r>
              <w:rPr>
                <w:rFonts w:ascii="IBM Plex Sans" w:hAnsi="IBM Plex Sans" w:cs="IBM Plex Sans"/>
                <w:b w:val="0"/>
                <w:i w:val="0"/>
                <w:color w:val="161412"/>
                <w:sz w:val="17"/>
              </w:rPr>
              <w:t>tokens, eventos, componentes</w:t>
            </w:r>
          </w:p>
        </w:tc>
      </w:tr>
    </w:tbl>
    <w:p>
      <w:pPr>
        <w:spacing w:after="80"/>
      </w:pPr>
    </w:p>
    <w:p>
      <w:pPr>
        <w:spacing w:before="240" w:after="100"/>
      </w:pPr>
      <w:r>
        <w:rPr>
          <w:rFonts w:ascii="Newsreader" w:hAnsi="Newsreader" w:cs="Newsreader"/>
          <w:i/>
          <w:color w:val="1F3A5F"/>
          <w:sz w:val="28"/>
        </w:rPr>
        <w:t xml:space="preserve">Cierre de la Parte IV</w:t>
      </w:r>
    </w:p>
    <w:p>
      <w:pPr>
        <w:spacing w:after="120" w:line="320" w:lineRule="auto"/>
        <w:jc w:val="both"/>
      </w:pPr>
      <w:r>
        <w:rPr>
          <w:rFonts w:ascii="Newsreader" w:hAnsi="Newsreader" w:cs="Newsreader"/>
          <w:b w:val="0"/>
          <w:i w:val="0"/>
          <w:color w:val="161412"/>
        </w:rPr>
        <w:t xml:space="preserve">Con este capítulo se cierra la Parte IV, y con ella el recorrido operativo del libro: la gramática convertida en composiciones, matrices, rangos, protocolos de validación y decisiones de sistema. Lo que queda no es un apéndice técnico, sino la pregunta con la que todo empezó. A ella vuelve el Cierre.</w:t>
      </w:r>
    </w:p>
    <w:p>
      <w:r>
        <w:br w:type="page"/>
      </w:r>
    </w:p>
    <w:p>
      <w:pPr>
        <w:spacing w:after="40"/>
      </w:pPr>
      <w:r>
        <w:rPr>
          <w:rFonts w:ascii="IBM Plex Sans" w:hAnsi="IBM Plex Sans" w:cs="IBM Plex Sans"/>
          <w:b/>
          <w:color w:val="1F3A5F"/>
          <w:sz w:val="18"/>
        </w:rPr>
        <w:t xml:space="preserve">CIERRE</w:t>
      </w:r>
    </w:p>
    <w:p>
      <w:pPr>
        <w:spacing w:after="60" w:line="240" w:lineRule="auto"/>
      </w:pPr>
      <w:r>
        <w:rPr>
          <w:rFonts w:ascii="Newsreader" w:hAnsi="Newsreader" w:cs="Newsreader"/>
          <w:color w:val="161412"/>
          <w:sz w:val="60"/>
        </w:rPr>
        <w:t>Cierre</w:t>
      </w:r>
    </w:p>
    <w:p>
      <w:pPr>
        <w:spacing w:after="280"/>
      </w:pPr>
      <w:r>
        <w:rPr>
          <w:rFonts w:ascii="IBM Plex Sans" w:hAnsi="IBM Plex Sans" w:cs="IBM Plex Sans"/>
          <w:color w:val="6A635A"/>
          <w:sz w:val="26"/>
        </w:rPr>
        <w:t>Hacia una interfaz con gramática perceptiva propia</w:t>
      </w:r>
    </w:p>
    <w:p>
      <w:pPr>
        <w:pBdr>
          <w:bottom w:val="single" w:sz="4" w:space="4" w:color="1F3A5F"/>
        </w:pBdr>
      </w:pPr>
    </w:p>
    <w:p>
      <w:pPr>
        <w:spacing w:after="120" w:line="320" w:lineRule="auto"/>
        <w:jc w:val="both"/>
      </w:pPr>
      <w:r>
        <w:rPr>
          <w:rFonts w:ascii="Newsreader" w:hAnsi="Newsreader" w:cs="Newsreader"/>
          <w:b w:val="0"/>
          <w:i w:val="0"/>
          <w:color w:val="161412"/>
        </w:rPr>
        <w:t xml:space="preserve">Este libro empezó con una incomodidad, no con una certeza. La incomodidad de trabajar durante años construyendo interfaces y sentir que muchas decisiones importantes quedaban repartidas en capas separadas: componentes, estados, estilos, animaciones, sonidos, accesibilidad, validaciones, loaders, modales, notificaciones, tokens, eventos técnicos.</w:t>
      </w:r>
    </w:p>
    <w:p>
      <w:pPr>
        <w:spacing w:after="120" w:line="320" w:lineRule="auto"/>
        <w:jc w:val="both"/>
      </w:pPr>
      <w:r>
        <w:rPr>
          <w:rFonts w:ascii="Newsreader" w:hAnsi="Newsreader" w:cs="Newsreader"/>
          <w:b w:val="0"/>
          <w:i w:val="0"/>
          <w:color w:val="161412"/>
        </w:rPr>
        <w:t xml:space="preserve">El usuario no percibe «un componente». No percibe «un token». No percibe «un transition-duration». Percibe otra cosa: algo respondió, algo empezó, algo sigue ocurriendo, algo se guardó, algo reclama atención, algo puede perderse, algo ya se perdió, algo apareció, algo cambió de marco, algo quedó completado. La pregunta inicial era sencilla, pero difícil de formular:</w:t>
      </w:r>
    </w:p>
    <w:p>
      <w:pPr>
        <w:spacing w:before="160" w:after="40"/>
        <w:pBdr>
          <w:left w:val="single" w:sz="18" w:space="12" w:color="1F3A5F"/>
        </w:pBdr>
      </w:pPr>
      <w:r>
        <w:rPr>
          <w:rFonts w:ascii="IBM Plex Sans" w:hAnsi="IBM Plex Sans" w:cs="IBM Plex Sans"/>
          <w:b/>
          <w:color w:val="1F3A5F"/>
          <w:sz w:val="16"/>
        </w:rPr>
        <w:t xml:space="preserve">LA PREGUNTA DEL LIBRO</w:t>
      </w:r>
    </w:p>
    <w:p>
      <w:pPr>
        <w:spacing w:after="120" w:line="312" w:lineRule="auto"/>
        <w:pBdr>
          <w:left w:val="single" w:sz="18" w:space="12" w:color="1F3A5F"/>
        </w:pBdr>
      </w:pPr>
      <w:r>
        <w:rPr>
          <w:rFonts w:ascii="Newsreader" w:hAnsi="Newsreader" w:cs="Newsreader"/>
          <w:b w:val="0"/>
          <w:i/>
          <w:color w:val="3A352F"/>
        </w:rPr>
        <w:t xml:space="preserve">¿Por qué no tenemos un lenguaje más claro para hablar de lo que ocurre cuando una interfaz responde?</w:t>
      </w:r>
    </w:p>
    <w:p>
      <w:pPr>
        <w:spacing w:before="320" w:after="40"/>
      </w:pPr>
      <w:r>
        <w:rPr>
          <w:rFonts w:ascii="IBM Plex Sans" w:hAnsi="IBM Plex Sans" w:cs="IBM Plex Sans"/>
          <w:b/>
          <w:color w:val="1F3A5F"/>
          <w:sz w:val="18"/>
        </w:rPr>
        <w:t xml:space="preserve">§ 1</w:t>
      </w:r>
    </w:p>
    <w:p>
      <w:pPr>
        <w:spacing w:after="160" w:line="240" w:lineRule="auto"/>
      </w:pPr>
      <w:r>
        <w:rPr>
          <w:rFonts w:ascii="Newsreader" w:hAnsi="Newsreader" w:cs="Newsreader"/>
          <w:color w:val="161412"/>
          <w:sz w:val="38"/>
        </w:rPr>
        <w:t xml:space="preserve">Lo que este libro ha intentado hacer</w:t>
      </w:r>
    </w:p>
    <w:p>
      <w:pPr>
        <w:spacing w:after="120" w:line="320" w:lineRule="auto"/>
        <w:jc w:val="both"/>
      </w:pPr>
      <w:r>
        <w:rPr>
          <w:rFonts w:ascii="Newsreader" w:hAnsi="Newsreader" w:cs="Newsreader"/>
          <w:b w:val="0"/>
          <w:i w:val="0"/>
          <w:color w:val="161412"/>
        </w:rPr>
        <w:t xml:space="preserve">Este libro no ha intentado fundar una teoría definitiva de la interfaz. Ha intentado algo más concreto: nombrar la capa de eventos perceptivos que ya existe entre el sistema y el usuario. Para nombrarla, ha propuesto una gramática: evento → familia semántica → verbo/fase → evaluación → intent → canales de expresión → lectura unificada.</w:t>
      </w:r>
    </w:p>
    <w:p>
      <w:pPr>
        <w:spacing w:before="320" w:after="40"/>
      </w:pPr>
      <w:r>
        <w:rPr>
          <w:rFonts w:ascii="IBM Plex Sans" w:hAnsi="IBM Plex Sans" w:cs="IBM Plex Sans"/>
          <w:b/>
          <w:color w:val="1F3A5F"/>
          <w:sz w:val="18"/>
        </w:rPr>
        <w:t xml:space="preserve">§ 2</w:t>
      </w:r>
    </w:p>
    <w:p>
      <w:pPr>
        <w:spacing w:after="160" w:line="240" w:lineRule="auto"/>
      </w:pPr>
      <w:r>
        <w:rPr>
          <w:rFonts w:ascii="Newsreader" w:hAnsi="Newsreader" w:cs="Newsreader"/>
          <w:color w:val="161412"/>
          <w:sz w:val="38"/>
        </w:rPr>
        <w:t xml:space="preserve">La interfaz como contexto operativo perceptible</w:t>
      </w:r>
    </w:p>
    <w:p>
      <w:pPr>
        <w:spacing w:after="120" w:line="320" w:lineRule="auto"/>
        <w:jc w:val="both"/>
      </w:pPr>
      <w:r>
        <w:rPr>
          <w:rFonts w:ascii="Newsreader" w:hAnsi="Newsreader" w:cs="Newsreader"/>
          <w:b w:val="0"/>
          <w:i w:val="0"/>
          <w:color w:val="161412"/>
        </w:rPr>
        <w:t xml:space="preserve">La primera decisión fue dejar de entender la interfaz solo como superficie. Una interfaz es la dimensión perceptible de un contexto operativo. El componente sigue importando, pero deja de ser la unidad central del significado: lo que importa no es solo qué objeto hay en la interfaz, sino qué evento hace perceptible.</w:t>
      </w:r>
    </w:p>
    <w:p>
      <w:pPr>
        <w:spacing w:before="320" w:after="40"/>
      </w:pPr>
      <w:r>
        <w:rPr>
          <w:rFonts w:ascii="IBM Plex Sans" w:hAnsi="IBM Plex Sans" w:cs="IBM Plex Sans"/>
          <w:b/>
          <w:color w:val="1F3A5F"/>
          <w:sz w:val="18"/>
        </w:rPr>
        <w:t xml:space="preserve">§ 3</w:t>
      </w:r>
    </w:p>
    <w:p>
      <w:pPr>
        <w:spacing w:after="160" w:line="240" w:lineRule="auto"/>
      </w:pPr>
      <w:r>
        <w:rPr>
          <w:rFonts w:ascii="Newsreader" w:hAnsi="Newsreader" w:cs="Newsreader"/>
          <w:color w:val="161412"/>
          <w:sz w:val="38"/>
        </w:rPr>
        <w:t xml:space="preserve">El evento como unidad básica de cambio</w:t>
      </w:r>
    </w:p>
    <w:p>
      <w:pPr>
        <w:spacing w:after="120" w:line="320" w:lineRule="auto"/>
        <w:jc w:val="both"/>
      </w:pPr>
      <w:r>
        <w:rPr>
          <w:rFonts w:ascii="Newsreader" w:hAnsi="Newsreader" w:cs="Newsreader"/>
          <w:b w:val="0"/>
          <w:i w:val="0"/>
          <w:color w:val="161412"/>
        </w:rPr>
        <w:t xml:space="preserve">La segunda decisión fue tomar el evento como unidad básica. No el evento técnico del navegador, ni el callback, ni el estado interno: el cambio perceptible que modifica la relación del usuario con el sistema.</w:t>
      </w:r>
    </w:p>
    <w:p>
      <w:pPr>
        <w:spacing w:before="320" w:after="40"/>
      </w:pPr>
      <w:r>
        <w:rPr>
          <w:rFonts w:ascii="IBM Plex Sans" w:hAnsi="IBM Plex Sans" w:cs="IBM Plex Sans"/>
          <w:b/>
          <w:color w:val="1F3A5F"/>
          <w:sz w:val="18"/>
        </w:rPr>
        <w:t xml:space="preserve">§ 4</w:t>
      </w:r>
    </w:p>
    <w:p>
      <w:pPr>
        <w:spacing w:after="160" w:line="240" w:lineRule="auto"/>
      </w:pPr>
      <w:r>
        <w:rPr>
          <w:rFonts w:ascii="Newsreader" w:hAnsi="Newsreader" w:cs="Newsreader"/>
          <w:color w:val="161412"/>
          <w:sz w:val="38"/>
        </w:rPr>
        <w:t xml:space="preserve">Las familias semánticas</w:t>
      </w:r>
    </w:p>
    <w:p>
      <w:pPr>
        <w:spacing w:after="120" w:line="320" w:lineRule="auto"/>
        <w:jc w:val="both"/>
      </w:pPr>
      <w:r>
        <w:rPr>
          <w:rFonts w:ascii="Newsreader" w:hAnsi="Newsreader" w:cs="Newsreader"/>
          <w:b w:val="0"/>
          <w:i w:val="0"/>
          <w:color w:val="161412"/>
        </w:rPr>
        <w:t xml:space="preserve">Para ordenar esos eventos, el libro propuso ocho familias como ocho preguntas perceptivas recurrentes:</w:t>
      </w:r>
    </w:p>
    <w:p>
      <w:pPr>
        <w:spacing w:after="100" w:line="312" w:lineRule="auto"/>
        <w:ind w:left="403" w:hanging="259"/>
        <w:jc w:val="both"/>
      </w:pPr>
      <w:r>
        <w:rPr>
          <w:rFonts w:ascii="IBM Plex Sans" w:hAnsi="IBM Plex Sans" w:cs="IBM Plex Sans"/>
          <w:b/>
          <w:color w:val="1F3A5F"/>
          <w:sz w:val="20"/>
        </w:rPr>
        <w:t xml:space="preserve">•  contact — ¿me has sentido?</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commit — ¿qué resultado quedó?</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signal — ¿debo atender ahora?</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handle — ¿lo tengo yo?</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emerge — ¿qué hay disponible?</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shift — ¿dónde estoy ahora?</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sustain — ¿sigue vivo el proceso?</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delegate — ¿quién actúa ahora?</w:t>
      </w:r>
      <w:r>
        <w:rPr>
          <w:rFonts w:ascii="Newsreader" w:hAnsi="Newsreader" w:cs="Newsreader"/>
          <w:b w:val="0"/>
          <w:i w:val="0"/>
          <w:color w:val="161412"/>
        </w:rPr>
        <w:t xml:space="preserve"/>
      </w:r>
    </w:p>
    <w:p>
      <w:pPr>
        <w:spacing w:before="320" w:after="40"/>
      </w:pPr>
      <w:r>
        <w:rPr>
          <w:rFonts w:ascii="IBM Plex Sans" w:hAnsi="IBM Plex Sans" w:cs="IBM Plex Sans"/>
          <w:b/>
          <w:color w:val="1F3A5F"/>
          <w:sz w:val="18"/>
        </w:rPr>
        <w:t xml:space="preserve">§ 5</w:t>
      </w:r>
    </w:p>
    <w:p>
      <w:pPr>
        <w:spacing w:after="160" w:line="240" w:lineRule="auto"/>
      </w:pPr>
      <w:r>
        <w:rPr>
          <w:rFonts w:ascii="Newsreader" w:hAnsi="Newsreader" w:cs="Newsreader"/>
          <w:color w:val="161412"/>
          <w:sz w:val="38"/>
        </w:rPr>
        <w:t xml:space="preserve">El intent más allá del color</w:t>
      </w:r>
    </w:p>
    <w:p>
      <w:pPr>
        <w:spacing w:after="120" w:line="320" w:lineRule="auto"/>
        <w:jc w:val="both"/>
      </w:pPr>
      <w:r>
        <w:rPr>
          <w:rFonts w:ascii="Newsreader" w:hAnsi="Newsreader" w:cs="Newsreader"/>
          <w:b w:val="0"/>
          <w:i w:val="0"/>
          <w:color w:val="161412"/>
        </w:rPr>
        <w:t xml:space="preserve">Después vino la pregunta evaluativa. Durante años hemos tratado success, warning, danger e info como si fueran una taxonomía suficiente, pero gran parte de esa estructura procede de una herencia cromática. El libro propuso separar el intent del color: un intent es una región evaluativa del evento —neutral, affirm, fulfill, risk, threat, loss—. Un autoguardado no es una culminación; un riesgo corregible no es una amenaza activa; una amenaza no es una pérdida consumada. El color puede reforzar todo eso, pero no debe definirlo.</w:t>
      </w:r>
    </w:p>
    <w:p>
      <w:pPr>
        <w:spacing w:before="320" w:after="40"/>
      </w:pPr>
      <w:r>
        <w:rPr>
          <w:rFonts w:ascii="IBM Plex Sans" w:hAnsi="IBM Plex Sans" w:cs="IBM Plex Sans"/>
          <w:b/>
          <w:color w:val="1F3A5F"/>
          <w:sz w:val="18"/>
        </w:rPr>
        <w:t xml:space="preserve">§ 6</w:t>
      </w:r>
    </w:p>
    <w:p>
      <w:pPr>
        <w:spacing w:after="160" w:line="240" w:lineRule="auto"/>
      </w:pPr>
      <w:r>
        <w:rPr>
          <w:rFonts w:ascii="Newsreader" w:hAnsi="Newsreader" w:cs="Newsreader"/>
          <w:color w:val="161412"/>
          <w:sz w:val="38"/>
        </w:rPr>
        <w:t xml:space="preserve">Los canales como materia sensible</w:t>
      </w:r>
    </w:p>
    <w:p>
      <w:pPr>
        <w:spacing w:after="120" w:line="320" w:lineRule="auto"/>
        <w:jc w:val="both"/>
      </w:pPr>
      <w:r>
        <w:rPr>
          <w:rFonts w:ascii="Newsreader" w:hAnsi="Newsreader" w:cs="Newsreader"/>
          <w:b w:val="0"/>
          <w:i w:val="0"/>
          <w:color w:val="161412"/>
        </w:rPr>
        <w:t xml:space="preserve">Un evento no existe en abstracto: debe materializarse por canales —tiempo, motion, presencia, profundidad, forma, color, sonido, háptica—. Pero ningún canal debería cargar solo con todo el significado. Una semántica robusta puede migrar. La accesibilidad no es posterior a la semántica: es su prueba.</w:t>
      </w:r>
    </w:p>
    <w:p>
      <w:pPr>
        <w:spacing w:before="320" w:after="40"/>
      </w:pPr>
      <w:r>
        <w:rPr>
          <w:rFonts w:ascii="IBM Plex Sans" w:hAnsi="IBM Plex Sans" w:cs="IBM Plex Sans"/>
          <w:b/>
          <w:color w:val="1F3A5F"/>
          <w:sz w:val="18"/>
        </w:rPr>
        <w:t xml:space="preserve">§ 7</w:t>
      </w:r>
    </w:p>
    <w:p>
      <w:pPr>
        <w:spacing w:after="160" w:line="240" w:lineRule="auto"/>
      </w:pPr>
      <w:r>
        <w:rPr>
          <w:rFonts w:ascii="Newsreader" w:hAnsi="Newsreader" w:cs="Newsreader"/>
          <w:color w:val="161412"/>
          <w:sz w:val="38"/>
        </w:rPr>
        <w:t xml:space="preserve">Composición, matrices y validación</w:t>
      </w:r>
    </w:p>
    <w:p>
      <w:pPr>
        <w:spacing w:after="120" w:line="320" w:lineRule="auto"/>
        <w:jc w:val="both"/>
      </w:pPr>
      <w:r>
        <w:rPr>
          <w:rFonts w:ascii="Newsreader" w:hAnsi="Newsreader" w:cs="Newsreader"/>
          <w:b w:val="0"/>
          <w:i w:val="0"/>
          <w:color w:val="161412"/>
        </w:rPr>
        <w:t xml:space="preserve">La última parte intentó convertir la gramática en herramienta: composiciones, matrices, rangos, fichas de migración, antipatrones y protocolos de validación. No como burocracia, sino como formas de hacer una pregunta simple: ¿la interfaz comunica el evento que cree comunicar?</w:t>
      </w:r>
    </w:p>
    <w:p>
      <w:pPr>
        <w:spacing w:before="320" w:after="40"/>
      </w:pPr>
      <w:r>
        <w:rPr>
          <w:rFonts w:ascii="IBM Plex Sans" w:hAnsi="IBM Plex Sans" w:cs="IBM Plex Sans"/>
          <w:b/>
          <w:color w:val="1F3A5F"/>
          <w:sz w:val="18"/>
        </w:rPr>
        <w:t xml:space="preserve">§ 8</w:t>
      </w:r>
    </w:p>
    <w:p>
      <w:pPr>
        <w:spacing w:after="160" w:line="240" w:lineRule="auto"/>
      </w:pPr>
      <w:r>
        <w:rPr>
          <w:rFonts w:ascii="Newsreader" w:hAnsi="Newsreader" w:cs="Newsreader"/>
          <w:color w:val="161412"/>
          <w:sz w:val="38"/>
        </w:rPr>
        <w:t xml:space="preserve">Lo que este libro viene a completar</w:t>
      </w:r>
    </w:p>
    <w:p>
      <w:pPr>
        <w:spacing w:after="120" w:line="320" w:lineRule="auto"/>
        <w:jc w:val="both"/>
      </w:pPr>
      <w:r>
        <w:rPr>
          <w:rFonts w:ascii="Newsreader" w:hAnsi="Newsreader" w:cs="Newsreader"/>
          <w:b w:val="0"/>
          <w:i w:val="0"/>
          <w:color w:val="161412"/>
        </w:rPr>
        <w:t xml:space="preserve">Este libro no nace contra la teoría de interfaces existente. No intenta corregir desde fuera lo que el diseño de interacción, la usabilidad, la accesibilidad, la arquitectura de información, los sistemas de diseño, la ergonomía, la psicología de la percepción o la investigación HCI ya han construido. Existen teorías, métodos y guías muy desarrolladas para pensar la interfaz: cómo organizar información, diseñar flujos, construir componentes, hacer sistemas consistentes, asegurar accesibilidad, evaluar usabilidad.</w:t>
      </w:r>
    </w:p>
    <w:p>
      <w:pPr>
        <w:spacing w:after="120" w:line="320" w:lineRule="auto"/>
        <w:jc w:val="both"/>
      </w:pPr>
      <w:r>
        <w:rPr>
          <w:rFonts w:ascii="Newsreader" w:hAnsi="Newsreader" w:cs="Newsreader"/>
          <w:b w:val="0"/>
          <w:i w:val="0"/>
          <w:color w:val="161412"/>
        </w:rPr>
        <w:t xml:space="preserve">Este libro no pretende sustituir nada de eso; su intención es más limitada y más concreta. Durante años de trabajo en front-end, algunas preguntas seguían apareciendo sin encontrar un lenguaje suficientemente preciso: ¿qué diferencia hay entre que el sistema reciba una acción y que confirme un resultado? ¿Por qué una espera necesita sentirse viva? ¿Cuándo una aparición es solo presencia y cuándo se convierte en señal? ¿Por qué una amenaza no debería expresarse igual que una pérdida? ¿Cómo migra el significado si el usuario reduce motion, no oye sonido o no distingue color?</w:t>
      </w:r>
    </w:p>
    <w:p>
      <w:pPr>
        <w:spacing w:after="120" w:line="320" w:lineRule="auto"/>
        <w:jc w:val="both"/>
      </w:pPr>
      <w:r>
        <w:rPr>
          <w:rFonts w:ascii="Newsreader" w:hAnsi="Newsreader" w:cs="Newsreader"/>
          <w:b w:val="0"/>
          <w:i w:val="0"/>
          <w:color w:val="161412"/>
        </w:rPr>
        <w:t xml:space="preserve">Estas preguntas no niegan la teoría existente. Nacen en una zona que muchas veces queda entre varias disciplinas: entre componente y experiencia, entre estado técnico y percepción, entre efecto visual y significado, entre accesibilidad y semántica, entre motion y evento, entre color e intent. Este libro intenta trabajar precisamente ahí. No redefine la interfaz desde cero: propone una capa complementaria, una gramática perceptiva del evento.</w:t>
      </w:r>
    </w:p>
    <w:p>
      <w:pPr>
        <w:spacing w:before="160" w:after="40"/>
        <w:pBdr>
          <w:left w:val="single" w:sz="18" w:space="12" w:color="1F3A5F"/>
        </w:pBdr>
      </w:pPr>
      <w:r>
        <w:rPr>
          <w:rFonts w:ascii="IBM Plex Sans" w:hAnsi="IBM Plex Sans" w:cs="IBM Plex Sans"/>
          <w:b/>
          <w:color w:val="1F3A5F"/>
          <w:sz w:val="16"/>
        </w:rPr>
        <w:t xml:space="preserve">DISTINCIÓN</w:t>
      </w:r>
    </w:p>
    <w:p>
      <w:pPr>
        <w:spacing w:after="120" w:line="312" w:lineRule="auto"/>
        <w:pBdr>
          <w:left w:val="single" w:sz="18" w:space="12" w:color="1F3A5F"/>
        </w:pBdr>
      </w:pPr>
      <w:r>
        <w:rPr>
          <w:rFonts w:ascii="Newsreader" w:hAnsi="Newsreader" w:cs="Newsreader"/>
          <w:b w:val="0"/>
          <w:i/>
          <w:color w:val="3A352F"/>
        </w:rPr>
        <w:t xml:space="preserve">Este libro no viene a reemplazar la teoría de interfaces. Viene a completarla desde la pregunta por el significado perceptivo del evento.</w:t>
      </w:r>
    </w:p>
    <w:p>
      <w:pPr>
        <w:spacing w:before="320" w:after="40"/>
      </w:pPr>
      <w:r>
        <w:rPr>
          <w:rFonts w:ascii="IBM Plex Sans" w:hAnsi="IBM Plex Sans" w:cs="IBM Plex Sans"/>
          <w:b/>
          <w:color w:val="1F3A5F"/>
          <w:sz w:val="18"/>
        </w:rPr>
        <w:t xml:space="preserve">§ 9</w:t>
      </w:r>
    </w:p>
    <w:p>
      <w:pPr>
        <w:spacing w:after="160" w:line="240" w:lineRule="auto"/>
      </w:pPr>
      <w:r>
        <w:rPr>
          <w:rFonts w:ascii="Newsreader" w:hAnsi="Newsreader" w:cs="Newsreader"/>
          <w:color w:val="161412"/>
          <w:sz w:val="38"/>
        </w:rPr>
        <w:t xml:space="preserve">Lo que sí propone</w:t>
      </w:r>
    </w:p>
    <w:p>
      <w:pPr>
        <w:spacing w:after="120" w:line="320" w:lineRule="auto"/>
        <w:jc w:val="both"/>
      </w:pPr>
      <w:r>
        <w:rPr>
          <w:rFonts w:ascii="Newsreader" w:hAnsi="Newsreader" w:cs="Newsreader"/>
          <w:b w:val="0"/>
          <w:i w:val="0"/>
          <w:color w:val="161412"/>
        </w:rPr>
        <w:t xml:space="preserve">Propone que la interfaz tiene una capa semántica que merece ser nombrada. Propone que entre el sistema técnico y la experiencia del usuario hay eventos perceptivos que pueden organizarse. Propone que el intent no debería vivir en el color, sino en la evaluación del evento. Propone que los canales deben coordinarse alrededor de una lectura única. Propone que la accesibilidad es una prueba de si el significado estaba bien distribuido. Y propone que el trabajo de interfaz necesita un lenguaje más preciso para hablar de lo que ocurre.</w:t>
      </w:r>
    </w:p>
    <w:p>
      <w:pPr>
        <w:spacing w:before="320" w:after="40"/>
      </w:pPr>
      <w:r>
        <w:rPr>
          <w:rFonts w:ascii="IBM Plex Sans" w:hAnsi="IBM Plex Sans" w:cs="IBM Plex Sans"/>
          <w:b/>
          <w:color w:val="1F3A5F"/>
          <w:sz w:val="18"/>
        </w:rPr>
        <w:t xml:space="preserve">§ 10</w:t>
      </w:r>
    </w:p>
    <w:p>
      <w:pPr>
        <w:spacing w:after="160" w:line="240" w:lineRule="auto"/>
      </w:pPr>
      <w:r>
        <w:rPr>
          <w:rFonts w:ascii="Newsreader" w:hAnsi="Newsreader" w:cs="Newsreader"/>
          <w:color w:val="161412"/>
          <w:sz w:val="38"/>
        </w:rPr>
        <w:t xml:space="preserve">Volver al programador front-end</w:t>
      </w:r>
    </w:p>
    <w:p>
      <w:pPr>
        <w:spacing w:after="120" w:line="320" w:lineRule="auto"/>
        <w:jc w:val="both"/>
      </w:pPr>
      <w:r>
        <w:rPr>
          <w:rFonts w:ascii="Newsreader" w:hAnsi="Newsreader" w:cs="Newsreader"/>
          <w:b w:val="0"/>
          <w:i w:val="0"/>
          <w:color w:val="161412"/>
        </w:rPr>
        <w:t xml:space="preserve">Al final, este libro vuelve al lugar del que salió: a un programador front-end enfrentado a decisiones aparentemente pequeñas. ¿Este botón solo responde o confirma? ¿Este loader tranquiliza o parece bloqueo? ¿Esta alerta es riesgo o amenaza? ¿Esta eliminación avisa o ya registra pérdida? ¿Este modal es marco o mensaje? ¿Qué cree el usuario que acaba de ocurrir?</w:t>
      </w:r>
    </w:p>
    <w:p>
      <w:pPr>
        <w:spacing w:after="120" w:line="320" w:lineRule="auto"/>
        <w:jc w:val="both"/>
      </w:pPr>
      <w:r>
        <w:rPr>
          <w:rFonts w:ascii="Newsreader" w:hAnsi="Newsreader" w:cs="Newsreader"/>
          <w:b w:val="0"/>
          <w:i w:val="0"/>
          <w:color w:val="161412"/>
        </w:rPr>
        <w:t xml:space="preserve">Ninguna de esas preguntas es menor. Este libro ha intentado ofrecer un vocabulario para pensarlas con más claridad: no para eliminar la intuición, sino para darle estructura.</w:t>
      </w:r>
    </w:p>
    <w:p>
      <w:pPr>
        <w:spacing w:before="320" w:after="40"/>
      </w:pPr>
      <w:r>
        <w:rPr>
          <w:rFonts w:ascii="IBM Plex Sans" w:hAnsi="IBM Plex Sans" w:cs="IBM Plex Sans"/>
          <w:b/>
          <w:color w:val="1F3A5F"/>
          <w:sz w:val="18"/>
        </w:rPr>
        <w:t xml:space="preserve">§ 11</w:t>
      </w:r>
    </w:p>
    <w:p>
      <w:pPr>
        <w:spacing w:after="160" w:line="240" w:lineRule="auto"/>
      </w:pPr>
      <w:r>
        <w:rPr>
          <w:rFonts w:ascii="Newsreader" w:hAnsi="Newsreader" w:cs="Newsreader"/>
          <w:color w:val="161412"/>
          <w:sz w:val="38"/>
        </w:rPr>
        <w:t xml:space="preserve">Una gramática provisional</w:t>
      </w:r>
    </w:p>
    <w:p>
      <w:pPr>
        <w:spacing w:after="120" w:line="320" w:lineRule="auto"/>
        <w:jc w:val="both"/>
      </w:pPr>
      <w:r>
        <w:rPr>
          <w:rFonts w:ascii="Newsreader" w:hAnsi="Newsreader" w:cs="Newsreader"/>
          <w:b w:val="0"/>
          <w:i w:val="0"/>
          <w:color w:val="161412"/>
        </w:rPr>
        <w:t xml:space="preserve">Toda gramática de interfaz debe ser provisional. Las plataformas cambiarán, los dispositivos cambiarán, la IA modificará muchas interacciones, la háptica será más rica, las interfaces espaciales traerán otros problemas, la accesibilidad seguirá ampliando el campo. Por eso esta gramática no debe cerrarse sobre sí misma: quizá algunas familias cambien, quizá aparezcan nuevas, quizá algunos intents se dividan, quizá otros equipos encuentren mejores nombres. Eso no debilita el proyecto; lo mantiene vivo.</w:t>
      </w:r>
    </w:p>
    <w:p>
      <w:pPr>
        <w:spacing w:after="120" w:line="320" w:lineRule="auto"/>
        <w:jc w:val="both"/>
      </w:pPr>
      <w:r>
        <w:rPr>
          <w:rFonts w:ascii="Newsreader" w:hAnsi="Newsreader" w:cs="Newsreader"/>
          <w:b w:val="0"/>
          <w:i w:val="0"/>
          <w:color w:val="161412"/>
        </w:rPr>
        <w:t xml:space="preserve">Una gramática no existe para impedir que el lenguaje evolucione. Existe para hacer posible una conversación más precisa.</w:t>
      </w:r>
    </w:p>
    <w:p>
      <w:pPr>
        <w:spacing w:before="320" w:after="40"/>
      </w:pPr>
      <w:r>
        <w:rPr>
          <w:rFonts w:ascii="IBM Plex Sans" w:hAnsi="IBM Plex Sans" w:cs="IBM Plex Sans"/>
          <w:b/>
          <w:color w:val="1F3A5F"/>
          <w:sz w:val="18"/>
        </w:rPr>
        <w:t xml:space="preserve">§ 12</w:t>
      </w:r>
    </w:p>
    <w:p>
      <w:pPr>
        <w:spacing w:after="160" w:line="240" w:lineRule="auto"/>
      </w:pPr>
      <w:r>
        <w:rPr>
          <w:rFonts w:ascii="Newsreader" w:hAnsi="Newsreader" w:cs="Newsreader"/>
          <w:color w:val="161412"/>
          <w:sz w:val="38"/>
        </w:rPr>
        <w:t xml:space="preserve">Cierre</w:t>
      </w:r>
    </w:p>
    <w:p>
      <w:pPr>
        <w:spacing w:after="120" w:line="320" w:lineRule="auto"/>
        <w:jc w:val="both"/>
      </w:pPr>
      <w:r>
        <w:rPr>
          <w:rFonts w:ascii="Newsreader" w:hAnsi="Newsreader" w:cs="Newsreader"/>
          <w:b w:val="0"/>
          <w:i w:val="0"/>
          <w:color w:val="161412"/>
        </w:rPr>
        <w:t xml:space="preserve">Si este libro tiene algún valor, no está en haber resuelto definitivamente la interfaz. Está en haber intentado formular con claridad una pregunta que aparece una y otra vez en la práctica: ¿cuándo un cambio en la interfaz deja de ser efecto y se convierte en significado?</w:t>
      </w:r>
    </w:p>
    <w:p>
      <w:pPr>
        <w:spacing w:after="120" w:line="320" w:lineRule="auto"/>
        <w:jc w:val="both"/>
      </w:pPr>
      <w:r>
        <w:rPr>
          <w:rFonts w:ascii="Newsreader" w:hAnsi="Newsreader" w:cs="Newsreader"/>
          <w:b w:val="0"/>
          <w:i w:val="0"/>
          <w:color w:val="161412"/>
        </w:rPr>
        <w:t xml:space="preserve">Este libro empezó con fragmentación —componentes por un lado, estados por otro, motion por otro, color por otro, sonido por otro, accesibilidad por otro— y termina con una propuesta de unión: evento, familia, intent, canales, accesibilidad, validación. No como sistema cerrado, sino como lenguaje compartido.</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La interfaz no solo debe funcionar. Debe hacer perceptible lo que ocurre.</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Este libro no intenta cerrar la teoría de la interfaz. Intenta ofrecer un lenguaje para una capa que ya estaba operando sin nombre.</w:t>
      </w:r>
    </w:p>
    <w:p>
      <w:pPr>
        <w:spacing w:after="120" w:line="320" w:lineRule="auto"/>
        <w:jc w:val="both"/>
      </w:pPr>
      <w:r>
        <w:rPr>
          <w:rFonts w:ascii="Newsreader" w:hAnsi="Newsreader" w:cs="Newsreader"/>
          <w:b w:val="0"/>
          <w:i w:val="0"/>
          <w:color w:val="161412"/>
        </w:rPr>
        <w:t xml:space="preserve">Las ocho preguntas de las familias, con la síntesis completa de la gramática, quedan recogidas en la referencia canónica del Apéndice B.</w:t>
      </w:r>
    </w:p>
    <w:p>
      <w:r>
        <w:br w:type="page"/>
      </w:r>
    </w:p>
    <w:p>
      <w:pPr>
        <w:spacing w:after="60" w:line="240" w:lineRule="auto"/>
      </w:pPr>
      <w:r>
        <w:rPr>
          <w:rFonts w:ascii="Newsreader" w:hAnsi="Newsreader" w:cs="Newsreader"/>
          <w:color w:val="161412"/>
          <w:sz w:val="60"/>
        </w:rPr>
        <w:t>APÉNDICE A</w:t>
      </w:r>
    </w:p>
    <w:p>
      <w:pPr>
        <w:pBdr>
          <w:bottom w:val="single" w:sz="4" w:space="4" w:color="1F3A5F"/>
        </w:pBdr>
      </w:pPr>
    </w:p>
    <w:p>
      <w:pPr>
        <w:spacing w:before="320" w:after="40"/>
      </w:pPr>
    </w:p>
    <w:p>
      <w:pPr>
        <w:spacing w:after="160" w:line="240" w:lineRule="auto"/>
      </w:pPr>
      <w:r>
        <w:rPr>
          <w:rFonts w:ascii="Newsreader" w:hAnsi="Newsreader" w:cs="Newsreader"/>
          <w:color w:val="161412"/>
          <w:sz w:val="38"/>
        </w:rPr>
        <w:t>Capa semántica declarativa</w:t>
      </w:r>
    </w:p>
    <w:p>
      <w:pPr>
        <w:spacing w:after="120" w:line="320" w:lineRule="auto"/>
        <w:jc w:val="both"/>
      </w:pPr>
      <w:r>
        <w:rPr>
          <w:rFonts w:ascii="Newsreader" w:hAnsi="Newsreader" w:cs="Newsreader"/>
          <w:b w:val="0"/>
          <w:i w:val="0"/>
          <w:color w:val="161412"/>
        </w:rPr>
        <w:t xml:space="preserve">Esta gramática no debe implementarse como un sistema de variantes visuales. No se trata de reemplazar </w:t>
      </w:r>
      <w:r>
        <w:rPr>
          <w:rFonts w:ascii="IBM Plex Sans" w:hAnsi="IBM Plex Sans" w:cs="IBM Plex Sans"/>
          <w:b w:val="0"/>
          <w:i w:val="0"/>
          <w:color w:val="161412"/>
          <w:sz w:val="20"/>
        </w:rPr>
        <w:t>&lt;Button variant="danger"&gt;</w:t>
      </w:r>
      <w:r>
        <w:rPr>
          <w:rFonts w:ascii="Newsreader" w:hAnsi="Newsreader" w:cs="Newsreader"/>
          <w:b w:val="0"/>
          <w:i w:val="0"/>
          <w:color w:val="161412"/>
        </w:rPr>
        <w:t xml:space="preserve"> por otra variante con otro nombre.</w:t>
      </w:r>
    </w:p>
    <w:p>
      <w:pPr>
        <w:spacing w:after="120" w:line="320" w:lineRule="auto"/>
        <w:jc w:val="both"/>
      </w:pPr>
      <w:r>
        <w:rPr>
          <w:rFonts w:ascii="Newsreader" w:hAnsi="Newsreader" w:cs="Newsreader"/>
          <w:b w:val="0"/>
          <w:i w:val="0"/>
          <w:color w:val="161412"/>
        </w:rPr>
        <w:t>La gramática de eventos propone una capa declarativa por encima de componentes, tokens y patrones. Esa capa declara qué evento ocurre, a qué familia pertenece, si porta intent y qué canales de expresión deberían participar.</w:t>
      </w:r>
    </w:p>
    <w:p>
      <w:pPr>
        <w:spacing w:after="120" w:line="320" w:lineRule="auto"/>
        <w:jc w:val="both"/>
      </w:pPr>
      <w:r>
        <w:rPr>
          <w:rFonts w:ascii="Newsreader" w:hAnsi="Newsreader" w:cs="Newsreader"/>
          <w:b w:val="0"/>
          <w:i w:val="0"/>
          <w:color w:val="161412"/>
        </w:rPr>
        <w:t>La secuencia conceptual es:</w:t>
      </w:r>
    </w:p>
    <w:p>
      <w:pPr>
        <w:spacing w:after="120" w:line="320" w:lineRule="auto"/>
        <w:jc w:val="both"/>
      </w:pPr>
      <w:r>
        <w:rPr>
          <w:rFonts w:ascii="Newsreader" w:hAnsi="Newsreader" w:cs="Newsreader"/>
          <w:b w:val="0"/>
          <w:i w:val="0"/>
          <w:color w:val="161412"/>
        </w:rPr>
        <w:t>evento</w:t>
      </w:r>
    </w:p>
    <w:p>
      <w:pPr>
        <w:spacing w:after="120" w:line="320" w:lineRule="auto"/>
        <w:jc w:val="both"/>
      </w:pPr>
      <w:r>
        <w:rPr>
          <w:rFonts w:ascii="Newsreader" w:hAnsi="Newsreader" w:cs="Newsreader"/>
          <w:b w:val="0"/>
          <w:i w:val="0"/>
          <w:color w:val="161412"/>
        </w:rPr>
        <w:t>→ familia</w:t>
      </w:r>
    </w:p>
    <w:p>
      <w:pPr>
        <w:spacing w:after="120" w:line="320" w:lineRule="auto"/>
        <w:jc w:val="both"/>
      </w:pPr>
      <w:r>
        <w:rPr>
          <w:rFonts w:ascii="Newsreader" w:hAnsi="Newsreader" w:cs="Newsreader"/>
          <w:b w:val="0"/>
          <w:i w:val="0"/>
          <w:color w:val="161412"/>
        </w:rPr>
        <w:t>→ verbo / fase</w:t>
      </w:r>
    </w:p>
    <w:p>
      <w:pPr>
        <w:spacing w:after="120" w:line="320" w:lineRule="auto"/>
        <w:jc w:val="both"/>
      </w:pPr>
      <w:r>
        <w:rPr>
          <w:rFonts w:ascii="Newsreader" w:hAnsi="Newsreader" w:cs="Newsreader"/>
          <w:b w:val="0"/>
          <w:i w:val="0"/>
          <w:color w:val="161412"/>
        </w:rPr>
        <w:t>→ intent si procede</w:t>
      </w:r>
    </w:p>
    <w:p>
      <w:pPr>
        <w:spacing w:after="120" w:line="320" w:lineRule="auto"/>
        <w:jc w:val="both"/>
      </w:pPr>
      <w:r>
        <w:rPr>
          <w:rFonts w:ascii="Newsreader" w:hAnsi="Newsreader" w:cs="Newsreader"/>
          <w:b w:val="0"/>
          <w:i w:val="0"/>
          <w:color w:val="161412"/>
        </w:rPr>
        <w:t>→ firma de expresión</w:t>
      </w:r>
    </w:p>
    <w:p>
      <w:pPr>
        <w:spacing w:after="120" w:line="320" w:lineRule="auto"/>
        <w:jc w:val="both"/>
      </w:pPr>
      <w:r>
        <w:rPr>
          <w:rFonts w:ascii="Newsreader" w:hAnsi="Newsreader" w:cs="Newsreader"/>
          <w:b w:val="0"/>
          <w:i w:val="0"/>
          <w:color w:val="161412"/>
        </w:rPr>
        <w:t>→ componente / patrón / tokens</w:t>
      </w:r>
    </w:p>
    <w:p>
      <w:pPr>
        <w:spacing w:after="120" w:line="320" w:lineRule="auto"/>
        <w:jc w:val="both"/>
      </w:pPr>
      <w:r>
        <w:rPr>
          <w:rFonts w:ascii="Newsreader" w:hAnsi="Newsreader" w:cs="Newsreader"/>
          <w:b w:val="0"/>
          <w:i w:val="0"/>
          <w:color w:val="161412"/>
        </w:rPr>
        <w:t>En una implementación real, esta capa puede representarse como un DSL, un JSON, un mapa de morfos, una convención de documentación o una herramienta interna de sistema de diseño.</w:t>
      </w:r>
    </w:p>
    <w:p>
      <w:pPr>
        <w:spacing w:after="120" w:line="320" w:lineRule="auto"/>
        <w:jc w:val="both"/>
      </w:pPr>
      <w:r>
        <w:rPr>
          <w:rFonts w:ascii="Newsreader" w:hAnsi="Newsreader" w:cs="Newsreader"/>
          <w:b w:val="0"/>
          <w:i w:val="0"/>
          <w:color w:val="161412"/>
        </w:rPr>
        <w:t>Ejemplo conceptual:</w:t>
      </w:r>
    </w:p>
    <w:p>
      <w:pPr>
        <w:spacing w:after="120" w:line="320" w:lineRule="auto"/>
        <w:jc w:val="both"/>
      </w:pPr>
      <w:r>
        <w:rPr>
          <w:rFonts w:ascii="Newsreader" w:hAnsi="Newsreader" w:cs="Newsreader"/>
          <w:b w:val="0"/>
          <w:i w:val="0"/>
          <w:color w:val="161412"/>
        </w:rPr>
        <w:t>{</w:t>
      </w:r>
    </w:p>
    <w:p>
      <w:pPr>
        <w:spacing w:after="120" w:line="320" w:lineRule="auto"/>
        <w:jc w:val="both"/>
      </w:pPr>
      <w:r>
        <w:rPr>
          <w:rFonts w:ascii="Newsreader" w:hAnsi="Newsreader" w:cs="Newsreader"/>
          <w:b w:val="0"/>
          <w:i w:val="0"/>
          <w:color w:val="161412"/>
        </w:rPr>
        <w:t>«event»: «deleteConfirmationAlert»,</w:t>
      </w:r>
    </w:p>
    <w:p>
      <w:pPr>
        <w:spacing w:after="120" w:line="320" w:lineRule="auto"/>
        <w:jc w:val="both"/>
      </w:pPr>
      <w:r>
        <w:rPr>
          <w:rFonts w:ascii="Newsreader" w:hAnsi="Newsreader" w:cs="Newsreader"/>
          <w:b w:val="0"/>
          <w:i w:val="0"/>
          <w:color w:val="161412"/>
        </w:rPr>
        <w:t>«family»: «signal»,</w:t>
      </w:r>
    </w:p>
    <w:p>
      <w:pPr>
        <w:spacing w:after="120" w:line="320" w:lineRule="auto"/>
        <w:jc w:val="both"/>
      </w:pPr>
      <w:r>
        <w:rPr>
          <w:rFonts w:ascii="Newsreader" w:hAnsi="Newsreader" w:cs="Newsreader"/>
          <w:b w:val="0"/>
          <w:i w:val="0"/>
          <w:color w:val="161412"/>
        </w:rPr>
        <w:t>«verb»: «alert»,</w:t>
      </w:r>
    </w:p>
    <w:p>
      <w:pPr>
        <w:spacing w:after="120" w:line="320" w:lineRule="auto"/>
        <w:jc w:val="both"/>
      </w:pPr>
      <w:r>
        <w:rPr>
          <w:rFonts w:ascii="Newsreader" w:hAnsi="Newsreader" w:cs="Newsreader"/>
          <w:b w:val="0"/>
          <w:i w:val="0"/>
          <w:color w:val="161412"/>
        </w:rPr>
        <w:t>«intent»: «threat»,</w:t>
      </w:r>
    </w:p>
    <w:p>
      <w:pPr>
        <w:spacing w:after="120" w:line="320" w:lineRule="auto"/>
        <w:jc w:val="both"/>
      </w:pPr>
      <w:r>
        <w:rPr>
          <w:rFonts w:ascii="Newsreader" w:hAnsi="Newsreader" w:cs="Newsreader"/>
          <w:b w:val="0"/>
          <w:i w:val="0"/>
          <w:color w:val="161412"/>
        </w:rPr>
        <w:t>«expression»: {</w:t>
      </w:r>
    </w:p>
    <w:p>
      <w:pPr>
        <w:spacing w:after="120" w:line="320" w:lineRule="auto"/>
        <w:jc w:val="both"/>
      </w:pPr>
      <w:r>
        <w:rPr>
          <w:rFonts w:ascii="Newsreader" w:hAnsi="Newsreader" w:cs="Newsreader"/>
          <w:b w:val="0"/>
          <w:i w:val="0"/>
          <w:color w:val="161412"/>
        </w:rPr>
        <w:t>«channels»: [«presence», «depth», «shape», «color»],</w:t>
      </w:r>
    </w:p>
    <w:p>
      <w:pPr>
        <w:spacing w:after="120" w:line="320" w:lineRule="auto"/>
        <w:jc w:val="both"/>
      </w:pPr>
      <w:r>
        <w:rPr>
          <w:rFonts w:ascii="Newsreader" w:hAnsi="Newsreader" w:cs="Newsreader"/>
          <w:b w:val="0"/>
          <w:i w:val="0"/>
          <w:color w:val="161412"/>
        </w:rPr>
        <w:t>«persistence»: «until-decision»,</w:t>
      </w:r>
    </w:p>
    <w:p>
      <w:pPr>
        <w:spacing w:after="120" w:line="320" w:lineRule="auto"/>
        <w:jc w:val="both"/>
      </w:pPr>
      <w:r>
        <w:rPr>
          <w:rFonts w:ascii="Newsreader" w:hAnsi="Newsreader" w:cs="Newsreader"/>
          <w:b w:val="0"/>
          <w:i w:val="0"/>
          <w:color w:val="161412"/>
        </w:rPr>
        <w:t>«intensity»: «high»,</w:t>
      </w:r>
    </w:p>
    <w:p>
      <w:pPr>
        <w:spacing w:after="120" w:line="320" w:lineRule="auto"/>
        <w:jc w:val="both"/>
      </w:pPr>
      <w:r>
        <w:rPr>
          <w:rFonts w:ascii="Newsreader" w:hAnsi="Newsreader" w:cs="Newsreader"/>
          <w:b w:val="0"/>
          <w:i w:val="0"/>
          <w:color w:val="161412"/>
        </w:rPr>
        <w:t>«a11y»: {</w:t>
      </w:r>
    </w:p>
    <w:p>
      <w:pPr>
        <w:spacing w:after="120" w:line="320" w:lineRule="auto"/>
        <w:jc w:val="both"/>
      </w:pPr>
      <w:r>
        <w:rPr>
          <w:rFonts w:ascii="Newsreader" w:hAnsi="Newsreader" w:cs="Newsreader"/>
          <w:b w:val="0"/>
          <w:i w:val="0"/>
          <w:color w:val="161412"/>
        </w:rPr>
        <w:t>«focus»: «contained»,</w:t>
      </w:r>
    </w:p>
    <w:p>
      <w:pPr>
        <w:spacing w:after="120" w:line="320" w:lineRule="auto"/>
        <w:jc w:val="both"/>
      </w:pPr>
      <w:r>
        <w:rPr>
          <w:rFonts w:ascii="Newsreader" w:hAnsi="Newsreader" w:cs="Newsreader"/>
          <w:b w:val="0"/>
          <w:i w:val="0"/>
          <w:color w:val="161412"/>
        </w:rPr>
        <w:t>«announcement»: «assertive»</w:t>
      </w:r>
    </w:p>
    <w:p>
      <w:pPr>
        <w:spacing w:after="120" w:line="320" w:lineRule="auto"/>
        <w:jc w:val="both"/>
      </w:pPr>
      <w:r>
        <w:rPr>
          <w:rFonts w:ascii="Newsreader" w:hAnsi="Newsreader" w:cs="Newsreader"/>
          <w:b w:val="0"/>
          <w:i w:val="0"/>
          <w:color w:val="161412"/>
        </w:rPr>
        <w:t>}</w:t>
      </w:r>
    </w:p>
    <w:p>
      <w:pPr>
        <w:spacing w:after="120" w:line="320" w:lineRule="auto"/>
        <w:jc w:val="both"/>
      </w:pPr>
      <w:r>
        <w:rPr>
          <w:rFonts w:ascii="Newsreader" w:hAnsi="Newsreader" w:cs="Newsreader"/>
          <w:b w:val="0"/>
          <w:i w:val="0"/>
          <w:color w:val="161412"/>
        </w:rPr>
        <w:t>}</w:t>
      </w:r>
    </w:p>
    <w:p>
      <w:pPr>
        <w:spacing w:after="120" w:line="320" w:lineRule="auto"/>
        <w:jc w:val="both"/>
      </w:pPr>
      <w:r>
        <w:rPr>
          <w:rFonts w:ascii="Newsreader" w:hAnsi="Newsreader" w:cs="Newsreader"/>
          <w:b w:val="0"/>
          <w:i w:val="0"/>
          <w:color w:val="161412"/>
        </w:rPr>
        <w:t>}</w:t>
      </w:r>
    </w:p>
    <w:p>
      <w:pPr>
        <w:spacing w:after="120" w:line="320" w:lineRule="auto"/>
        <w:jc w:val="both"/>
      </w:pPr>
      <w:r>
        <w:rPr>
          <w:rFonts w:ascii="Newsreader" w:hAnsi="Newsreader" w:cs="Newsreader"/>
          <w:b w:val="0"/>
          <w:i w:val="0"/>
          <w:color w:val="161412"/>
        </w:rPr>
        <w:t>La regla técnica más importante es que el intent no se hereda de forma implícita. Se declara en el evento evaluable que lo porta. Si un diálogo comunica amenaza, el morfo debe decidir qué evento declara ese intent: signal.alert o commit.delete. La apertura del diálogo (emerge.open) no lo porta: es marco, no mensaje.</w:t>
      </w:r>
    </w:p>
    <w:p>
      <w:pPr>
        <w:spacing w:after="120" w:line="320" w:lineRule="auto"/>
        <w:jc w:val="both"/>
      </w:pPr>
      <w:r>
        <w:rPr>
          <w:rFonts w:ascii="Newsreader" w:hAnsi="Newsreader" w:cs="Newsreader"/>
          <w:b w:val="0"/>
          <w:i w:val="0"/>
          <w:color w:val="161412"/>
        </w:rPr>
        <w:t>El runtime no debe adivinar. La semántica debe estar declarada.</w:t>
      </w:r>
    </w:p>
    <w:p>
      <w:pPr>
        <w:spacing w:before="320" w:after="40"/>
      </w:pPr>
    </w:p>
    <w:p>
      <w:pPr>
        <w:spacing w:after="160" w:line="240" w:lineRule="auto"/>
      </w:pPr>
      <w:r>
        <w:rPr>
          <w:rFonts w:ascii="Newsreader" w:hAnsi="Newsreader" w:cs="Newsreader"/>
          <w:color w:val="161412"/>
          <w:sz w:val="38"/>
        </w:rPr>
        <w:t>Formalización: el Semantic Event Spec</w:t>
      </w:r>
    </w:p>
    <w:p>
      <w:pPr>
        <w:spacing w:after="120" w:line="320" w:lineRule="auto"/>
        <w:jc w:val="both"/>
      </w:pPr>
      <w:r>
        <w:rPr>
          <w:rFonts w:ascii="Newsreader" w:hAnsi="Newsreader" w:cs="Newsreader"/>
          <w:b w:val="0"/>
          <w:i w:val="0"/>
          <w:color w:val="161412"/>
        </w:rPr>
        <w:t xml:space="preserve">Lo anterior puede formalizarse, y conviene hacerlo. Una capa declarada permite algo que una convención tácita no permite: comprobar por máquina si una interfaz declara lo que cree declarar.</w:t>
      </w:r>
    </w:p>
    <w:p>
      <w:pPr>
        <w:spacing w:after="120" w:line="320" w:lineRule="auto"/>
        <w:jc w:val="both"/>
      </w:pPr>
      <w:r>
        <w:rPr>
          <w:rFonts w:ascii="Newsreader" w:hAnsi="Newsreader" w:cs="Newsreader"/>
          <w:b w:val="0"/>
          <w:i w:val="0"/>
          <w:color w:val="161412"/>
        </w:rPr>
        <w:t xml:space="preserve">El modelo es deliberadamente pequeño. Un documento declara un mapa de nodos. Un nodo puede ser dos cosas. La primera: un evento atómico, con su familia, su verbo y, si procede, intent, fase, actor y firma de expresión. La segunda: una composición de otros nodos, ya sea una secuencia temporal (sequence, lo que este libro nota con →) o una co-ocurrencia (simultaneous: eventos que suceden a la vez).</w:t>
      </w:r>
    </w:p>
    <w:p>
      <w:pPr>
        <w:spacing w:after="120" w:line="320" w:lineRule="auto"/>
        <w:jc w:val="both"/>
      </w:pPr>
      <w:r>
        <w:rPr>
          <w:rFonts w:ascii="Newsreader" w:hAnsi="Newsreader" w:cs="Newsreader"/>
          <w:b w:val="0"/>
          <w:i w:val="0"/>
          <w:color w:val="161412"/>
        </w:rPr>
        <w:t>Esa estructura se lee en prosa con la notación que ya hemos usado:</w:t>
      </w:r>
    </w:p>
    <w:p>
      <w:pPr>
        <w:spacing w:after="120" w:line="320" w:lineRule="auto"/>
        <w:jc w:val="both"/>
      </w:pPr>
      <w:r>
        <w:rPr>
          <w:rFonts w:ascii="Newsreader" w:hAnsi="Newsreader" w:cs="Newsreader"/>
          <w:b w:val="0"/>
          <w:i w:val="0"/>
          <w:color w:val="161412"/>
        </w:rPr>
        <w:t>family.verb</w:t>
      </w:r>
    </w:p>
    <w:p>
      <w:pPr>
        <w:spacing w:after="120" w:line="320" w:lineRule="auto"/>
        <w:jc w:val="both"/>
      </w:pPr>
      <w:r>
        <w:rPr>
          <w:rFonts w:ascii="Newsreader" w:hAnsi="Newsreader" w:cs="Newsreader"/>
          <w:b w:val="0"/>
          <w:i w:val="0"/>
          <w:color w:val="161412"/>
        </w:rPr>
        <w:t>family.verb + intent</w:t>
      </w:r>
    </w:p>
    <w:p>
      <w:pPr>
        <w:spacing w:after="120" w:line="320" w:lineRule="auto"/>
        <w:jc w:val="both"/>
      </w:pPr>
      <w:r>
        <w:rPr>
          <w:rFonts w:ascii="Newsreader" w:hAnsi="Newsreader" w:cs="Newsreader"/>
          <w:b w:val="0"/>
          <w:i w:val="0"/>
          <w:color w:val="161412"/>
        </w:rPr>
        <w:t>a → b → c</w:t>
      </w:r>
    </w:p>
    <w:p>
      <w:pPr>
        <w:spacing w:after="120" w:line="320" w:lineRule="auto"/>
        <w:jc w:val="both"/>
      </w:pPr>
      <w:r>
        <w:rPr>
          <w:rFonts w:ascii="Newsreader" w:hAnsi="Newsreader" w:cs="Newsreader"/>
          <w:b w:val="0"/>
          <w:i w:val="0"/>
          <w:color w:val="161412"/>
        </w:rPr>
        <w:t>a + b (simultáneos)</w:t>
      </w:r>
    </w:p>
    <w:p>
      <w:pPr>
        <w:spacing w:after="120" w:line="320" w:lineRule="auto"/>
        <w:jc w:val="both"/>
      </w:pPr>
      <w:r>
        <w:rPr>
          <w:rFonts w:ascii="Newsreader" w:hAnsi="Newsreader" w:cs="Newsreader"/>
          <w:b w:val="0"/>
          <w:i w:val="0"/>
          <w:color w:val="161412"/>
        </w:rPr>
        <w:t>La forma declarativa —un JSON validable contra un esquema— es la representación canónica; la notación abreviada es su lectura humana.</w:t>
      </w:r>
    </w:p>
    <w:p>
      <w:pPr>
        <w:spacing w:after="120" w:line="320" w:lineRule="auto"/>
        <w:jc w:val="both"/>
      </w:pPr>
      <w:r>
        <w:rPr>
          <w:rFonts w:ascii="Newsreader" w:hAnsi="Newsreader" w:cs="Newsreader"/>
          <w:b w:val="0"/>
          <w:i w:val="0"/>
          <w:color w:val="161412"/>
        </w:rPr>
        <w:t xml:space="preserve">Lo importante no es el formato. Lo importante es que el esquema hace cumplir las reglas de la gramática, en lugar de confiar en la disciplina de quien escribe. Las ocho familias y los seis intents son conjuntos cerrados: un success o un danger heredados del semáforo se rechazan. La regla marco ≠ mensaje queda inscrita: emerge, shift y contact no pueden portar un intent distinto de neutral. Por eso emerge.open + threat —la combinación que este libro corrige una y otra vez— es, literalmente, un documento inválido. Hay una sola salida: declararlo como la excepción aparición-que-advierte, con su justificación. El esquema no prohíbe la excepción; la hace cara y auditable. Y la autoría pertenece a delegate: el campo actor, que declara quién lleva la iniciativa, solo es válido en esa familia.</w:t>
      </w:r>
    </w:p>
    <w:p>
      <w:pPr>
        <w:spacing w:before="160" w:after="40"/>
        <w:pBdr>
          <w:left w:val="single" w:sz="18" w:space="12" w:color="1F3A5F"/>
        </w:pBdr>
      </w:pPr>
      <w:r>
        <w:rPr>
          <w:rFonts w:ascii="IBM Plex Sans" w:hAnsi="IBM Plex Sans" w:cs="IBM Plex Sans"/>
          <w:b/>
          <w:color w:val="1F3A5F"/>
          <w:sz w:val="16"/>
        </w:rPr>
        <w:t>PRINCIPIO</w:t>
      </w:r>
    </w:p>
    <w:p>
      <w:pPr>
        <w:spacing w:after="120" w:line="312" w:lineRule="auto"/>
        <w:pBdr>
          <w:left w:val="single" w:sz="18" w:space="12" w:color="1F3A5F"/>
        </w:pBdr>
      </w:pPr>
      <w:r>
        <w:rPr>
          <w:rFonts w:ascii="Newsreader" w:hAnsi="Newsreader" w:cs="Newsreader"/>
          <w:b w:val="0"/>
          <w:i/>
          <w:color w:val="3A352F"/>
        </w:rPr>
        <w:t>Una capa declarada convierte un principio en una comprobación. La regla que el libro defiende en prosa, el esquema la rechaza en la práctica.</w:t>
      </w:r>
    </w:p>
    <w:p>
      <w:pPr>
        <w:spacing w:after="120" w:line="320" w:lineRule="auto"/>
        <w:jc w:val="both"/>
      </w:pPr>
      <w:r>
        <w:rPr>
          <w:rFonts w:ascii="Newsreader" w:hAnsi="Newsreader" w:cs="Newsreader"/>
          <w:b w:val="0"/>
          <w:i w:val="0"/>
          <w:color w:val="161412"/>
        </w:rPr>
        <w:t xml:space="preserve">Los verbos, en cambio, no se cierran. El vocabulario canónico de cada familia es una recomendación, no una cárcel: dominios especializados —trading, medicina, CAD, sistemas críticos— pueden necesitar los suyos. El esquema lleva una versión (specVersion); esta es la 0.1. Las familias y los intents son el núcleo estable; la vía de extensión es lo que las versiones siguientes desarrollarán.</w:t>
      </w:r>
    </w:p>
    <w:p>
      <w:pPr>
        <w:spacing w:after="120" w:line="320" w:lineRule="auto"/>
        <w:jc w:val="both"/>
      </w:pPr>
      <w:r>
        <w:rPr>
          <w:rFonts w:ascii="Newsreader" w:hAnsi="Newsreader" w:cs="Newsreader"/>
          <w:b w:val="0"/>
          <w:i w:val="0"/>
          <w:color w:val="161412"/>
        </w:rPr>
        <w:t xml:space="preserve">Esta capa no vive solo en el papel. Su forma operativa se publica como especificación abierta acompañante: el esquema, el vocabulario de verbos, ejemplos validables y el mapeo a tokens semánticos, variables de Figma y ARIA. El objetivo es que un equipo pueda decir, con sentido literal: «mapeamos nuestros eventos al spec».</w:t>
      </w:r>
    </w:p>
    <w:p>
      <w:pPr>
        <w:spacing w:after="120" w:line="320" w:lineRule="auto"/>
        <w:jc w:val="both"/>
      </w:pPr>
      <w:r>
        <w:rPr>
          <w:rFonts w:ascii="Newsreader" w:hAnsi="Newsreader" w:cs="Newsreader"/>
          <w:b w:val="0"/>
          <w:i w:val="0"/>
          <w:color w:val="161412"/>
        </w:rPr>
        <w:t xml:space="preserve">La implementación de referencia que materializa este esquema —con el guardarraíl de la excepción y los mecanismos que la gramática exige— se examina en el Apéndice D.</w:t>
      </w:r>
    </w:p>
    <w:p>
      <w:r>
        <w:br w:type="page"/>
      </w:r>
    </w:p>
    <w:p>
      <w:pPr>
        <w:spacing w:after="60" w:line="240" w:lineRule="auto"/>
      </w:pPr>
      <w:r>
        <w:rPr>
          <w:rFonts w:ascii="Newsreader" w:hAnsi="Newsreader" w:cs="Newsreader"/>
          <w:color w:val="161412"/>
          <w:sz w:val="60"/>
        </w:rPr>
        <w:t>APÉNDICE B</w:t>
      </w:r>
    </w:p>
    <w:p>
      <w:pPr>
        <w:pBdr>
          <w:bottom w:val="single" w:sz="4" w:space="4" w:color="1F3A5F"/>
        </w:pBdr>
      </w:pPr>
    </w:p>
    <w:p>
      <w:pPr>
        <w:spacing w:before="320" w:after="40"/>
      </w:pPr>
    </w:p>
    <w:p>
      <w:pPr>
        <w:spacing w:after="160" w:line="240" w:lineRule="auto"/>
      </w:pPr>
      <w:r>
        <w:rPr>
          <w:rFonts w:ascii="Newsreader" w:hAnsi="Newsreader" w:cs="Newsreader"/>
          <w:color w:val="161412"/>
          <w:sz w:val="38"/>
        </w:rPr>
        <w:t>Firmas de expresión y matriz mínima</w:t>
      </w:r>
    </w:p>
    <w:p>
      <w:pPr>
        <w:spacing w:after="120" w:line="320" w:lineRule="auto"/>
        <w:jc w:val="both"/>
      </w:pPr>
      <w:r>
        <w:rPr>
          <w:rFonts w:ascii="Newsreader" w:hAnsi="Newsreader" w:cs="Newsreader"/>
          <w:b w:val="0"/>
          <w:i w:val="0"/>
          <w:color w:val="161412"/>
        </w:rPr>
        <w:t>Una firma de expresión es la configuración concreta de canales, intensidad, duración, persistencia y huella con la que un evento se hace reconocible en un sistema concreto.</w:t>
      </w:r>
    </w:p>
    <w:p>
      <w:pPr>
        <w:spacing w:after="120" w:line="320" w:lineRule="auto"/>
        <w:jc w:val="both"/>
      </w:pPr>
      <w:r>
        <w:rPr>
          <w:rFonts w:ascii="Newsreader" w:hAnsi="Newsreader" w:cs="Newsreader"/>
          <w:b w:val="0"/>
          <w:i w:val="0"/>
          <w:color w:val="161412"/>
        </w:rPr>
        <w:t>La familia y el intent dicen qué evento ocurre y cómo debe valorarse. La firma de expresión dice cómo se materializa esa lectura.</w:t>
      </w:r>
    </w:p>
    <w:p>
      <w:pPr>
        <w:spacing w:after="200" w:before="40"/>
      </w:pPr>
      <w:r>
        <w:rPr>
          <w:rFonts w:ascii="IBM Plex Sans" w:hAnsi="IBM Plex Sans" w:cs="IBM Plex Sans"/>
          <w:b/>
          <w:color w:val="1F3A5F"/>
          <w:sz w:val="17"/>
        </w:rPr>
        <w:t xml:space="preserve">TABLA B.1   </w:t>
      </w:r>
      <w:r>
        <w:rPr>
          <w:rFonts w:ascii="IBM Plex Sans" w:hAnsi="IBM Plex Sans" w:cs="IBM Plex Sans"/>
          <w:color w:val="3A352F"/>
          <w:sz w:val="18"/>
        </w:rPr>
        <w:t xml:space="preserve">Matriz mínima de firmas de expresión</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1386"/>
        <w:gridCol w:w="1386"/>
        <w:gridCol w:w="1386"/>
        <w:gridCol w:w="1386"/>
        <w:gridCol w:w="1386"/>
        <w:gridCol w:w="1386"/>
      </w:tblGrid>
      <w:tr>
        <w:tc>
          <w:tcPr>
            <w:tcW w:type="dxa" w:w="1386"/>
            <w:shd w:val="clear" w:color="auto" w:fill="EAE4D8"/>
          </w:tcPr>
          <w:p>
            <w:pPr>
              <w:spacing w:after="40"/>
            </w:pPr>
            <w:r>
              <w:rPr>
                <w:sz w:val="17"/>
              </w:rPr>
            </w:r>
            <w:r>
              <w:rPr>
                <w:rFonts w:ascii="IBM Plex Sans" w:hAnsi="IBM Plex Sans" w:cs="IBM Plex Sans"/>
                <w:b/>
                <w:i w:val="0"/>
                <w:color w:val="1F3A5F"/>
                <w:sz w:val="17"/>
              </w:rPr>
              <w:t>Evento</w:t>
            </w:r>
          </w:p>
        </w:tc>
        <w:tc>
          <w:tcPr>
            <w:tcW w:type="dxa" w:w="1386"/>
            <w:shd w:val="clear" w:color="auto" w:fill="EAE4D8"/>
          </w:tcPr>
          <w:p>
            <w:pPr>
              <w:spacing w:after="40"/>
            </w:pPr>
            <w:r>
              <w:rPr>
                <w:sz w:val="17"/>
              </w:rPr>
            </w:r>
            <w:r>
              <w:rPr>
                <w:rFonts w:ascii="IBM Plex Sans" w:hAnsi="IBM Plex Sans" w:cs="IBM Plex Sans"/>
                <w:b/>
                <w:i w:val="0"/>
                <w:color w:val="1F3A5F"/>
                <w:sz w:val="17"/>
              </w:rPr>
              <w:t>Canales principales</w:t>
            </w:r>
          </w:p>
        </w:tc>
        <w:tc>
          <w:tcPr>
            <w:tcW w:type="dxa" w:w="1386"/>
            <w:shd w:val="clear" w:color="auto" w:fill="EAE4D8"/>
          </w:tcPr>
          <w:p>
            <w:pPr>
              <w:spacing w:after="40"/>
            </w:pPr>
            <w:r>
              <w:rPr>
                <w:sz w:val="17"/>
              </w:rPr>
            </w:r>
            <w:r>
              <w:rPr>
                <w:rFonts w:ascii="IBM Plex Sans" w:hAnsi="IBM Plex Sans" w:cs="IBM Plex Sans"/>
                <w:b/>
                <w:i w:val="0"/>
                <w:color w:val="1F3A5F"/>
                <w:sz w:val="17"/>
              </w:rPr>
              <w:t>Canales secundarios</w:t>
            </w:r>
          </w:p>
        </w:tc>
        <w:tc>
          <w:tcPr>
            <w:tcW w:type="dxa" w:w="1386"/>
            <w:shd w:val="clear" w:color="auto" w:fill="EAE4D8"/>
          </w:tcPr>
          <w:p>
            <w:pPr>
              <w:spacing w:after="40"/>
            </w:pPr>
            <w:r>
              <w:rPr>
                <w:sz w:val="17"/>
              </w:rPr>
            </w:r>
            <w:r>
              <w:rPr>
                <w:rFonts w:ascii="IBM Plex Sans" w:hAnsi="IBM Plex Sans" w:cs="IBM Plex Sans"/>
                <w:b/>
                <w:i w:val="0"/>
                <w:color w:val="1F3A5F"/>
                <w:sz w:val="17"/>
              </w:rPr>
              <w:t>Intensidad</w:t>
            </w:r>
          </w:p>
        </w:tc>
        <w:tc>
          <w:tcPr>
            <w:tcW w:type="dxa" w:w="1386"/>
            <w:shd w:val="clear" w:color="auto" w:fill="EAE4D8"/>
          </w:tcPr>
          <w:p>
            <w:pPr>
              <w:spacing w:after="40"/>
            </w:pPr>
            <w:r>
              <w:rPr>
                <w:sz w:val="17"/>
              </w:rPr>
            </w:r>
            <w:r>
              <w:rPr>
                <w:rFonts w:ascii="IBM Plex Sans" w:hAnsi="IBM Plex Sans" w:cs="IBM Plex Sans"/>
                <w:b/>
                <w:i w:val="0"/>
                <w:color w:val="1F3A5F"/>
                <w:sz w:val="17"/>
              </w:rPr>
              <w:t>Huella</w:t>
            </w:r>
          </w:p>
        </w:tc>
        <w:tc>
          <w:tcPr>
            <w:tcW w:type="dxa" w:w="1386"/>
            <w:shd w:val="clear" w:color="auto" w:fill="EAE4D8"/>
          </w:tcPr>
          <w:p>
            <w:pPr>
              <w:spacing w:after="40"/>
            </w:pPr>
            <w:r>
              <w:rPr>
                <w:sz w:val="17"/>
              </w:rPr>
            </w:r>
            <w:r>
              <w:rPr>
                <w:rFonts w:ascii="IBM Plex Sans" w:hAnsi="IBM Plex Sans" w:cs="IBM Plex Sans"/>
                <w:b/>
                <w:i w:val="0"/>
                <w:color w:val="1F3A5F"/>
                <w:sz w:val="17"/>
              </w:rPr>
              <w:t>Accesibilidad</w:t>
            </w:r>
          </w:p>
        </w:tc>
      </w:tr>
      <w:tr>
        <w:tc>
          <w:tcPr>
            <w:tcW w:type="dxa" w:w="1386"/>
          </w:tcPr>
          <w:p>
            <w:pPr>
              <w:spacing w:after="40"/>
            </w:pPr>
            <w:r>
              <w:rPr>
                <w:sz w:val="17"/>
              </w:rPr>
            </w:r>
            <w:r>
              <w:rPr>
                <w:rFonts w:ascii="IBM Plex Sans" w:hAnsi="IBM Plex Sans" w:cs="IBM Plex Sans"/>
                <w:b w:val="0"/>
                <w:i w:val="0"/>
                <w:color w:val="161412"/>
                <w:sz w:val="17"/>
              </w:rPr>
              <w:t>contact.press</w:t>
            </w:r>
          </w:p>
        </w:tc>
        <w:tc>
          <w:tcPr>
            <w:tcW w:type="dxa" w:w="1386"/>
          </w:tcPr>
          <w:p>
            <w:pPr>
              <w:spacing w:after="40"/>
            </w:pPr>
            <w:r>
              <w:rPr>
                <w:sz w:val="17"/>
              </w:rPr>
            </w:r>
            <w:r>
              <w:rPr>
                <w:rFonts w:ascii="IBM Plex Sans" w:hAnsi="IBM Plex Sans" w:cs="IBM Plex Sans"/>
                <w:b w:val="0"/>
                <w:i w:val="0"/>
                <w:color w:val="161412"/>
                <w:sz w:val="17"/>
              </w:rPr>
              <w:t>tiempo, forma</w:t>
            </w:r>
          </w:p>
        </w:tc>
        <w:tc>
          <w:tcPr>
            <w:tcW w:type="dxa" w:w="1386"/>
          </w:tcPr>
          <w:p>
            <w:pPr>
              <w:spacing w:after="40"/>
            </w:pPr>
            <w:r>
              <w:rPr>
                <w:sz w:val="17"/>
              </w:rPr>
            </w:r>
            <w:r>
              <w:rPr>
                <w:rFonts w:ascii="IBM Plex Sans" w:hAnsi="IBM Plex Sans" w:cs="IBM Plex Sans"/>
                <w:b w:val="0"/>
                <w:i w:val="0"/>
                <w:color w:val="161412"/>
                <w:sz w:val="17"/>
              </w:rPr>
              <w:t>motion, háptica</w:t>
            </w:r>
          </w:p>
        </w:tc>
        <w:tc>
          <w:tcPr>
            <w:tcW w:type="dxa" w:w="1386"/>
          </w:tcPr>
          <w:p>
            <w:pPr>
              <w:spacing w:after="40"/>
            </w:pPr>
            <w:r>
              <w:rPr>
                <w:sz w:val="17"/>
              </w:rPr>
            </w:r>
            <w:r>
              <w:rPr>
                <w:rFonts w:ascii="IBM Plex Sans" w:hAnsi="IBM Plex Sans" w:cs="IBM Plex Sans"/>
                <w:b w:val="0"/>
                <w:i w:val="0"/>
                <w:color w:val="161412"/>
                <w:sz w:val="17"/>
              </w:rPr>
              <w:t>mínima</w:t>
            </w:r>
          </w:p>
        </w:tc>
        <w:tc>
          <w:tcPr>
            <w:tcW w:type="dxa" w:w="1386"/>
          </w:tcPr>
          <w:p>
            <w:pPr>
              <w:spacing w:after="40"/>
            </w:pPr>
            <w:r>
              <w:rPr>
                <w:sz w:val="17"/>
              </w:rPr>
            </w:r>
            <w:r>
              <w:rPr>
                <w:rFonts w:ascii="IBM Plex Sans" w:hAnsi="IBM Plex Sans" w:cs="IBM Plex Sans"/>
                <w:b w:val="0"/>
                <w:i w:val="0"/>
                <w:color w:val="161412"/>
                <w:sz w:val="17"/>
              </w:rPr>
              <w:t>no</w:t>
            </w:r>
          </w:p>
        </w:tc>
        <w:tc>
          <w:tcPr>
            <w:tcW w:type="dxa" w:w="1386"/>
          </w:tcPr>
          <w:p>
            <w:pPr>
              <w:spacing w:after="40"/>
            </w:pPr>
            <w:r>
              <w:rPr>
                <w:sz w:val="17"/>
              </w:rPr>
            </w:r>
            <w:r>
              <w:rPr>
                <w:rFonts w:ascii="IBM Plex Sans" w:hAnsi="IBM Plex Sans" w:cs="IBM Plex Sans"/>
                <w:b w:val="0"/>
                <w:i w:val="0"/>
                <w:color w:val="161412"/>
                <w:sz w:val="17"/>
              </w:rPr>
              <w:t>foco visible</w:t>
            </w:r>
          </w:p>
        </w:tc>
      </w:tr>
      <w:tr>
        <w:tc>
          <w:tcPr>
            <w:tcW w:type="dxa" w:w="1386"/>
          </w:tcPr>
          <w:p>
            <w:pPr>
              <w:spacing w:after="40"/>
            </w:pPr>
            <w:r>
              <w:rPr>
                <w:sz w:val="17"/>
              </w:rPr>
            </w:r>
            <w:r>
              <w:rPr>
                <w:rFonts w:ascii="IBM Plex Sans" w:hAnsi="IBM Plex Sans" w:cs="IBM Plex Sans"/>
                <w:b w:val="0"/>
                <w:i w:val="0"/>
                <w:color w:val="161412"/>
                <w:sz w:val="17"/>
              </w:rPr>
              <w:t>commit.save + affirm</w:t>
            </w:r>
          </w:p>
        </w:tc>
        <w:tc>
          <w:tcPr>
            <w:tcW w:type="dxa" w:w="1386"/>
          </w:tcPr>
          <w:p>
            <w:pPr>
              <w:spacing w:after="40"/>
            </w:pPr>
            <w:r>
              <w:rPr>
                <w:sz w:val="17"/>
              </w:rPr>
            </w:r>
            <w:r>
              <w:rPr>
                <w:rFonts w:ascii="IBM Plex Sans" w:hAnsi="IBM Plex Sans" w:cs="IBM Plex Sans"/>
                <w:b w:val="0"/>
                <w:i w:val="0"/>
                <w:color w:val="161412"/>
                <w:sz w:val="17"/>
              </w:rPr>
              <w:t>presencia, tiempo</w:t>
            </w:r>
          </w:p>
        </w:tc>
        <w:tc>
          <w:tcPr>
            <w:tcW w:type="dxa" w:w="1386"/>
          </w:tcPr>
          <w:p>
            <w:pPr>
              <w:spacing w:after="40"/>
            </w:pPr>
            <w:r>
              <w:rPr>
                <w:sz w:val="17"/>
              </w:rPr>
            </w:r>
            <w:r>
              <w:rPr>
                <w:rFonts w:ascii="IBM Plex Sans" w:hAnsi="IBM Plex Sans" w:cs="IBM Plex Sans"/>
                <w:b w:val="0"/>
                <w:i w:val="0"/>
                <w:color w:val="161412"/>
                <w:sz w:val="17"/>
              </w:rPr>
              <w:t>color suave</w:t>
            </w:r>
          </w:p>
        </w:tc>
        <w:tc>
          <w:tcPr>
            <w:tcW w:type="dxa" w:w="1386"/>
          </w:tcPr>
          <w:p>
            <w:pPr>
              <w:spacing w:after="40"/>
            </w:pPr>
            <w:r>
              <w:rPr>
                <w:sz w:val="17"/>
              </w:rPr>
            </w:r>
            <w:r>
              <w:rPr>
                <w:rFonts w:ascii="IBM Plex Sans" w:hAnsi="IBM Plex Sans" w:cs="IBM Plex Sans"/>
                <w:b w:val="0"/>
                <w:i w:val="0"/>
                <w:color w:val="161412"/>
                <w:sz w:val="17"/>
              </w:rPr>
              <w:t>baja</w:t>
            </w:r>
          </w:p>
        </w:tc>
        <w:tc>
          <w:tcPr>
            <w:tcW w:type="dxa" w:w="1386"/>
          </w:tcPr>
          <w:p>
            <w:pPr>
              <w:spacing w:after="40"/>
            </w:pPr>
            <w:r>
              <w:rPr>
                <w:sz w:val="17"/>
              </w:rPr>
            </w:r>
            <w:r>
              <w:rPr>
                <w:rFonts w:ascii="IBM Plex Sans" w:hAnsi="IBM Plex Sans" w:cs="IBM Plex Sans"/>
                <w:b w:val="0"/>
                <w:i w:val="0"/>
                <w:color w:val="161412"/>
                <w:sz w:val="17"/>
              </w:rPr>
              <w:t>breve</w:t>
            </w:r>
          </w:p>
        </w:tc>
        <w:tc>
          <w:tcPr>
            <w:tcW w:type="dxa" w:w="1386"/>
          </w:tcPr>
          <w:p>
            <w:pPr>
              <w:spacing w:after="40"/>
            </w:pPr>
            <w:r>
              <w:rPr>
                <w:sz w:val="17"/>
              </w:rPr>
            </w:r>
            <w:r>
              <w:rPr>
                <w:rFonts w:ascii="IBM Plex Sans" w:hAnsi="IBM Plex Sans" w:cs="IBM Plex Sans"/>
                <w:b w:val="0"/>
                <w:i w:val="0"/>
                <w:color w:val="161412"/>
                <w:sz w:val="17"/>
              </w:rPr>
              <w:t>texto si procede</w:t>
            </w:r>
          </w:p>
        </w:tc>
      </w:tr>
      <w:tr>
        <w:tc>
          <w:tcPr>
            <w:tcW w:type="dxa" w:w="1386"/>
          </w:tcPr>
          <w:p>
            <w:pPr>
              <w:spacing w:after="40"/>
            </w:pPr>
            <w:r>
              <w:rPr>
                <w:sz w:val="17"/>
              </w:rPr>
            </w:r>
            <w:r>
              <w:rPr>
                <w:rFonts w:ascii="IBM Plex Sans" w:hAnsi="IBM Plex Sans" w:cs="IBM Plex Sans"/>
                <w:b w:val="0"/>
                <w:i w:val="0"/>
                <w:color w:val="161412"/>
                <w:sz w:val="17"/>
              </w:rPr>
              <w:t>commit.complete + fulfill</w:t>
            </w:r>
          </w:p>
        </w:tc>
        <w:tc>
          <w:tcPr>
            <w:tcW w:type="dxa" w:w="1386"/>
          </w:tcPr>
          <w:p>
            <w:pPr>
              <w:spacing w:after="40"/>
            </w:pPr>
            <w:r>
              <w:rPr>
                <w:sz w:val="17"/>
              </w:rPr>
            </w:r>
            <w:r>
              <w:rPr>
                <w:rFonts w:ascii="IBM Plex Sans" w:hAnsi="IBM Plex Sans" w:cs="IBM Plex Sans"/>
                <w:b w:val="0"/>
                <w:i w:val="0"/>
                <w:color w:val="161412"/>
                <w:sz w:val="17"/>
              </w:rPr>
              <w:t>presencia, motion, forma</w:t>
            </w:r>
          </w:p>
        </w:tc>
        <w:tc>
          <w:tcPr>
            <w:tcW w:type="dxa" w:w="1386"/>
          </w:tcPr>
          <w:p>
            <w:pPr>
              <w:spacing w:after="40"/>
            </w:pPr>
            <w:r>
              <w:rPr>
                <w:sz w:val="17"/>
              </w:rPr>
            </w:r>
            <w:r>
              <w:rPr>
                <w:rFonts w:ascii="IBM Plex Sans" w:hAnsi="IBM Plex Sans" w:cs="IBM Plex Sans"/>
                <w:b w:val="0"/>
                <w:i w:val="0"/>
                <w:color w:val="161412"/>
                <w:sz w:val="17"/>
              </w:rPr>
              <w:t>sonido opcional</w:t>
            </w:r>
          </w:p>
        </w:tc>
        <w:tc>
          <w:tcPr>
            <w:tcW w:type="dxa" w:w="1386"/>
          </w:tcPr>
          <w:p>
            <w:pPr>
              <w:spacing w:after="40"/>
            </w:pPr>
            <w:r>
              <w:rPr>
                <w:sz w:val="17"/>
              </w:rPr>
            </w:r>
            <w:r>
              <w:rPr>
                <w:rFonts w:ascii="IBM Plex Sans" w:hAnsi="IBM Plex Sans" w:cs="IBM Plex Sans"/>
                <w:b w:val="0"/>
                <w:i w:val="0"/>
                <w:color w:val="161412"/>
                <w:sz w:val="17"/>
              </w:rPr>
              <w:t>media</w:t>
            </w:r>
          </w:p>
        </w:tc>
        <w:tc>
          <w:tcPr>
            <w:tcW w:type="dxa" w:w="1386"/>
          </w:tcPr>
          <w:p>
            <w:pPr>
              <w:spacing w:after="40"/>
            </w:pPr>
            <w:r>
              <w:rPr>
                <w:sz w:val="17"/>
              </w:rPr>
            </w:r>
            <w:r>
              <w:rPr>
                <w:rFonts w:ascii="IBM Plex Sans" w:hAnsi="IBM Plex Sans" w:cs="IBM Plex Sans"/>
                <w:b w:val="0"/>
                <w:i w:val="0"/>
                <w:color w:val="161412"/>
                <w:sz w:val="17"/>
              </w:rPr>
              <w:t>sí</w:t>
            </w:r>
          </w:p>
        </w:tc>
        <w:tc>
          <w:tcPr>
            <w:tcW w:type="dxa" w:w="1386"/>
          </w:tcPr>
          <w:p>
            <w:pPr>
              <w:spacing w:after="40"/>
            </w:pPr>
            <w:r>
              <w:rPr>
                <w:sz w:val="17"/>
              </w:rPr>
            </w:r>
            <w:r>
              <w:rPr>
                <w:rFonts w:ascii="IBM Plex Sans" w:hAnsi="IBM Plex Sans" w:cs="IBM Plex Sans"/>
                <w:b w:val="0"/>
                <w:i w:val="0"/>
                <w:color w:val="161412"/>
                <w:sz w:val="17"/>
              </w:rPr>
              <w:t>estado persistente</w:t>
            </w:r>
          </w:p>
        </w:tc>
      </w:tr>
      <w:tr>
        <w:tc>
          <w:tcPr>
            <w:tcW w:type="dxa" w:w="1386"/>
          </w:tcPr>
          <w:p>
            <w:pPr>
              <w:spacing w:after="40"/>
            </w:pPr>
            <w:r>
              <w:rPr>
                <w:sz w:val="17"/>
              </w:rPr>
            </w:r>
            <w:r>
              <w:rPr>
                <w:rFonts w:ascii="IBM Plex Sans" w:hAnsi="IBM Plex Sans" w:cs="IBM Plex Sans"/>
                <w:b w:val="0"/>
                <w:i w:val="0"/>
                <w:color w:val="161412"/>
                <w:sz w:val="17"/>
              </w:rPr>
              <w:t>signal.warn + risk</w:t>
            </w:r>
          </w:p>
        </w:tc>
        <w:tc>
          <w:tcPr>
            <w:tcW w:type="dxa" w:w="1386"/>
          </w:tcPr>
          <w:p>
            <w:pPr>
              <w:spacing w:after="40"/>
            </w:pPr>
            <w:r>
              <w:rPr>
                <w:sz w:val="17"/>
              </w:rPr>
            </w:r>
            <w:r>
              <w:rPr>
                <w:rFonts w:ascii="IBM Plex Sans" w:hAnsi="IBM Plex Sans" w:cs="IBM Plex Sans"/>
                <w:b w:val="0"/>
                <w:i w:val="0"/>
                <w:color w:val="161412"/>
                <w:sz w:val="17"/>
              </w:rPr>
              <w:t>forma, texto, presencia</w:t>
            </w:r>
          </w:p>
        </w:tc>
        <w:tc>
          <w:tcPr>
            <w:tcW w:type="dxa" w:w="1386"/>
          </w:tcPr>
          <w:p>
            <w:pPr>
              <w:spacing w:after="40"/>
            </w:pPr>
            <w:r>
              <w:rPr>
                <w:sz w:val="17"/>
              </w:rPr>
            </w:r>
            <w:r>
              <w:rPr>
                <w:rFonts w:ascii="IBM Plex Sans" w:hAnsi="IBM Plex Sans" w:cs="IBM Plex Sans"/>
                <w:b w:val="0"/>
                <w:i w:val="0"/>
                <w:color w:val="161412"/>
                <w:sz w:val="17"/>
              </w:rPr>
              <w:t>color</w:t>
            </w:r>
          </w:p>
        </w:tc>
        <w:tc>
          <w:tcPr>
            <w:tcW w:type="dxa" w:w="1386"/>
          </w:tcPr>
          <w:p>
            <w:pPr>
              <w:spacing w:after="40"/>
            </w:pPr>
            <w:r>
              <w:rPr>
                <w:sz w:val="17"/>
              </w:rPr>
            </w:r>
            <w:r>
              <w:rPr>
                <w:rFonts w:ascii="IBM Plex Sans" w:hAnsi="IBM Plex Sans" w:cs="IBM Plex Sans"/>
                <w:b w:val="0"/>
                <w:i w:val="0"/>
                <w:color w:val="161412"/>
                <w:sz w:val="17"/>
              </w:rPr>
              <w:t>media</w:t>
            </w:r>
          </w:p>
        </w:tc>
        <w:tc>
          <w:tcPr>
            <w:tcW w:type="dxa" w:w="1386"/>
          </w:tcPr>
          <w:p>
            <w:pPr>
              <w:spacing w:after="40"/>
            </w:pPr>
            <w:r>
              <w:rPr>
                <w:sz w:val="17"/>
              </w:rPr>
            </w:r>
            <w:r>
              <w:rPr>
                <w:rFonts w:ascii="IBM Plex Sans" w:hAnsi="IBM Plex Sans" w:cs="IBM Plex Sans"/>
                <w:b w:val="0"/>
                <w:i w:val="0"/>
                <w:color w:val="161412"/>
                <w:sz w:val="17"/>
              </w:rPr>
              <w:t>hasta corrección</w:t>
            </w:r>
          </w:p>
        </w:tc>
        <w:tc>
          <w:tcPr>
            <w:tcW w:type="dxa" w:w="1386"/>
          </w:tcPr>
          <w:p>
            <w:pPr>
              <w:spacing w:after="40"/>
            </w:pPr>
            <w:r>
              <w:rPr>
                <w:sz w:val="17"/>
              </w:rPr>
            </w:r>
            <w:r>
              <w:rPr>
                <w:rFonts w:ascii="IBM Plex Sans" w:hAnsi="IBM Plex Sans" w:cs="IBM Plex Sans"/>
                <w:b w:val="0"/>
                <w:i w:val="0"/>
                <w:color w:val="161412"/>
                <w:sz w:val="17"/>
              </w:rPr>
              <w:t>relación con campo</w:t>
            </w:r>
          </w:p>
        </w:tc>
      </w:tr>
      <w:tr>
        <w:tc>
          <w:tcPr>
            <w:tcW w:type="dxa" w:w="1386"/>
          </w:tcPr>
          <w:p>
            <w:pPr>
              <w:spacing w:after="40"/>
            </w:pPr>
            <w:r>
              <w:rPr>
                <w:sz w:val="17"/>
              </w:rPr>
            </w:r>
            <w:r>
              <w:rPr>
                <w:rFonts w:ascii="IBM Plex Sans" w:hAnsi="IBM Plex Sans" w:cs="IBM Plex Sans"/>
                <w:b w:val="0"/>
                <w:i w:val="0"/>
                <w:color w:val="161412"/>
                <w:sz w:val="17"/>
              </w:rPr>
              <w:t>signal.alert + threat</w:t>
            </w:r>
          </w:p>
        </w:tc>
        <w:tc>
          <w:tcPr>
            <w:tcW w:type="dxa" w:w="1386"/>
          </w:tcPr>
          <w:p>
            <w:pPr>
              <w:spacing w:after="40"/>
            </w:pPr>
            <w:r>
              <w:rPr>
                <w:sz w:val="17"/>
              </w:rPr>
            </w:r>
            <w:r>
              <w:rPr>
                <w:rFonts w:ascii="IBM Plex Sans" w:hAnsi="IBM Plex Sans" w:cs="IBM Plex Sans"/>
                <w:b w:val="0"/>
                <w:i w:val="0"/>
                <w:color w:val="161412"/>
                <w:sz w:val="17"/>
              </w:rPr>
              <w:t>presencia, profundidad, forma</w:t>
            </w:r>
          </w:p>
        </w:tc>
        <w:tc>
          <w:tcPr>
            <w:tcW w:type="dxa" w:w="1386"/>
          </w:tcPr>
          <w:p>
            <w:pPr>
              <w:spacing w:after="40"/>
            </w:pPr>
            <w:r>
              <w:rPr>
                <w:sz w:val="17"/>
              </w:rPr>
            </w:r>
            <w:r>
              <w:rPr>
                <w:rFonts w:ascii="IBM Plex Sans" w:hAnsi="IBM Plex Sans" w:cs="IBM Plex Sans"/>
                <w:b w:val="0"/>
                <w:i w:val="0"/>
                <w:color w:val="161412"/>
                <w:sz w:val="17"/>
              </w:rPr>
              <w:t>sonido opcional</w:t>
            </w:r>
          </w:p>
        </w:tc>
        <w:tc>
          <w:tcPr>
            <w:tcW w:type="dxa" w:w="1386"/>
          </w:tcPr>
          <w:p>
            <w:pPr>
              <w:spacing w:after="40"/>
            </w:pPr>
            <w:r>
              <w:rPr>
                <w:sz w:val="17"/>
              </w:rPr>
            </w:r>
            <w:r>
              <w:rPr>
                <w:rFonts w:ascii="IBM Plex Sans" w:hAnsi="IBM Plex Sans" w:cs="IBM Plex Sans"/>
                <w:b w:val="0"/>
                <w:i w:val="0"/>
                <w:color w:val="161412"/>
                <w:sz w:val="17"/>
              </w:rPr>
              <w:t>alta</w:t>
            </w:r>
          </w:p>
        </w:tc>
        <w:tc>
          <w:tcPr>
            <w:tcW w:type="dxa" w:w="1386"/>
          </w:tcPr>
          <w:p>
            <w:pPr>
              <w:spacing w:after="40"/>
            </w:pPr>
            <w:r>
              <w:rPr>
                <w:sz w:val="17"/>
              </w:rPr>
            </w:r>
            <w:r>
              <w:rPr>
                <w:rFonts w:ascii="IBM Plex Sans" w:hAnsi="IBM Plex Sans" w:cs="IBM Plex Sans"/>
                <w:b w:val="0"/>
                <w:i w:val="0"/>
                <w:color w:val="161412"/>
                <w:sz w:val="17"/>
              </w:rPr>
              <w:t>hasta decisión</w:t>
            </w:r>
          </w:p>
        </w:tc>
        <w:tc>
          <w:tcPr>
            <w:tcW w:type="dxa" w:w="1386"/>
          </w:tcPr>
          <w:p>
            <w:pPr>
              <w:spacing w:after="40"/>
            </w:pPr>
            <w:r>
              <w:rPr>
                <w:sz w:val="17"/>
              </w:rPr>
            </w:r>
            <w:r>
              <w:rPr>
                <w:rFonts w:ascii="IBM Plex Sans" w:hAnsi="IBM Plex Sans" w:cs="IBM Plex Sans"/>
                <w:b w:val="0"/>
                <w:i w:val="0"/>
                <w:color w:val="161412"/>
                <w:sz w:val="17"/>
              </w:rPr>
              <w:t>anuncio urgente</w:t>
            </w:r>
          </w:p>
        </w:tc>
      </w:tr>
      <w:tr>
        <w:tc>
          <w:tcPr>
            <w:tcW w:type="dxa" w:w="1386"/>
          </w:tcPr>
          <w:p>
            <w:pPr>
              <w:spacing w:after="40"/>
            </w:pPr>
            <w:r>
              <w:rPr>
                <w:sz w:val="17"/>
              </w:rPr>
            </w:r>
            <w:r>
              <w:rPr>
                <w:rFonts w:ascii="IBM Plex Sans" w:hAnsi="IBM Plex Sans" w:cs="IBM Plex Sans"/>
                <w:b w:val="0"/>
                <w:i w:val="0"/>
                <w:color w:val="161412"/>
                <w:sz w:val="17"/>
              </w:rPr>
              <w:t>commit.delete + loss</w:t>
            </w:r>
          </w:p>
        </w:tc>
        <w:tc>
          <w:tcPr>
            <w:tcW w:type="dxa" w:w="1386"/>
          </w:tcPr>
          <w:p>
            <w:pPr>
              <w:spacing w:after="40"/>
            </w:pPr>
            <w:r>
              <w:rPr>
                <w:sz w:val="17"/>
              </w:rPr>
            </w:r>
            <w:r>
              <w:rPr>
                <w:rFonts w:ascii="IBM Plex Sans" w:hAnsi="IBM Plex Sans" w:cs="IBM Plex Sans"/>
                <w:b w:val="0"/>
                <w:i w:val="0"/>
                <w:color w:val="161412"/>
                <w:sz w:val="17"/>
              </w:rPr>
              <w:t>presencia, forma, tiempo</w:t>
            </w:r>
          </w:p>
        </w:tc>
        <w:tc>
          <w:tcPr>
            <w:tcW w:type="dxa" w:w="1386"/>
          </w:tcPr>
          <w:p>
            <w:pPr>
              <w:spacing w:after="40"/>
            </w:pPr>
            <w:r>
              <w:rPr>
                <w:sz w:val="17"/>
              </w:rPr>
            </w:r>
            <w:r>
              <w:rPr>
                <w:rFonts w:ascii="IBM Plex Sans" w:hAnsi="IBM Plex Sans" w:cs="IBM Plex Sans"/>
                <w:b w:val="0"/>
                <w:i w:val="0"/>
                <w:color w:val="161412"/>
                <w:sz w:val="17"/>
              </w:rPr>
              <w:t>color, motion</w:t>
            </w:r>
          </w:p>
        </w:tc>
        <w:tc>
          <w:tcPr>
            <w:tcW w:type="dxa" w:w="1386"/>
          </w:tcPr>
          <w:p>
            <w:pPr>
              <w:spacing w:after="40"/>
            </w:pPr>
            <w:r>
              <w:rPr>
                <w:sz w:val="17"/>
              </w:rPr>
            </w:r>
            <w:r>
              <w:rPr>
                <w:rFonts w:ascii="IBM Plex Sans" w:hAnsi="IBM Plex Sans" w:cs="IBM Plex Sans"/>
                <w:b w:val="0"/>
                <w:i w:val="0"/>
                <w:color w:val="161412"/>
                <w:sz w:val="17"/>
              </w:rPr>
              <w:t>alta</w:t>
            </w:r>
          </w:p>
        </w:tc>
        <w:tc>
          <w:tcPr>
            <w:tcW w:type="dxa" w:w="1386"/>
          </w:tcPr>
          <w:p>
            <w:pPr>
              <w:spacing w:after="40"/>
            </w:pPr>
            <w:r>
              <w:rPr>
                <w:sz w:val="17"/>
              </w:rPr>
            </w:r>
            <w:r>
              <w:rPr>
                <w:rFonts w:ascii="IBM Plex Sans" w:hAnsi="IBM Plex Sans" w:cs="IBM Plex Sans"/>
                <w:b w:val="0"/>
                <w:i w:val="0"/>
                <w:color w:val="161412"/>
                <w:sz w:val="17"/>
              </w:rPr>
              <w:t>sí</w:t>
            </w:r>
          </w:p>
        </w:tc>
        <w:tc>
          <w:tcPr>
            <w:tcW w:type="dxa" w:w="1386"/>
          </w:tcPr>
          <w:p>
            <w:pPr>
              <w:spacing w:after="40"/>
            </w:pPr>
            <w:r>
              <w:rPr>
                <w:sz w:val="17"/>
              </w:rPr>
            </w:r>
            <w:r>
              <w:rPr>
                <w:rFonts w:ascii="IBM Plex Sans" w:hAnsi="IBM Plex Sans" w:cs="IBM Plex Sans"/>
                <w:b w:val="0"/>
                <w:i w:val="0"/>
                <w:color w:val="161412"/>
                <w:sz w:val="17"/>
              </w:rPr>
              <w:t>deshacer / mensaje persistente</w:t>
            </w:r>
          </w:p>
        </w:tc>
      </w:tr>
      <w:tr>
        <w:tc>
          <w:tcPr>
            <w:tcW w:type="dxa" w:w="1386"/>
          </w:tcPr>
          <w:p>
            <w:pPr>
              <w:spacing w:after="40"/>
            </w:pPr>
            <w:r>
              <w:rPr>
                <w:sz w:val="17"/>
              </w:rPr>
            </w:r>
            <w:r>
              <w:rPr>
                <w:rFonts w:ascii="IBM Plex Sans" w:hAnsi="IBM Plex Sans" w:cs="IBM Plex Sans"/>
                <w:b w:val="0"/>
                <w:i w:val="0"/>
                <w:color w:val="161412"/>
                <w:sz w:val="17"/>
              </w:rPr>
              <w:t>delegate.act</w:t>
            </w:r>
          </w:p>
        </w:tc>
        <w:tc>
          <w:tcPr>
            <w:tcW w:type="dxa" w:w="1386"/>
          </w:tcPr>
          <w:p>
            <w:pPr>
              <w:spacing w:after="40"/>
            </w:pPr>
            <w:r>
              <w:rPr>
                <w:sz w:val="17"/>
              </w:rPr>
            </w:r>
            <w:r>
              <w:rPr>
                <w:rFonts w:ascii="IBM Plex Sans" w:hAnsi="IBM Plex Sans" w:cs="IBM Plex Sans"/>
                <w:b w:val="0"/>
                <w:i w:val="0"/>
                <w:color w:val="161412"/>
                <w:sz w:val="17"/>
              </w:rPr>
              <w:t>presencia, texto, sustain</w:t>
            </w:r>
          </w:p>
        </w:tc>
        <w:tc>
          <w:tcPr>
            <w:tcW w:type="dxa" w:w="1386"/>
          </w:tcPr>
          <w:p>
            <w:pPr>
              <w:spacing w:after="40"/>
            </w:pPr>
            <w:r>
              <w:rPr>
                <w:sz w:val="17"/>
              </w:rPr>
            </w:r>
            <w:r>
              <w:rPr>
                <w:rFonts w:ascii="IBM Plex Sans" w:hAnsi="IBM Plex Sans" w:cs="IBM Plex Sans"/>
                <w:b w:val="0"/>
                <w:i w:val="0"/>
                <w:color w:val="161412"/>
                <w:sz w:val="17"/>
              </w:rPr>
              <w:t>motion</w:t>
            </w:r>
          </w:p>
        </w:tc>
        <w:tc>
          <w:tcPr>
            <w:tcW w:type="dxa" w:w="1386"/>
          </w:tcPr>
          <w:p>
            <w:pPr>
              <w:spacing w:after="40"/>
            </w:pPr>
            <w:r>
              <w:rPr>
                <w:sz w:val="17"/>
              </w:rPr>
            </w:r>
            <w:r>
              <w:rPr>
                <w:rFonts w:ascii="IBM Plex Sans" w:hAnsi="IBM Plex Sans" w:cs="IBM Plex Sans"/>
                <w:b w:val="0"/>
                <w:i w:val="0"/>
                <w:color w:val="161412"/>
                <w:sz w:val="17"/>
              </w:rPr>
              <w:t>media</w:t>
            </w:r>
          </w:p>
        </w:tc>
        <w:tc>
          <w:tcPr>
            <w:tcW w:type="dxa" w:w="1386"/>
          </w:tcPr>
          <w:p>
            <w:pPr>
              <w:spacing w:after="40"/>
            </w:pPr>
            <w:r>
              <w:rPr>
                <w:sz w:val="17"/>
              </w:rPr>
            </w:r>
            <w:r>
              <w:rPr>
                <w:rFonts w:ascii="IBM Plex Sans" w:hAnsi="IBM Plex Sans" w:cs="IBM Plex Sans"/>
                <w:b w:val="0"/>
                <w:i w:val="0"/>
                <w:color w:val="161412"/>
                <w:sz w:val="17"/>
              </w:rPr>
              <w:t>hasta retorno</w:t>
            </w:r>
          </w:p>
        </w:tc>
        <w:tc>
          <w:tcPr>
            <w:tcW w:type="dxa" w:w="1386"/>
          </w:tcPr>
          <w:p>
            <w:pPr>
              <w:spacing w:after="40"/>
            </w:pPr>
            <w:r>
              <w:rPr>
                <w:sz w:val="17"/>
              </w:rPr>
            </w:r>
            <w:r>
              <w:rPr>
                <w:rFonts w:ascii="IBM Plex Sans" w:hAnsi="IBM Plex Sans" w:cs="IBM Plex Sans"/>
                <w:b w:val="0"/>
                <w:i w:val="0"/>
                <w:color w:val="161412"/>
                <w:sz w:val="17"/>
              </w:rPr>
              <w:t>cancelar / revisar</w:t>
            </w:r>
          </w:p>
        </w:tc>
      </w:tr>
    </w:tbl>
    <w:p>
      <w:pPr>
        <w:spacing w:after="80"/>
      </w:pPr>
    </w:p>
    <w:p>
      <w:pPr>
        <w:spacing w:after="160" w:line="240" w:lineRule="auto"/>
      </w:pPr>
      <w:r>
        <w:rPr>
          <w:rFonts w:ascii="Newsreader" w:hAnsi="Newsreader" w:cs="Newsreader"/>
          <w:color w:val="161412"/>
          <w:sz w:val="38"/>
        </w:rPr>
        <w:t xml:space="preserve">Referencia canónica: familias e intents</w:t>
      </w:r>
    </w:p>
    <w:p>
      <w:pPr>
        <w:spacing w:after="120" w:line="320" w:lineRule="auto"/>
        <w:jc w:val="both"/>
      </w:pPr>
      <w:r>
        <w:rPr>
          <w:rFonts w:ascii="Newsreader" w:hAnsi="Newsreader" w:cs="Newsreader"/>
          <w:b w:val="0"/>
          <w:i w:val="0"/>
          <w:color w:val="161412"/>
        </w:rPr>
        <w:t xml:space="preserve">Las dos tablas transversales del libro, reunidas aquí para consulta rápida. Los capítulos remiten a esta página en lugar de repetirlas.</w:t>
      </w:r>
    </w:p>
    <w:p>
      <w:pPr>
        <w:spacing w:after="200" w:before="40"/>
      </w:pPr>
      <w:r>
        <w:rPr>
          <w:rFonts w:ascii="IBM Plex Sans" w:hAnsi="IBM Plex Sans" w:cs="IBM Plex Sans"/>
          <w:b/>
          <w:color w:val="1F3A5F"/>
          <w:sz w:val="17"/>
        </w:rPr>
        <w:t xml:space="preserve">TABLA B.2   </w:t>
      </w:r>
      <w:r>
        <w:rPr>
          <w:rFonts w:ascii="IBM Plex Sans" w:hAnsi="IBM Plex Sans" w:cs="IBM Plex Sans"/>
          <w:color w:val="3A352F"/>
          <w:sz w:val="18"/>
        </w:rPr>
        <w:t xml:space="preserve">Síntesis de las ocho familias</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1386"/>
        <w:gridCol w:w="1386"/>
        <w:gridCol w:w="1386"/>
        <w:gridCol w:w="1386"/>
        <w:gridCol w:w="1386"/>
        <w:gridCol w:w="1386"/>
      </w:tblGrid>
      <w:tr>
        <w:tc>
          <w:tcPr>
            <w:tcW w:type="dxa" w:w="1386"/>
            <w:shd w:val="clear" w:color="auto" w:fill="EAE4D8"/>
          </w:tcPr>
          <w:p>
            <w:pPr>
              <w:spacing w:after="40"/>
            </w:pPr>
            <w:r>
              <w:rPr>
                <w:sz w:val="17"/>
              </w:rPr>
            </w:r>
            <w:r>
              <w:rPr>
                <w:rFonts w:ascii="IBM Plex Sans" w:hAnsi="IBM Plex Sans" w:cs="IBM Plex Sans"/>
                <w:b/>
                <w:i w:val="0"/>
                <w:color w:val="1F3A5F"/>
                <w:sz w:val="17"/>
              </w:rPr>
              <w:t>Familia</w:t>
            </w:r>
          </w:p>
        </w:tc>
        <w:tc>
          <w:tcPr>
            <w:tcW w:type="dxa" w:w="1386"/>
            <w:shd w:val="clear" w:color="auto" w:fill="EAE4D8"/>
          </w:tcPr>
          <w:p>
            <w:pPr>
              <w:spacing w:after="40"/>
            </w:pPr>
            <w:r>
              <w:rPr>
                <w:sz w:val="17"/>
              </w:rPr>
            </w:r>
            <w:r>
              <w:rPr>
                <w:rFonts w:ascii="IBM Plex Sans" w:hAnsi="IBM Plex Sans" w:cs="IBM Plex Sans"/>
                <w:b/>
                <w:i w:val="0"/>
                <w:color w:val="1F3A5F"/>
                <w:sz w:val="17"/>
              </w:rPr>
              <w:t>Pregunta perceptiva</w:t>
            </w:r>
          </w:p>
        </w:tc>
        <w:tc>
          <w:tcPr>
            <w:tcW w:type="dxa" w:w="1386"/>
            <w:shd w:val="clear" w:color="auto" w:fill="EAE4D8"/>
          </w:tcPr>
          <w:p>
            <w:pPr>
              <w:spacing w:after="40"/>
            </w:pPr>
            <w:r>
              <w:rPr>
                <w:sz w:val="17"/>
              </w:rPr>
            </w:r>
            <w:r>
              <w:rPr>
                <w:rFonts w:ascii="IBM Plex Sans" w:hAnsi="IBM Plex Sans" w:cs="IBM Plex Sans"/>
                <w:b/>
                <w:i w:val="0"/>
                <w:color w:val="1F3A5F"/>
                <w:sz w:val="17"/>
              </w:rPr>
              <w:t>¿Acepta intent?</w:t>
            </w:r>
          </w:p>
        </w:tc>
        <w:tc>
          <w:tcPr>
            <w:tcW w:type="dxa" w:w="1386"/>
            <w:shd w:val="clear" w:color="auto" w:fill="EAE4D8"/>
          </w:tcPr>
          <w:p>
            <w:pPr>
              <w:spacing w:after="40"/>
            </w:pPr>
            <w:r>
              <w:rPr>
                <w:sz w:val="17"/>
              </w:rPr>
            </w:r>
            <w:r>
              <w:rPr>
                <w:rFonts w:ascii="IBM Plex Sans" w:hAnsi="IBM Plex Sans" w:cs="IBM Plex Sans"/>
                <w:b/>
                <w:i w:val="0"/>
                <w:color w:val="1F3A5F"/>
                <w:sz w:val="17"/>
              </w:rPr>
              <w:t>Fase típica</w:t>
            </w:r>
          </w:p>
        </w:tc>
        <w:tc>
          <w:tcPr>
            <w:tcW w:type="dxa" w:w="1386"/>
            <w:shd w:val="clear" w:color="auto" w:fill="EAE4D8"/>
          </w:tcPr>
          <w:p>
            <w:pPr>
              <w:spacing w:after="40"/>
            </w:pPr>
            <w:r>
              <w:rPr>
                <w:sz w:val="17"/>
              </w:rPr>
            </w:r>
            <w:r>
              <w:rPr>
                <w:rFonts w:ascii="IBM Plex Sans" w:hAnsi="IBM Plex Sans" w:cs="IBM Plex Sans"/>
                <w:b/>
                <w:i w:val="0"/>
                <w:color w:val="1F3A5F"/>
                <w:sz w:val="17"/>
              </w:rPr>
              <w:t>Canales dominantes</w:t>
            </w:r>
          </w:p>
        </w:tc>
        <w:tc>
          <w:tcPr>
            <w:tcW w:type="dxa" w:w="1386"/>
            <w:shd w:val="clear" w:color="auto" w:fill="EAE4D8"/>
          </w:tcPr>
          <w:p>
            <w:pPr>
              <w:spacing w:after="40"/>
            </w:pPr>
            <w:r>
              <w:rPr>
                <w:sz w:val="17"/>
              </w:rPr>
            </w:r>
            <w:r>
              <w:rPr>
                <w:rFonts w:ascii="IBM Plex Sans" w:hAnsi="IBM Plex Sans" w:cs="IBM Plex Sans"/>
                <w:b/>
                <w:i w:val="0"/>
                <w:color w:val="1F3A5F"/>
                <w:sz w:val="17"/>
              </w:rPr>
              <w:t>Antipatrón capital</w:t>
            </w:r>
          </w:p>
        </w:tc>
      </w:tr>
      <w:tr>
        <w:tc>
          <w:tcPr>
            <w:tcW w:type="dxa" w:w="1386"/>
          </w:tcPr>
          <w:p>
            <w:pPr>
              <w:spacing w:after="40"/>
            </w:pPr>
            <w:r>
              <w:rPr>
                <w:sz w:val="17"/>
              </w:rPr>
            </w:r>
            <w:r>
              <w:rPr>
                <w:rFonts w:ascii="IBM Plex Sans" w:hAnsi="IBM Plex Sans" w:cs="IBM Plex Sans"/>
                <w:b w:val="0"/>
                <w:i w:val="0"/>
                <w:color w:val="161412"/>
                <w:sz w:val="17"/>
              </w:rPr>
              <w:t>contact</w:t>
            </w:r>
          </w:p>
        </w:tc>
        <w:tc>
          <w:tcPr>
            <w:tcW w:type="dxa" w:w="1386"/>
          </w:tcPr>
          <w:p>
            <w:pPr>
              <w:spacing w:after="40"/>
            </w:pPr>
            <w:r>
              <w:rPr>
                <w:sz w:val="17"/>
              </w:rPr>
            </w:r>
            <w:r>
              <w:rPr>
                <w:rFonts w:ascii="IBM Plex Sans" w:hAnsi="IBM Plex Sans" w:cs="IBM Plex Sans"/>
                <w:b w:val="0"/>
                <w:i w:val="0"/>
                <w:color w:val="161412"/>
                <w:sz w:val="17"/>
              </w:rPr>
              <w:t>¿me has sentido?</w:t>
            </w:r>
          </w:p>
        </w:tc>
        <w:tc>
          <w:tcPr>
            <w:tcW w:type="dxa" w:w="1386"/>
          </w:tcPr>
          <w:p>
            <w:pPr>
              <w:spacing w:after="40"/>
            </w:pPr>
            <w:r>
              <w:rPr>
                <w:sz w:val="17"/>
              </w:rPr>
            </w:r>
            <w:r>
              <w:rPr>
                <w:rFonts w:ascii="IBM Plex Sans" w:hAnsi="IBM Plex Sans" w:cs="IBM Plex Sans"/>
                <w:b w:val="0"/>
                <w:i w:val="0"/>
                <w:color w:val="161412"/>
                <w:sz w:val="17"/>
              </w:rPr>
              <w:t>No</w:t>
            </w:r>
          </w:p>
        </w:tc>
        <w:tc>
          <w:tcPr>
            <w:tcW w:type="dxa" w:w="1386"/>
          </w:tcPr>
          <w:p>
            <w:pPr>
              <w:spacing w:after="40"/>
            </w:pPr>
            <w:r>
              <w:rPr>
                <w:sz w:val="17"/>
              </w:rPr>
            </w:r>
            <w:r>
              <w:rPr>
                <w:rFonts w:ascii="IBM Plex Sans" w:hAnsi="IBM Plex Sans" w:cs="IBM Plex Sans"/>
                <w:b w:val="0"/>
                <w:i w:val="0"/>
                <w:color w:val="161412"/>
                <w:sz w:val="17"/>
              </w:rPr>
              <w:t>inmediata (&lt;100 ms)</w:t>
            </w:r>
          </w:p>
        </w:tc>
        <w:tc>
          <w:tcPr>
            <w:tcW w:type="dxa" w:w="1386"/>
          </w:tcPr>
          <w:p>
            <w:pPr>
              <w:spacing w:after="40"/>
            </w:pPr>
            <w:r>
              <w:rPr>
                <w:sz w:val="17"/>
              </w:rPr>
            </w:r>
            <w:r>
              <w:rPr>
                <w:rFonts w:ascii="IBM Plex Sans" w:hAnsi="IBM Plex Sans" w:cs="IBM Plex Sans"/>
                <w:b w:val="0"/>
                <w:i w:val="0"/>
                <w:color w:val="161412"/>
                <w:sz w:val="17"/>
              </w:rPr>
              <w:t>tiempo, motion, forma, háptica</w:t>
            </w:r>
          </w:p>
        </w:tc>
        <w:tc>
          <w:tcPr>
            <w:tcW w:type="dxa" w:w="1386"/>
          </w:tcPr>
          <w:p>
            <w:pPr>
              <w:spacing w:after="40"/>
            </w:pPr>
            <w:r>
              <w:rPr>
                <w:sz w:val="17"/>
              </w:rPr>
            </w:r>
            <w:r>
              <w:rPr>
                <w:rFonts w:ascii="IBM Plex Sans" w:hAnsi="IBM Plex Sans" w:cs="IBM Plex Sans"/>
                <w:b w:val="0"/>
                <w:i w:val="0"/>
                <w:color w:val="161412"/>
                <w:sz w:val="17"/>
              </w:rPr>
              <w:t>celebrar el contacto como si fuera resultado</w:t>
            </w:r>
          </w:p>
        </w:tc>
      </w:tr>
      <w:tr>
        <w:tc>
          <w:tcPr>
            <w:tcW w:type="dxa" w:w="1386"/>
          </w:tcPr>
          <w:p>
            <w:pPr>
              <w:spacing w:after="40"/>
            </w:pPr>
            <w:r>
              <w:rPr>
                <w:sz w:val="17"/>
              </w:rPr>
            </w:r>
            <w:r>
              <w:rPr>
                <w:rFonts w:ascii="IBM Plex Sans" w:hAnsi="IBM Plex Sans" w:cs="IBM Plex Sans"/>
                <w:b w:val="0"/>
                <w:i w:val="0"/>
                <w:color w:val="161412"/>
                <w:sz w:val="17"/>
              </w:rPr>
              <w:t>commit</w:t>
            </w:r>
          </w:p>
        </w:tc>
        <w:tc>
          <w:tcPr>
            <w:tcW w:type="dxa" w:w="1386"/>
          </w:tcPr>
          <w:p>
            <w:pPr>
              <w:spacing w:after="40"/>
            </w:pPr>
            <w:r>
              <w:rPr>
                <w:sz w:val="17"/>
              </w:rPr>
            </w:r>
            <w:r>
              <w:rPr>
                <w:rFonts w:ascii="IBM Plex Sans" w:hAnsi="IBM Plex Sans" w:cs="IBM Plex Sans"/>
                <w:b w:val="0"/>
                <w:i w:val="0"/>
                <w:color w:val="161412"/>
                <w:sz w:val="17"/>
              </w:rPr>
              <w:t>¿qué resultado quedó?</w:t>
            </w:r>
          </w:p>
        </w:tc>
        <w:tc>
          <w:tcPr>
            <w:tcW w:type="dxa" w:w="1386"/>
          </w:tcPr>
          <w:p>
            <w:pPr>
              <w:spacing w:after="40"/>
            </w:pPr>
            <w:r>
              <w:rPr>
                <w:sz w:val="17"/>
              </w:rPr>
            </w:r>
            <w:r>
              <w:rPr>
                <w:rFonts w:ascii="IBM Plex Sans" w:hAnsi="IBM Plex Sans" w:cs="IBM Plex Sans"/>
                <w:b w:val="0"/>
                <w:i w:val="0"/>
                <w:color w:val="161412"/>
                <w:sz w:val="17"/>
              </w:rPr>
              <w:t>Sí</w:t>
            </w:r>
          </w:p>
        </w:tc>
        <w:tc>
          <w:tcPr>
            <w:tcW w:type="dxa" w:w="1386"/>
          </w:tcPr>
          <w:p>
            <w:pPr>
              <w:spacing w:after="40"/>
            </w:pPr>
            <w:r>
              <w:rPr>
                <w:sz w:val="17"/>
              </w:rPr>
            </w:r>
            <w:r>
              <w:rPr>
                <w:rFonts w:ascii="IBM Plex Sans" w:hAnsi="IBM Plex Sans" w:cs="IBM Plex Sans"/>
                <w:b w:val="0"/>
                <w:i w:val="0"/>
                <w:color w:val="161412"/>
                <w:sz w:val="17"/>
              </w:rPr>
              <w:t>al resolverse la acción</w:t>
            </w:r>
          </w:p>
        </w:tc>
        <w:tc>
          <w:tcPr>
            <w:tcW w:type="dxa" w:w="1386"/>
          </w:tcPr>
          <w:p>
            <w:pPr>
              <w:spacing w:after="40"/>
            </w:pPr>
            <w:r>
              <w:rPr>
                <w:sz w:val="17"/>
              </w:rPr>
            </w:r>
            <w:r>
              <w:rPr>
                <w:rFonts w:ascii="IBM Plex Sans" w:hAnsi="IBM Plex Sans" w:cs="IBM Plex Sans"/>
                <w:b w:val="0"/>
                <w:i w:val="0"/>
                <w:color w:val="161412"/>
                <w:sz w:val="17"/>
              </w:rPr>
              <w:t>presencia, forma, tiempo, color</w:t>
            </w:r>
          </w:p>
        </w:tc>
        <w:tc>
          <w:tcPr>
            <w:tcW w:type="dxa" w:w="1386"/>
          </w:tcPr>
          <w:p>
            <w:pPr>
              <w:spacing w:after="40"/>
            </w:pPr>
            <w:r>
              <w:rPr>
                <w:sz w:val="17"/>
              </w:rPr>
            </w:r>
            <w:r>
              <w:rPr>
                <w:rFonts w:ascii="IBM Plex Sans" w:hAnsi="IBM Plex Sans" w:cs="IBM Plex Sans"/>
                <w:b w:val="0"/>
                <w:i w:val="0"/>
                <w:color w:val="161412"/>
                <w:sz w:val="17"/>
              </w:rPr>
              <w:t>success prematuro: celebrar lo que aún no ocurrió</w:t>
            </w:r>
          </w:p>
        </w:tc>
      </w:tr>
      <w:tr>
        <w:tc>
          <w:tcPr>
            <w:tcW w:type="dxa" w:w="1386"/>
          </w:tcPr>
          <w:p>
            <w:pPr>
              <w:spacing w:after="40"/>
            </w:pPr>
            <w:r>
              <w:rPr>
                <w:sz w:val="17"/>
              </w:rPr>
            </w:r>
            <w:r>
              <w:rPr>
                <w:rFonts w:ascii="IBM Plex Sans" w:hAnsi="IBM Plex Sans" w:cs="IBM Plex Sans"/>
                <w:b w:val="0"/>
                <w:i w:val="0"/>
                <w:color w:val="161412"/>
                <w:sz w:val="17"/>
              </w:rPr>
              <w:t>signal</w:t>
            </w:r>
          </w:p>
        </w:tc>
        <w:tc>
          <w:tcPr>
            <w:tcW w:type="dxa" w:w="1386"/>
          </w:tcPr>
          <w:p>
            <w:pPr>
              <w:spacing w:after="40"/>
            </w:pPr>
            <w:r>
              <w:rPr>
                <w:sz w:val="17"/>
              </w:rPr>
            </w:r>
            <w:r>
              <w:rPr>
                <w:rFonts w:ascii="IBM Plex Sans" w:hAnsi="IBM Plex Sans" w:cs="IBM Plex Sans"/>
                <w:b w:val="0"/>
                <w:i w:val="0"/>
                <w:color w:val="161412"/>
                <w:sz w:val="17"/>
              </w:rPr>
              <w:t>¿debo atender ahora?</w:t>
            </w:r>
          </w:p>
        </w:tc>
        <w:tc>
          <w:tcPr>
            <w:tcW w:type="dxa" w:w="1386"/>
          </w:tcPr>
          <w:p>
            <w:pPr>
              <w:spacing w:after="40"/>
            </w:pPr>
            <w:r>
              <w:rPr>
                <w:sz w:val="17"/>
              </w:rPr>
            </w:r>
            <w:r>
              <w:rPr>
                <w:rFonts w:ascii="IBM Plex Sans" w:hAnsi="IBM Plex Sans" w:cs="IBM Plex Sans"/>
                <w:b w:val="0"/>
                <w:i w:val="0"/>
                <w:color w:val="161412"/>
                <w:sz w:val="17"/>
              </w:rPr>
              <w:t>Sí</w:t>
            </w:r>
          </w:p>
        </w:tc>
        <w:tc>
          <w:tcPr>
            <w:tcW w:type="dxa" w:w="1386"/>
          </w:tcPr>
          <w:p>
            <w:pPr>
              <w:spacing w:after="40"/>
            </w:pPr>
            <w:r>
              <w:rPr>
                <w:sz w:val="17"/>
              </w:rPr>
            </w:r>
            <w:r>
              <w:rPr>
                <w:rFonts w:ascii="IBM Plex Sans" w:hAnsi="IBM Plex Sans" w:cs="IBM Plex Sans"/>
                <w:b w:val="0"/>
                <w:i w:val="0"/>
                <w:color w:val="161412"/>
                <w:sz w:val="17"/>
              </w:rPr>
              <w:t>cuando el sistema inicia</w:t>
            </w:r>
          </w:p>
        </w:tc>
        <w:tc>
          <w:tcPr>
            <w:tcW w:type="dxa" w:w="1386"/>
          </w:tcPr>
          <w:p>
            <w:pPr>
              <w:spacing w:after="40"/>
            </w:pPr>
            <w:r>
              <w:rPr>
                <w:sz w:val="17"/>
              </w:rPr>
            </w:r>
            <w:r>
              <w:rPr>
                <w:rFonts w:ascii="IBM Plex Sans" w:hAnsi="IBM Plex Sans" w:cs="IBM Plex Sans"/>
                <w:b w:val="0"/>
                <w:i w:val="0"/>
                <w:color w:val="161412"/>
                <w:sz w:val="17"/>
              </w:rPr>
              <w:t>presencia, color, forma, sonido</w:t>
            </w:r>
          </w:p>
        </w:tc>
        <w:tc>
          <w:tcPr>
            <w:tcW w:type="dxa" w:w="1386"/>
          </w:tcPr>
          <w:p>
            <w:pPr>
              <w:spacing w:after="40"/>
            </w:pPr>
            <w:r>
              <w:rPr>
                <w:sz w:val="17"/>
              </w:rPr>
            </w:r>
            <w:r>
              <w:rPr>
                <w:rFonts w:ascii="IBM Plex Sans" w:hAnsi="IBM Plex Sans" w:cs="IBM Plex Sans"/>
                <w:b w:val="0"/>
                <w:i w:val="0"/>
                <w:color w:val="161412"/>
                <w:sz w:val="17"/>
              </w:rPr>
              <w:t>alarma para todo: si todo es urgente, nada lo es</w:t>
            </w:r>
          </w:p>
        </w:tc>
      </w:tr>
      <w:tr>
        <w:tc>
          <w:tcPr>
            <w:tcW w:type="dxa" w:w="1386"/>
          </w:tcPr>
          <w:p>
            <w:pPr>
              <w:spacing w:after="40"/>
            </w:pPr>
            <w:r>
              <w:rPr>
                <w:sz w:val="17"/>
              </w:rPr>
            </w:r>
            <w:r>
              <w:rPr>
                <w:rFonts w:ascii="IBM Plex Sans" w:hAnsi="IBM Plex Sans" w:cs="IBM Plex Sans"/>
                <w:b w:val="0"/>
                <w:i w:val="0"/>
                <w:color w:val="161412"/>
                <w:sz w:val="17"/>
              </w:rPr>
              <w:t>handle</w:t>
            </w:r>
          </w:p>
        </w:tc>
        <w:tc>
          <w:tcPr>
            <w:tcW w:type="dxa" w:w="1386"/>
          </w:tcPr>
          <w:p>
            <w:pPr>
              <w:spacing w:after="40"/>
            </w:pPr>
            <w:r>
              <w:rPr>
                <w:sz w:val="17"/>
              </w:rPr>
            </w:r>
            <w:r>
              <w:rPr>
                <w:rFonts w:ascii="IBM Plex Sans" w:hAnsi="IBM Plex Sans" w:cs="IBM Plex Sans"/>
                <w:b w:val="0"/>
                <w:i w:val="0"/>
                <w:color w:val="161412"/>
                <w:sz w:val="17"/>
              </w:rPr>
              <w:t>¿lo tengo yo?</w:t>
            </w:r>
          </w:p>
        </w:tc>
        <w:tc>
          <w:tcPr>
            <w:tcW w:type="dxa" w:w="1386"/>
          </w:tcPr>
          <w:p>
            <w:pPr>
              <w:spacing w:after="40"/>
            </w:pPr>
            <w:r>
              <w:rPr>
                <w:sz w:val="17"/>
              </w:rPr>
            </w:r>
            <w:r>
              <w:rPr>
                <w:rFonts w:ascii="IBM Plex Sans" w:hAnsi="IBM Plex Sans" w:cs="IBM Plex Sans"/>
                <w:b w:val="0"/>
                <w:i w:val="0"/>
                <w:color w:val="161412"/>
                <w:sz w:val="17"/>
              </w:rPr>
              <w:t>Parcial (el desenlace)</w:t>
            </w:r>
          </w:p>
        </w:tc>
        <w:tc>
          <w:tcPr>
            <w:tcW w:type="dxa" w:w="1386"/>
          </w:tcPr>
          <w:p>
            <w:pPr>
              <w:spacing w:after="40"/>
            </w:pPr>
            <w:r>
              <w:rPr>
                <w:sz w:val="17"/>
              </w:rPr>
            </w:r>
            <w:r>
              <w:rPr>
                <w:rFonts w:ascii="IBM Plex Sans" w:hAnsi="IBM Plex Sans" w:cs="IBM Plex Sans"/>
                <w:b w:val="0"/>
                <w:i w:val="0"/>
                <w:color w:val="161412"/>
                <w:sz w:val="17"/>
              </w:rPr>
              <w:t>durante la manipulación</w:t>
            </w:r>
          </w:p>
        </w:tc>
        <w:tc>
          <w:tcPr>
            <w:tcW w:type="dxa" w:w="1386"/>
          </w:tcPr>
          <w:p>
            <w:pPr>
              <w:spacing w:after="40"/>
            </w:pPr>
            <w:r>
              <w:rPr>
                <w:sz w:val="17"/>
              </w:rPr>
            </w:r>
            <w:r>
              <w:rPr>
                <w:rFonts w:ascii="IBM Plex Sans" w:hAnsi="IBM Plex Sans" w:cs="IBM Plex Sans"/>
                <w:b w:val="0"/>
                <w:i w:val="0"/>
                <w:color w:val="161412"/>
                <w:sz w:val="17"/>
              </w:rPr>
              <w:t>motion, profundidad, forma, háptica</w:t>
            </w:r>
          </w:p>
        </w:tc>
        <w:tc>
          <w:tcPr>
            <w:tcW w:type="dxa" w:w="1386"/>
          </w:tcPr>
          <w:p>
            <w:pPr>
              <w:spacing w:after="40"/>
            </w:pPr>
            <w:r>
              <w:rPr>
                <w:sz w:val="17"/>
              </w:rPr>
            </w:r>
            <w:r>
              <w:rPr>
                <w:rFonts w:ascii="IBM Plex Sans" w:hAnsi="IBM Plex Sans" w:cs="IBM Plex Sans"/>
                <w:b w:val="0"/>
                <w:i w:val="0"/>
                <w:color w:val="161412"/>
                <w:sz w:val="17"/>
              </w:rPr>
              <w:t>arrastre ciego: no se ve qué está cogido</w:t>
            </w:r>
          </w:p>
        </w:tc>
      </w:tr>
      <w:tr>
        <w:tc>
          <w:tcPr>
            <w:tcW w:type="dxa" w:w="1386"/>
          </w:tcPr>
          <w:p>
            <w:pPr>
              <w:spacing w:after="40"/>
            </w:pPr>
            <w:r>
              <w:rPr>
                <w:sz w:val="17"/>
              </w:rPr>
            </w:r>
            <w:r>
              <w:rPr>
                <w:rFonts w:ascii="IBM Plex Sans" w:hAnsi="IBM Plex Sans" w:cs="IBM Plex Sans"/>
                <w:b w:val="0"/>
                <w:i w:val="0"/>
                <w:color w:val="161412"/>
                <w:sz w:val="17"/>
              </w:rPr>
              <w:t>emerge</w:t>
            </w:r>
          </w:p>
        </w:tc>
        <w:tc>
          <w:tcPr>
            <w:tcW w:type="dxa" w:w="1386"/>
          </w:tcPr>
          <w:p>
            <w:pPr>
              <w:spacing w:after="40"/>
            </w:pPr>
            <w:r>
              <w:rPr>
                <w:sz w:val="17"/>
              </w:rPr>
            </w:r>
            <w:r>
              <w:rPr>
                <w:rFonts w:ascii="IBM Plex Sans" w:hAnsi="IBM Plex Sans" w:cs="IBM Plex Sans"/>
                <w:b w:val="0"/>
                <w:i w:val="0"/>
                <w:color w:val="161412"/>
                <w:sz w:val="17"/>
              </w:rPr>
              <w:t>¿qué hay disponible?</w:t>
            </w:r>
          </w:p>
        </w:tc>
        <w:tc>
          <w:tcPr>
            <w:tcW w:type="dxa" w:w="1386"/>
          </w:tcPr>
          <w:p>
            <w:pPr>
              <w:spacing w:after="40"/>
            </w:pPr>
            <w:r>
              <w:rPr>
                <w:sz w:val="17"/>
              </w:rPr>
            </w:r>
            <w:r>
              <w:rPr>
                <w:rFonts w:ascii="IBM Plex Sans" w:hAnsi="IBM Plex Sans" w:cs="IBM Plex Sans"/>
                <w:b w:val="0"/>
                <w:i w:val="0"/>
                <w:color w:val="161412"/>
                <w:sz w:val="17"/>
              </w:rPr>
              <w:t>No</w:t>
            </w:r>
          </w:p>
        </w:tc>
        <w:tc>
          <w:tcPr>
            <w:tcW w:type="dxa" w:w="1386"/>
          </w:tcPr>
          <w:p>
            <w:pPr>
              <w:spacing w:after="40"/>
            </w:pPr>
            <w:r>
              <w:rPr>
                <w:sz w:val="17"/>
              </w:rPr>
            </w:r>
            <w:r>
              <w:rPr>
                <w:rFonts w:ascii="IBM Plex Sans" w:hAnsi="IBM Plex Sans" w:cs="IBM Plex Sans"/>
                <w:b w:val="0"/>
                <w:i w:val="0"/>
                <w:color w:val="161412"/>
                <w:sz w:val="17"/>
              </w:rPr>
              <w:t>al aparecer o retirarse</w:t>
            </w:r>
          </w:p>
        </w:tc>
        <w:tc>
          <w:tcPr>
            <w:tcW w:type="dxa" w:w="1386"/>
          </w:tcPr>
          <w:p>
            <w:pPr>
              <w:spacing w:after="40"/>
            </w:pPr>
            <w:r>
              <w:rPr>
                <w:sz w:val="17"/>
              </w:rPr>
            </w:r>
            <w:r>
              <w:rPr>
                <w:rFonts w:ascii="IBM Plex Sans" w:hAnsi="IBM Plex Sans" w:cs="IBM Plex Sans"/>
                <w:b w:val="0"/>
                <w:i w:val="0"/>
                <w:color w:val="161412"/>
                <w:sz w:val="17"/>
              </w:rPr>
              <w:t>presencia, profundidad, motion</w:t>
            </w:r>
          </w:p>
        </w:tc>
        <w:tc>
          <w:tcPr>
            <w:tcW w:type="dxa" w:w="1386"/>
          </w:tcPr>
          <w:p>
            <w:pPr>
              <w:spacing w:after="40"/>
            </w:pPr>
            <w:r>
              <w:rPr>
                <w:sz w:val="17"/>
              </w:rPr>
            </w:r>
            <w:r>
              <w:rPr>
                <w:rFonts w:ascii="IBM Plex Sans" w:hAnsi="IBM Plex Sans" w:cs="IBM Plex Sans"/>
                <w:b w:val="0"/>
                <w:i w:val="0"/>
                <w:color w:val="161412"/>
                <w:sz w:val="17"/>
              </w:rPr>
              <w:t>cargar el intent en la apertura</w:t>
            </w:r>
          </w:p>
        </w:tc>
      </w:tr>
      <w:tr>
        <w:tc>
          <w:tcPr>
            <w:tcW w:type="dxa" w:w="1386"/>
          </w:tcPr>
          <w:p>
            <w:pPr>
              <w:spacing w:after="40"/>
            </w:pPr>
            <w:r>
              <w:rPr>
                <w:sz w:val="17"/>
              </w:rPr>
            </w:r>
            <w:r>
              <w:rPr>
                <w:rFonts w:ascii="IBM Plex Sans" w:hAnsi="IBM Plex Sans" w:cs="IBM Plex Sans"/>
                <w:b w:val="0"/>
                <w:i w:val="0"/>
                <w:color w:val="161412"/>
                <w:sz w:val="17"/>
              </w:rPr>
              <w:t>shift</w:t>
            </w:r>
          </w:p>
        </w:tc>
        <w:tc>
          <w:tcPr>
            <w:tcW w:type="dxa" w:w="1386"/>
          </w:tcPr>
          <w:p>
            <w:pPr>
              <w:spacing w:after="40"/>
            </w:pPr>
            <w:r>
              <w:rPr>
                <w:sz w:val="17"/>
              </w:rPr>
            </w:r>
            <w:r>
              <w:rPr>
                <w:rFonts w:ascii="IBM Plex Sans" w:hAnsi="IBM Plex Sans" w:cs="IBM Plex Sans"/>
                <w:b w:val="0"/>
                <w:i w:val="0"/>
                <w:color w:val="161412"/>
                <w:sz w:val="17"/>
              </w:rPr>
              <w:t>¿dónde estoy ahora?</w:t>
            </w:r>
          </w:p>
        </w:tc>
        <w:tc>
          <w:tcPr>
            <w:tcW w:type="dxa" w:w="1386"/>
          </w:tcPr>
          <w:p>
            <w:pPr>
              <w:spacing w:after="40"/>
            </w:pPr>
            <w:r>
              <w:rPr>
                <w:sz w:val="17"/>
              </w:rPr>
            </w:r>
            <w:r>
              <w:rPr>
                <w:rFonts w:ascii="IBM Plex Sans" w:hAnsi="IBM Plex Sans" w:cs="IBM Plex Sans"/>
                <w:b w:val="0"/>
                <w:i w:val="0"/>
                <w:color w:val="161412"/>
                <w:sz w:val="17"/>
              </w:rPr>
              <w:t>No</w:t>
            </w:r>
          </w:p>
        </w:tc>
        <w:tc>
          <w:tcPr>
            <w:tcW w:type="dxa" w:w="1386"/>
          </w:tcPr>
          <w:p>
            <w:pPr>
              <w:spacing w:after="40"/>
            </w:pPr>
            <w:r>
              <w:rPr>
                <w:sz w:val="17"/>
              </w:rPr>
            </w:r>
            <w:r>
              <w:rPr>
                <w:rFonts w:ascii="IBM Plex Sans" w:hAnsi="IBM Plex Sans" w:cs="IBM Plex Sans"/>
                <w:b w:val="0"/>
                <w:i w:val="0"/>
                <w:color w:val="161412"/>
                <w:sz w:val="17"/>
              </w:rPr>
              <w:t>al cambiar de marco</w:t>
            </w:r>
          </w:p>
        </w:tc>
        <w:tc>
          <w:tcPr>
            <w:tcW w:type="dxa" w:w="1386"/>
          </w:tcPr>
          <w:p>
            <w:pPr>
              <w:spacing w:after="40"/>
            </w:pPr>
            <w:r>
              <w:rPr>
                <w:sz w:val="17"/>
              </w:rPr>
            </w:r>
            <w:r>
              <w:rPr>
                <w:rFonts w:ascii="IBM Plex Sans" w:hAnsi="IBM Plex Sans" w:cs="IBM Plex Sans"/>
                <w:b w:val="0"/>
                <w:i w:val="0"/>
                <w:color w:val="161412"/>
                <w:sz w:val="17"/>
              </w:rPr>
              <w:t>motion, presencia, profundidad</w:t>
            </w:r>
          </w:p>
        </w:tc>
        <w:tc>
          <w:tcPr>
            <w:tcW w:type="dxa" w:w="1386"/>
          </w:tcPr>
          <w:p>
            <w:pPr>
              <w:spacing w:after="40"/>
            </w:pPr>
            <w:r>
              <w:rPr>
                <w:sz w:val="17"/>
              </w:rPr>
            </w:r>
            <w:r>
              <w:rPr>
                <w:rFonts w:ascii="IBM Plex Sans" w:hAnsi="IBM Plex Sans" w:cs="IBM Plex Sans"/>
                <w:b w:val="0"/>
                <w:i w:val="0"/>
                <w:color w:val="161412"/>
                <w:sz w:val="17"/>
              </w:rPr>
              <w:t>teletransporte: cambiar sin orientar</w:t>
            </w:r>
          </w:p>
        </w:tc>
      </w:tr>
      <w:tr>
        <w:tc>
          <w:tcPr>
            <w:tcW w:type="dxa" w:w="1386"/>
          </w:tcPr>
          <w:p>
            <w:pPr>
              <w:spacing w:after="40"/>
            </w:pPr>
            <w:r>
              <w:rPr>
                <w:sz w:val="17"/>
              </w:rPr>
            </w:r>
            <w:r>
              <w:rPr>
                <w:rFonts w:ascii="IBM Plex Sans" w:hAnsi="IBM Plex Sans" w:cs="IBM Plex Sans"/>
                <w:b w:val="0"/>
                <w:i w:val="0"/>
                <w:color w:val="161412"/>
                <w:sz w:val="17"/>
              </w:rPr>
              <w:t>sustain</w:t>
            </w:r>
          </w:p>
        </w:tc>
        <w:tc>
          <w:tcPr>
            <w:tcW w:type="dxa" w:w="1386"/>
          </w:tcPr>
          <w:p>
            <w:pPr>
              <w:spacing w:after="40"/>
            </w:pPr>
            <w:r>
              <w:rPr>
                <w:sz w:val="17"/>
              </w:rPr>
            </w:r>
            <w:r>
              <w:rPr>
                <w:rFonts w:ascii="IBM Plex Sans" w:hAnsi="IBM Plex Sans" w:cs="IBM Plex Sans"/>
                <w:b w:val="0"/>
                <w:i w:val="0"/>
                <w:color w:val="161412"/>
                <w:sz w:val="17"/>
              </w:rPr>
              <w:t>¿sigue vivo el proceso?</w:t>
            </w:r>
          </w:p>
        </w:tc>
        <w:tc>
          <w:tcPr>
            <w:tcW w:type="dxa" w:w="1386"/>
          </w:tcPr>
          <w:p>
            <w:pPr>
              <w:spacing w:after="40"/>
            </w:pPr>
            <w:r>
              <w:rPr>
                <w:sz w:val="17"/>
              </w:rPr>
            </w:r>
            <w:r>
              <w:rPr>
                <w:rFonts w:ascii="IBM Plex Sans" w:hAnsi="IBM Plex Sans" w:cs="IBM Plex Sans"/>
                <w:b w:val="0"/>
                <w:i w:val="0"/>
                <w:color w:val="161412"/>
                <w:sz w:val="17"/>
              </w:rPr>
              <w:t>Parcial (el progreso, no el desenlace)</w:t>
            </w:r>
          </w:p>
        </w:tc>
        <w:tc>
          <w:tcPr>
            <w:tcW w:type="dxa" w:w="1386"/>
          </w:tcPr>
          <w:p>
            <w:pPr>
              <w:spacing w:after="40"/>
            </w:pPr>
            <w:r>
              <w:rPr>
                <w:sz w:val="17"/>
              </w:rPr>
            </w:r>
            <w:r>
              <w:rPr>
                <w:rFonts w:ascii="IBM Plex Sans" w:hAnsi="IBM Plex Sans" w:cs="IBM Plex Sans"/>
                <w:b w:val="0"/>
                <w:i w:val="0"/>
                <w:color w:val="161412"/>
                <w:sz w:val="17"/>
              </w:rPr>
              <w:t>mientras dura</w:t>
            </w:r>
          </w:p>
        </w:tc>
        <w:tc>
          <w:tcPr>
            <w:tcW w:type="dxa" w:w="1386"/>
          </w:tcPr>
          <w:p>
            <w:pPr>
              <w:spacing w:after="40"/>
            </w:pPr>
            <w:r>
              <w:rPr>
                <w:sz w:val="17"/>
              </w:rPr>
            </w:r>
            <w:r>
              <w:rPr>
                <w:rFonts w:ascii="IBM Plex Sans" w:hAnsi="IBM Plex Sans" w:cs="IBM Plex Sans"/>
                <w:b w:val="0"/>
                <w:i w:val="0"/>
                <w:color w:val="161412"/>
                <w:sz w:val="17"/>
              </w:rPr>
              <w:t>tiempo, motion, forma</w:t>
            </w:r>
          </w:p>
        </w:tc>
        <w:tc>
          <w:tcPr>
            <w:tcW w:type="dxa" w:w="1386"/>
          </w:tcPr>
          <w:p>
            <w:pPr>
              <w:spacing w:after="40"/>
            </w:pPr>
            <w:r>
              <w:rPr>
                <w:sz w:val="17"/>
              </w:rPr>
            </w:r>
            <w:r>
              <w:rPr>
                <w:rFonts w:ascii="IBM Plex Sans" w:hAnsi="IBM Plex Sans" w:cs="IBM Plex Sans"/>
                <w:b w:val="0"/>
                <w:i w:val="0"/>
                <w:color w:val="161412"/>
                <w:sz w:val="17"/>
              </w:rPr>
              <w:t>spinner eterno sin estado ni huella</w:t>
            </w:r>
          </w:p>
        </w:tc>
      </w:tr>
      <w:tr>
        <w:tc>
          <w:tcPr>
            <w:tcW w:type="dxa" w:w="1386"/>
          </w:tcPr>
          <w:p>
            <w:pPr>
              <w:spacing w:after="40"/>
            </w:pPr>
            <w:r>
              <w:rPr>
                <w:sz w:val="17"/>
              </w:rPr>
            </w:r>
            <w:r>
              <w:rPr>
                <w:rFonts w:ascii="IBM Plex Sans" w:hAnsi="IBM Plex Sans" w:cs="IBM Plex Sans"/>
                <w:b w:val="0"/>
                <w:i w:val="0"/>
                <w:color w:val="161412"/>
                <w:sz w:val="17"/>
              </w:rPr>
              <w:t>delegate</w:t>
            </w:r>
          </w:p>
        </w:tc>
        <w:tc>
          <w:tcPr>
            <w:tcW w:type="dxa" w:w="1386"/>
          </w:tcPr>
          <w:p>
            <w:pPr>
              <w:spacing w:after="40"/>
            </w:pPr>
            <w:r>
              <w:rPr>
                <w:sz w:val="17"/>
              </w:rPr>
            </w:r>
            <w:r>
              <w:rPr>
                <w:rFonts w:ascii="IBM Plex Sans" w:hAnsi="IBM Plex Sans" w:cs="IBM Plex Sans"/>
                <w:b w:val="0"/>
                <w:i w:val="0"/>
                <w:color w:val="161412"/>
                <w:sz w:val="17"/>
              </w:rPr>
              <w:t>¿quién actúa ahora?</w:t>
            </w:r>
          </w:p>
        </w:tc>
        <w:tc>
          <w:tcPr>
            <w:tcW w:type="dxa" w:w="1386"/>
          </w:tcPr>
          <w:p>
            <w:pPr>
              <w:spacing w:after="40"/>
            </w:pPr>
            <w:r>
              <w:rPr>
                <w:sz w:val="17"/>
              </w:rPr>
            </w:r>
            <w:r>
              <w:rPr>
                <w:rFonts w:ascii="IBM Plex Sans" w:hAnsi="IBM Plex Sans" w:cs="IBM Plex Sans"/>
                <w:b w:val="0"/>
                <w:i w:val="0"/>
                <w:color w:val="161412"/>
                <w:sz w:val="17"/>
              </w:rPr>
              <w:t>No por defecto (lo portan sus consecuencias)</w:t>
            </w:r>
          </w:p>
        </w:tc>
        <w:tc>
          <w:tcPr>
            <w:tcW w:type="dxa" w:w="1386"/>
          </w:tcPr>
          <w:p>
            <w:pPr>
              <w:spacing w:after="40"/>
            </w:pPr>
            <w:r>
              <w:rPr>
                <w:sz w:val="17"/>
              </w:rPr>
            </w:r>
            <w:r>
              <w:rPr>
                <w:rFonts w:ascii="IBM Plex Sans" w:hAnsi="IBM Plex Sans" w:cs="IBM Plex Sans"/>
                <w:b w:val="0"/>
                <w:i w:val="0"/>
                <w:color w:val="161412"/>
                <w:sz w:val="17"/>
              </w:rPr>
              <w:t>al cambiar la iniciativa</w:t>
            </w:r>
          </w:p>
        </w:tc>
        <w:tc>
          <w:tcPr>
            <w:tcW w:type="dxa" w:w="1386"/>
          </w:tcPr>
          <w:p>
            <w:pPr>
              <w:spacing w:after="40"/>
            </w:pPr>
            <w:r>
              <w:rPr>
                <w:sz w:val="17"/>
              </w:rPr>
            </w:r>
            <w:r>
              <w:rPr>
                <w:rFonts w:ascii="IBM Plex Sans" w:hAnsi="IBM Plex Sans" w:cs="IBM Plex Sans"/>
                <w:b w:val="0"/>
                <w:i w:val="0"/>
                <w:color w:val="161412"/>
                <w:sz w:val="17"/>
              </w:rPr>
              <w:t>presencia, texto, tiempo</w:t>
            </w:r>
          </w:p>
        </w:tc>
        <w:tc>
          <w:tcPr>
            <w:tcW w:type="dxa" w:w="1386"/>
          </w:tcPr>
          <w:p>
            <w:pPr>
              <w:spacing w:after="40"/>
            </w:pPr>
            <w:r>
              <w:rPr>
                <w:sz w:val="17"/>
              </w:rPr>
            </w:r>
            <w:r>
              <w:rPr>
                <w:rFonts w:ascii="IBM Plex Sans" w:hAnsi="IBM Plex Sans" w:cs="IBM Plex Sans"/>
                <w:b w:val="0"/>
                <w:i w:val="0"/>
                <w:color w:val="161412"/>
                <w:sz w:val="17"/>
              </w:rPr>
              <w:t>autoría invisible: actuar sin que se note quién actuó</w:t>
            </w:r>
          </w:p>
        </w:tc>
      </w:tr>
    </w:tbl>
    <w:p>
      <w:pPr>
        <w:spacing w:before="320" w:after="40"/>
      </w:pPr>
    </w:p>
    <w:p>
      <w:pPr>
        <w:spacing w:after="200" w:before="40"/>
      </w:pPr>
      <w:r>
        <w:rPr>
          <w:rFonts w:ascii="IBM Plex Sans" w:hAnsi="IBM Plex Sans" w:cs="IBM Plex Sans"/>
          <w:b/>
          <w:color w:val="1F3A5F"/>
          <w:sz w:val="17"/>
        </w:rPr>
        <w:t xml:space="preserve">TABLA B.3   </w:t>
      </w:r>
      <w:r>
        <w:rPr>
          <w:rFonts w:ascii="IBM Plex Sans" w:hAnsi="IBM Plex Sans" w:cs="IBM Plex Sans"/>
          <w:color w:val="3A352F"/>
          <w:sz w:val="18"/>
        </w:rPr>
        <w:t xml:space="preserve">Los seis intents</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1386"/>
        <w:gridCol w:w="1386"/>
        <w:gridCol w:w="1386"/>
        <w:gridCol w:w="1386"/>
        <w:gridCol w:w="1386"/>
        <w:gridCol w:w="1386"/>
      </w:tblGrid>
      <w:tr>
        <w:tc>
          <w:tcPr>
            <w:tcW w:type="dxa" w:w="1386"/>
            <w:shd w:val="clear" w:color="auto" w:fill="EAE4D8"/>
          </w:tcPr>
          <w:p>
            <w:pPr>
              <w:spacing w:after="40"/>
            </w:pPr>
            <w:r>
              <w:rPr>
                <w:sz w:val="17"/>
              </w:rPr>
            </w:r>
            <w:r>
              <w:rPr>
                <w:rFonts w:ascii="IBM Plex Sans" w:hAnsi="IBM Plex Sans" w:cs="IBM Plex Sans"/>
                <w:b/>
                <w:i w:val="0"/>
                <w:color w:val="1F3A5F"/>
                <w:sz w:val="17"/>
              </w:rPr>
              <w:t>Intent</w:t>
            </w:r>
          </w:p>
        </w:tc>
        <w:tc>
          <w:tcPr>
            <w:tcW w:type="dxa" w:w="1386"/>
            <w:shd w:val="clear" w:color="auto" w:fill="EAE4D8"/>
          </w:tcPr>
          <w:p>
            <w:pPr>
              <w:spacing w:after="40"/>
            </w:pPr>
            <w:r>
              <w:rPr>
                <w:sz w:val="17"/>
              </w:rPr>
            </w:r>
            <w:r>
              <w:rPr>
                <w:rFonts w:ascii="IBM Plex Sans" w:hAnsi="IBM Plex Sans" w:cs="IBM Plex Sans"/>
                <w:b/>
                <w:i w:val="0"/>
                <w:color w:val="1F3A5F"/>
                <w:sz w:val="17"/>
              </w:rPr>
              <w:t>(ES)</w:t>
            </w:r>
          </w:p>
        </w:tc>
        <w:tc>
          <w:tcPr>
            <w:tcW w:type="dxa" w:w="1386"/>
            <w:shd w:val="clear" w:color="auto" w:fill="EAE4D8"/>
          </w:tcPr>
          <w:p>
            <w:pPr>
              <w:spacing w:after="40"/>
            </w:pPr>
            <w:r>
              <w:rPr>
                <w:sz w:val="17"/>
              </w:rPr>
            </w:r>
            <w:r>
              <w:rPr>
                <w:rFonts w:ascii="IBM Plex Sans" w:hAnsi="IBM Plex Sans" w:cs="IBM Plex Sans"/>
                <w:b/>
                <w:i w:val="0"/>
                <w:color w:val="1F3A5F"/>
                <w:sz w:val="17"/>
              </w:rPr>
              <w:t>Qué declara</w:t>
            </w:r>
          </w:p>
        </w:tc>
        <w:tc>
          <w:tcPr>
            <w:tcW w:type="dxa" w:w="1386"/>
            <w:shd w:val="clear" w:color="auto" w:fill="EAE4D8"/>
          </w:tcPr>
          <w:p>
            <w:pPr>
              <w:spacing w:after="40"/>
            </w:pPr>
            <w:r>
              <w:rPr>
                <w:sz w:val="17"/>
              </w:rPr>
            </w:r>
            <w:r>
              <w:rPr>
                <w:rFonts w:ascii="IBM Plex Sans" w:hAnsi="IBM Plex Sans" w:cs="IBM Plex Sans"/>
                <w:b/>
                <w:i w:val="0"/>
                <w:color w:val="1F3A5F"/>
                <w:sz w:val="17"/>
              </w:rPr>
              <w:t>Valencia / Activación</w:t>
            </w:r>
          </w:p>
        </w:tc>
        <w:tc>
          <w:tcPr>
            <w:tcW w:type="dxa" w:w="1386"/>
            <w:shd w:val="clear" w:color="auto" w:fill="EAE4D8"/>
          </w:tcPr>
          <w:p>
            <w:pPr>
              <w:spacing w:after="40"/>
            </w:pPr>
            <w:r>
              <w:rPr>
                <w:sz w:val="17"/>
              </w:rPr>
            </w:r>
            <w:r>
              <w:rPr>
                <w:rFonts w:ascii="IBM Plex Sans" w:hAnsi="IBM Plex Sans" w:cs="IBM Plex Sans"/>
                <w:b/>
                <w:i w:val="0"/>
                <w:color w:val="1F3A5F"/>
                <w:sz w:val="17"/>
              </w:rPr>
              <w:t>Expresión típica</w:t>
            </w:r>
          </w:p>
        </w:tc>
        <w:tc>
          <w:tcPr>
            <w:tcW w:type="dxa" w:w="1386"/>
            <w:shd w:val="clear" w:color="auto" w:fill="EAE4D8"/>
          </w:tcPr>
          <w:p>
            <w:pPr>
              <w:spacing w:after="40"/>
            </w:pPr>
            <w:r>
              <w:rPr>
                <w:sz w:val="17"/>
              </w:rPr>
            </w:r>
            <w:r>
              <w:rPr>
                <w:rFonts w:ascii="IBM Plex Sans" w:hAnsi="IBM Plex Sans" w:cs="IBM Plex Sans"/>
                <w:b/>
                <w:i w:val="0"/>
                <w:color w:val="1F3A5F"/>
                <w:sz w:val="17"/>
              </w:rPr>
              <w:t>Riesgo de mal uso</w:t>
            </w:r>
          </w:p>
        </w:tc>
      </w:tr>
      <w:tr>
        <w:tc>
          <w:tcPr>
            <w:tcW w:type="dxa" w:w="1386"/>
          </w:tcPr>
          <w:p>
            <w:pPr>
              <w:spacing w:after="40"/>
            </w:pPr>
            <w:r>
              <w:rPr>
                <w:sz w:val="17"/>
              </w:rPr>
            </w:r>
            <w:r>
              <w:rPr>
                <w:rFonts w:ascii="IBM Plex Sans" w:hAnsi="IBM Plex Sans" w:cs="IBM Plex Sans"/>
                <w:b w:val="0"/>
                <w:i w:val="0"/>
                <w:color w:val="161412"/>
                <w:sz w:val="17"/>
              </w:rPr>
              <w:t>neutral</w:t>
            </w:r>
          </w:p>
        </w:tc>
        <w:tc>
          <w:tcPr>
            <w:tcW w:type="dxa" w:w="1386"/>
          </w:tcPr>
          <w:p>
            <w:pPr>
              <w:spacing w:after="40"/>
            </w:pPr>
            <w:r>
              <w:rPr>
                <w:sz w:val="17"/>
              </w:rPr>
            </w:r>
            <w:r>
              <w:rPr>
                <w:rFonts w:ascii="IBM Plex Sans" w:hAnsi="IBM Plex Sans" w:cs="IBM Plex Sans"/>
                <w:b w:val="0"/>
                <w:i w:val="0"/>
                <w:color w:val="161412"/>
                <w:sz w:val="17"/>
              </w:rPr>
              <w:t>neutro</w:t>
            </w:r>
          </w:p>
        </w:tc>
        <w:tc>
          <w:tcPr>
            <w:tcW w:type="dxa" w:w="1386"/>
          </w:tcPr>
          <w:p>
            <w:pPr>
              <w:spacing w:after="40"/>
            </w:pPr>
            <w:r>
              <w:rPr>
                <w:sz w:val="17"/>
              </w:rPr>
            </w:r>
            <w:r>
              <w:rPr>
                <w:rFonts w:ascii="IBM Plex Sans" w:hAnsi="IBM Plex Sans" w:cs="IBM Plex Sans"/>
                <w:b w:val="0"/>
                <w:i w:val="0"/>
                <w:color w:val="161412"/>
                <w:sz w:val="17"/>
              </w:rPr>
              <w:t>Algo debe notarse, sin tono</w:t>
            </w:r>
          </w:p>
        </w:tc>
        <w:tc>
          <w:tcPr>
            <w:tcW w:type="dxa" w:w="1386"/>
          </w:tcPr>
          <w:p>
            <w:pPr>
              <w:spacing w:after="40"/>
            </w:pPr>
            <w:r>
              <w:rPr>
                <w:sz w:val="17"/>
              </w:rPr>
            </w:r>
            <w:r>
              <w:rPr>
                <w:rFonts w:ascii="IBM Plex Sans" w:hAnsi="IBM Plex Sans" w:cs="IBM Plex Sans"/>
                <w:b w:val="0"/>
                <w:i w:val="0"/>
                <w:color w:val="161412"/>
                <w:sz w:val="17"/>
              </w:rPr>
              <w:t>neutra / baja</w:t>
            </w:r>
          </w:p>
        </w:tc>
        <w:tc>
          <w:tcPr>
            <w:tcW w:type="dxa" w:w="1386"/>
          </w:tcPr>
          <w:p>
            <w:pPr>
              <w:spacing w:after="40"/>
            </w:pPr>
            <w:r>
              <w:rPr>
                <w:sz w:val="17"/>
              </w:rPr>
            </w:r>
            <w:r>
              <w:rPr>
                <w:rFonts w:ascii="IBM Plex Sans" w:hAnsi="IBM Plex Sans" w:cs="IBM Plex Sans"/>
                <w:b w:val="0"/>
                <w:i w:val="0"/>
                <w:color w:val="161412"/>
                <w:sz w:val="17"/>
              </w:rPr>
              <w:t>presencia suave, texto</w:t>
            </w:r>
          </w:p>
        </w:tc>
        <w:tc>
          <w:tcPr>
            <w:tcW w:type="dxa" w:w="1386"/>
          </w:tcPr>
          <w:p>
            <w:pPr>
              <w:spacing w:after="40"/>
            </w:pPr>
            <w:r>
              <w:rPr>
                <w:sz w:val="17"/>
              </w:rPr>
            </w:r>
            <w:r>
              <w:rPr>
                <w:rFonts w:ascii="IBM Plex Sans" w:hAnsi="IBM Plex Sans" w:cs="IBM Plex Sans"/>
                <w:b w:val="0"/>
                <w:i w:val="0"/>
                <w:color w:val="161412"/>
                <w:sz w:val="17"/>
              </w:rPr>
              <w:t>Usarlo como «no lo hemos pensado»</w:t>
            </w:r>
          </w:p>
        </w:tc>
      </w:tr>
      <w:tr>
        <w:tc>
          <w:tcPr>
            <w:tcW w:type="dxa" w:w="1386"/>
          </w:tcPr>
          <w:p>
            <w:pPr>
              <w:spacing w:after="40"/>
            </w:pPr>
            <w:r>
              <w:rPr>
                <w:sz w:val="17"/>
              </w:rPr>
            </w:r>
            <w:r>
              <w:rPr>
                <w:rFonts w:ascii="IBM Plex Sans" w:hAnsi="IBM Plex Sans" w:cs="IBM Plex Sans"/>
                <w:b w:val="0"/>
                <w:i w:val="0"/>
                <w:color w:val="161412"/>
                <w:sz w:val="17"/>
              </w:rPr>
              <w:t>affirm</w:t>
            </w:r>
          </w:p>
        </w:tc>
        <w:tc>
          <w:tcPr>
            <w:tcW w:type="dxa" w:w="1386"/>
          </w:tcPr>
          <w:p>
            <w:pPr>
              <w:spacing w:after="40"/>
            </w:pPr>
            <w:r>
              <w:rPr>
                <w:sz w:val="17"/>
              </w:rPr>
            </w:r>
            <w:r>
              <w:rPr>
                <w:rFonts w:ascii="IBM Plex Sans" w:hAnsi="IBM Plex Sans" w:cs="IBM Plex Sans"/>
                <w:b w:val="0"/>
                <w:i w:val="0"/>
                <w:color w:val="161412"/>
                <w:sz w:val="17"/>
              </w:rPr>
              <w:t>confirmatorio</w:t>
            </w:r>
          </w:p>
        </w:tc>
        <w:tc>
          <w:tcPr>
            <w:tcW w:type="dxa" w:w="1386"/>
          </w:tcPr>
          <w:p>
            <w:pPr>
              <w:spacing w:after="40"/>
            </w:pPr>
            <w:r>
              <w:rPr>
                <w:sz w:val="17"/>
              </w:rPr>
            </w:r>
            <w:r>
              <w:rPr>
                <w:rFonts w:ascii="IBM Plex Sans" w:hAnsi="IBM Plex Sans" w:cs="IBM Plex Sans"/>
                <w:b w:val="0"/>
                <w:i w:val="0"/>
                <w:color w:val="161412"/>
                <w:sz w:val="17"/>
              </w:rPr>
              <w:t>Se aplicó; todo en orden</w:t>
            </w:r>
          </w:p>
        </w:tc>
        <w:tc>
          <w:tcPr>
            <w:tcW w:type="dxa" w:w="1386"/>
          </w:tcPr>
          <w:p>
            <w:pPr>
              <w:spacing w:after="40"/>
            </w:pPr>
            <w:r>
              <w:rPr>
                <w:sz w:val="17"/>
              </w:rPr>
            </w:r>
            <w:r>
              <w:rPr>
                <w:rFonts w:ascii="IBM Plex Sans" w:hAnsi="IBM Plex Sans" w:cs="IBM Plex Sans"/>
                <w:b w:val="0"/>
                <w:i w:val="0"/>
                <w:color w:val="161412"/>
                <w:sz w:val="17"/>
              </w:rPr>
              <w:t>positiva / baja</w:t>
            </w:r>
          </w:p>
        </w:tc>
        <w:tc>
          <w:tcPr>
            <w:tcW w:type="dxa" w:w="1386"/>
          </w:tcPr>
          <w:p>
            <w:pPr>
              <w:spacing w:after="40"/>
            </w:pPr>
            <w:r>
              <w:rPr>
                <w:sz w:val="17"/>
              </w:rPr>
            </w:r>
            <w:r>
              <w:rPr>
                <w:rFonts w:ascii="IBM Plex Sans" w:hAnsi="IBM Plex Sans" w:cs="IBM Plex Sans"/>
                <w:b w:val="0"/>
                <w:i w:val="0"/>
                <w:color w:val="161412"/>
                <w:sz w:val="17"/>
              </w:rPr>
              <w:t>color suave, presencia breve</w:t>
            </w:r>
          </w:p>
        </w:tc>
        <w:tc>
          <w:tcPr>
            <w:tcW w:type="dxa" w:w="1386"/>
          </w:tcPr>
          <w:p>
            <w:pPr>
              <w:spacing w:after="40"/>
            </w:pPr>
            <w:r>
              <w:rPr>
                <w:sz w:val="17"/>
              </w:rPr>
            </w:r>
            <w:r>
              <w:rPr>
                <w:rFonts w:ascii="IBM Plex Sans" w:hAnsi="IBM Plex Sans" w:cs="IBM Plex Sans"/>
                <w:b w:val="0"/>
                <w:i w:val="0"/>
                <w:color w:val="161412"/>
                <w:sz w:val="17"/>
              </w:rPr>
              <w:t>Celebrar de más; confundirlo con fulfill</w:t>
            </w:r>
          </w:p>
        </w:tc>
      </w:tr>
      <w:tr>
        <w:tc>
          <w:tcPr>
            <w:tcW w:type="dxa" w:w="1386"/>
          </w:tcPr>
          <w:p>
            <w:pPr>
              <w:spacing w:after="40"/>
            </w:pPr>
            <w:r>
              <w:rPr>
                <w:sz w:val="17"/>
              </w:rPr>
            </w:r>
            <w:r>
              <w:rPr>
                <w:rFonts w:ascii="IBM Plex Sans" w:hAnsi="IBM Plex Sans" w:cs="IBM Plex Sans"/>
                <w:b w:val="0"/>
                <w:i w:val="0"/>
                <w:color w:val="161412"/>
                <w:sz w:val="17"/>
              </w:rPr>
              <w:t>fulfill</w:t>
            </w:r>
          </w:p>
        </w:tc>
        <w:tc>
          <w:tcPr>
            <w:tcW w:type="dxa" w:w="1386"/>
          </w:tcPr>
          <w:p>
            <w:pPr>
              <w:spacing w:after="40"/>
            </w:pPr>
            <w:r>
              <w:rPr>
                <w:sz w:val="17"/>
              </w:rPr>
            </w:r>
            <w:r>
              <w:rPr>
                <w:rFonts w:ascii="IBM Plex Sans" w:hAnsi="IBM Plex Sans" w:cs="IBM Plex Sans"/>
                <w:b w:val="0"/>
                <w:i w:val="0"/>
                <w:color w:val="161412"/>
                <w:sz w:val="17"/>
              </w:rPr>
              <w:t>resolutivo</w:t>
            </w:r>
          </w:p>
        </w:tc>
        <w:tc>
          <w:tcPr>
            <w:tcW w:type="dxa" w:w="1386"/>
          </w:tcPr>
          <w:p>
            <w:pPr>
              <w:spacing w:after="40"/>
            </w:pPr>
            <w:r>
              <w:rPr>
                <w:sz w:val="17"/>
              </w:rPr>
            </w:r>
            <w:r>
              <w:rPr>
                <w:rFonts w:ascii="IBM Plex Sans" w:hAnsi="IBM Plex Sans" w:cs="IBM Plex Sans"/>
                <w:b w:val="0"/>
                <w:i w:val="0"/>
                <w:color w:val="161412"/>
                <w:sz w:val="17"/>
              </w:rPr>
              <w:t>Se cerró una tensión u objetivo</w:t>
            </w:r>
          </w:p>
        </w:tc>
        <w:tc>
          <w:tcPr>
            <w:tcW w:type="dxa" w:w="1386"/>
          </w:tcPr>
          <w:p>
            <w:pPr>
              <w:spacing w:after="40"/>
            </w:pPr>
            <w:r>
              <w:rPr>
                <w:sz w:val="17"/>
              </w:rPr>
            </w:r>
            <w:r>
              <w:rPr>
                <w:rFonts w:ascii="IBM Plex Sans" w:hAnsi="IBM Plex Sans" w:cs="IBM Plex Sans"/>
                <w:b w:val="0"/>
                <w:i w:val="0"/>
                <w:color w:val="161412"/>
                <w:sz w:val="17"/>
              </w:rPr>
              <w:t>positiva / media</w:t>
            </w:r>
          </w:p>
        </w:tc>
        <w:tc>
          <w:tcPr>
            <w:tcW w:type="dxa" w:w="1386"/>
          </w:tcPr>
          <w:p>
            <w:pPr>
              <w:spacing w:after="40"/>
            </w:pPr>
            <w:r>
              <w:rPr>
                <w:sz w:val="17"/>
              </w:rPr>
            </w:r>
            <w:r>
              <w:rPr>
                <w:rFonts w:ascii="IBM Plex Sans" w:hAnsi="IBM Plex Sans" w:cs="IBM Plex Sans"/>
                <w:b w:val="0"/>
                <w:i w:val="0"/>
                <w:color w:val="161412"/>
                <w:sz w:val="17"/>
              </w:rPr>
              <w:t>motion, forma, presencia</w:t>
            </w:r>
          </w:p>
        </w:tc>
        <w:tc>
          <w:tcPr>
            <w:tcW w:type="dxa" w:w="1386"/>
          </w:tcPr>
          <w:p>
            <w:pPr>
              <w:spacing w:after="40"/>
            </w:pPr>
            <w:r>
              <w:rPr>
                <w:sz w:val="17"/>
              </w:rPr>
            </w:r>
            <w:r>
              <w:rPr>
                <w:rFonts w:ascii="IBM Plex Sans" w:hAnsi="IBM Plex Sans" w:cs="IBM Plex Sans"/>
                <w:b w:val="0"/>
                <w:i w:val="0"/>
                <w:color w:val="161412"/>
                <w:sz w:val="17"/>
              </w:rPr>
              <w:t>Gastarlo en micro-acciones cotidianas</w:t>
            </w:r>
          </w:p>
        </w:tc>
      </w:tr>
      <w:tr>
        <w:tc>
          <w:tcPr>
            <w:tcW w:type="dxa" w:w="1386"/>
          </w:tcPr>
          <w:p>
            <w:pPr>
              <w:spacing w:after="40"/>
            </w:pPr>
            <w:r>
              <w:rPr>
                <w:sz w:val="17"/>
              </w:rPr>
            </w:r>
            <w:r>
              <w:rPr>
                <w:rFonts w:ascii="IBM Plex Sans" w:hAnsi="IBM Plex Sans" w:cs="IBM Plex Sans"/>
                <w:b w:val="0"/>
                <w:i w:val="0"/>
                <w:color w:val="161412"/>
                <w:sz w:val="17"/>
              </w:rPr>
              <w:t>risk</w:t>
            </w:r>
          </w:p>
        </w:tc>
        <w:tc>
          <w:tcPr>
            <w:tcW w:type="dxa" w:w="1386"/>
          </w:tcPr>
          <w:p>
            <w:pPr>
              <w:spacing w:after="40"/>
            </w:pPr>
            <w:r>
              <w:rPr>
                <w:sz w:val="17"/>
              </w:rPr>
            </w:r>
            <w:r>
              <w:rPr>
                <w:rFonts w:ascii="IBM Plex Sans" w:hAnsi="IBM Plex Sans" w:cs="IBM Plex Sans"/>
                <w:b w:val="0"/>
                <w:i w:val="0"/>
                <w:color w:val="161412"/>
                <w:sz w:val="17"/>
              </w:rPr>
              <w:t>corregible</w:t>
            </w:r>
          </w:p>
        </w:tc>
        <w:tc>
          <w:tcPr>
            <w:tcW w:type="dxa" w:w="1386"/>
          </w:tcPr>
          <w:p>
            <w:pPr>
              <w:spacing w:after="40"/>
            </w:pPr>
            <w:r>
              <w:rPr>
                <w:sz w:val="17"/>
              </w:rPr>
            </w:r>
            <w:r>
              <w:rPr>
                <w:rFonts w:ascii="IBM Plex Sans" w:hAnsi="IBM Plex Sans" w:cs="IBM Plex Sans"/>
                <w:b w:val="0"/>
                <w:i w:val="0"/>
                <w:color w:val="161412"/>
                <w:sz w:val="17"/>
              </w:rPr>
              <w:t>Hay problema y puedes corregirlo</w:t>
            </w:r>
          </w:p>
        </w:tc>
        <w:tc>
          <w:tcPr>
            <w:tcW w:type="dxa" w:w="1386"/>
          </w:tcPr>
          <w:p>
            <w:pPr>
              <w:spacing w:after="40"/>
            </w:pPr>
            <w:r>
              <w:rPr>
                <w:sz w:val="17"/>
              </w:rPr>
            </w:r>
            <w:r>
              <w:rPr>
                <w:rFonts w:ascii="IBM Plex Sans" w:hAnsi="IBM Plex Sans" w:cs="IBM Plex Sans"/>
                <w:b w:val="0"/>
                <w:i w:val="0"/>
                <w:color w:val="161412"/>
                <w:sz w:val="17"/>
              </w:rPr>
              <w:t>negativa / media</w:t>
            </w:r>
          </w:p>
        </w:tc>
        <w:tc>
          <w:tcPr>
            <w:tcW w:type="dxa" w:w="1386"/>
          </w:tcPr>
          <w:p>
            <w:pPr>
              <w:spacing w:after="40"/>
            </w:pPr>
            <w:r>
              <w:rPr>
                <w:sz w:val="17"/>
              </w:rPr>
            </w:r>
            <w:r>
              <w:rPr>
                <w:rFonts w:ascii="IBM Plex Sans" w:hAnsi="IBM Plex Sans" w:cs="IBM Plex Sans"/>
                <w:b w:val="0"/>
                <w:i w:val="0"/>
                <w:color w:val="161412"/>
                <w:sz w:val="17"/>
              </w:rPr>
              <w:t>forma, texto persistente junto al campo</w:t>
            </w:r>
          </w:p>
        </w:tc>
        <w:tc>
          <w:tcPr>
            <w:tcW w:type="dxa" w:w="1386"/>
          </w:tcPr>
          <w:p>
            <w:pPr>
              <w:spacing w:after="40"/>
            </w:pPr>
            <w:r>
              <w:rPr>
                <w:sz w:val="17"/>
              </w:rPr>
            </w:r>
            <w:r>
              <w:rPr>
                <w:rFonts w:ascii="IBM Plex Sans" w:hAnsi="IBM Plex Sans" w:cs="IBM Plex Sans"/>
                <w:b w:val="0"/>
                <w:i w:val="0"/>
                <w:color w:val="161412"/>
                <w:sz w:val="17"/>
              </w:rPr>
              <w:t>Vestirlo de threat: alarmismo</w:t>
            </w:r>
          </w:p>
        </w:tc>
      </w:tr>
      <w:tr>
        <w:tc>
          <w:tcPr>
            <w:tcW w:type="dxa" w:w="1386"/>
          </w:tcPr>
          <w:p>
            <w:pPr>
              <w:spacing w:after="40"/>
            </w:pPr>
            <w:r>
              <w:rPr>
                <w:sz w:val="17"/>
              </w:rPr>
            </w:r>
            <w:r>
              <w:rPr>
                <w:rFonts w:ascii="IBM Plex Sans" w:hAnsi="IBM Plex Sans" w:cs="IBM Plex Sans"/>
                <w:b w:val="0"/>
                <w:i w:val="0"/>
                <w:color w:val="161412"/>
                <w:sz w:val="17"/>
              </w:rPr>
              <w:t>threat</w:t>
            </w:r>
          </w:p>
        </w:tc>
        <w:tc>
          <w:tcPr>
            <w:tcW w:type="dxa" w:w="1386"/>
          </w:tcPr>
          <w:p>
            <w:pPr>
              <w:spacing w:after="40"/>
            </w:pPr>
            <w:r>
              <w:rPr>
                <w:sz w:val="17"/>
              </w:rPr>
            </w:r>
            <w:r>
              <w:rPr>
                <w:rFonts w:ascii="IBM Plex Sans" w:hAnsi="IBM Plex Sans" w:cs="IBM Plex Sans"/>
                <w:b w:val="0"/>
                <w:i w:val="0"/>
                <w:color w:val="161412"/>
                <w:sz w:val="17"/>
              </w:rPr>
              <w:t>amenazante</w:t>
            </w:r>
          </w:p>
        </w:tc>
        <w:tc>
          <w:tcPr>
            <w:tcW w:type="dxa" w:w="1386"/>
          </w:tcPr>
          <w:p>
            <w:pPr>
              <w:spacing w:after="40"/>
            </w:pPr>
            <w:r>
              <w:rPr>
                <w:sz w:val="17"/>
              </w:rPr>
            </w:r>
            <w:r>
              <w:rPr>
                <w:rFonts w:ascii="IBM Plex Sans" w:hAnsi="IBM Plex Sans" w:cs="IBM Plex Sans"/>
                <w:b w:val="0"/>
                <w:i w:val="0"/>
                <w:color w:val="161412"/>
                <w:sz w:val="17"/>
              </w:rPr>
              <w:t>Aún puedes evitarlo: atiende</w:t>
            </w:r>
          </w:p>
        </w:tc>
        <w:tc>
          <w:tcPr>
            <w:tcW w:type="dxa" w:w="1386"/>
          </w:tcPr>
          <w:p>
            <w:pPr>
              <w:spacing w:after="40"/>
            </w:pPr>
            <w:r>
              <w:rPr>
                <w:sz w:val="17"/>
              </w:rPr>
            </w:r>
            <w:r>
              <w:rPr>
                <w:rFonts w:ascii="IBM Plex Sans" w:hAnsi="IBM Plex Sans" w:cs="IBM Plex Sans"/>
                <w:b w:val="0"/>
                <w:i w:val="0"/>
                <w:color w:val="161412"/>
                <w:sz w:val="17"/>
              </w:rPr>
              <w:t>negativa / alta</w:t>
            </w:r>
          </w:p>
        </w:tc>
        <w:tc>
          <w:tcPr>
            <w:tcW w:type="dxa" w:w="1386"/>
          </w:tcPr>
          <w:p>
            <w:pPr>
              <w:spacing w:after="40"/>
            </w:pPr>
            <w:r>
              <w:rPr>
                <w:sz w:val="17"/>
              </w:rPr>
            </w:r>
            <w:r>
              <w:rPr>
                <w:rFonts w:ascii="IBM Plex Sans" w:hAnsi="IBM Plex Sans" w:cs="IBM Plex Sans"/>
                <w:b w:val="0"/>
                <w:i w:val="0"/>
                <w:color w:val="161412"/>
                <w:sz w:val="17"/>
              </w:rPr>
              <w:t>presencia, profundidad, sonido opcional</w:t>
            </w:r>
          </w:p>
        </w:tc>
        <w:tc>
          <w:tcPr>
            <w:tcW w:type="dxa" w:w="1386"/>
          </w:tcPr>
          <w:p>
            <w:pPr>
              <w:spacing w:after="40"/>
            </w:pPr>
            <w:r>
              <w:rPr>
                <w:sz w:val="17"/>
              </w:rPr>
            </w:r>
            <w:r>
              <w:rPr>
                <w:rFonts w:ascii="IBM Plex Sans" w:hAnsi="IBM Plex Sans" w:cs="IBM Plex Sans"/>
                <w:b w:val="0"/>
                <w:i w:val="0"/>
                <w:color w:val="161412"/>
                <w:sz w:val="17"/>
              </w:rPr>
              <w:t>Cargarlo en el marco y no en la señal</w:t>
            </w:r>
          </w:p>
        </w:tc>
      </w:tr>
      <w:tr>
        <w:tc>
          <w:tcPr>
            <w:tcW w:type="dxa" w:w="1386"/>
          </w:tcPr>
          <w:p>
            <w:pPr>
              <w:spacing w:after="40"/>
            </w:pPr>
            <w:r>
              <w:rPr>
                <w:sz w:val="17"/>
              </w:rPr>
            </w:r>
            <w:r>
              <w:rPr>
                <w:rFonts w:ascii="IBM Plex Sans" w:hAnsi="IBM Plex Sans" w:cs="IBM Plex Sans"/>
                <w:b w:val="0"/>
                <w:i w:val="0"/>
                <w:color w:val="161412"/>
                <w:sz w:val="17"/>
              </w:rPr>
              <w:t>loss</w:t>
            </w:r>
          </w:p>
        </w:tc>
        <w:tc>
          <w:tcPr>
            <w:tcW w:type="dxa" w:w="1386"/>
          </w:tcPr>
          <w:p>
            <w:pPr>
              <w:spacing w:after="40"/>
            </w:pPr>
            <w:r>
              <w:rPr>
                <w:sz w:val="17"/>
              </w:rPr>
            </w:r>
            <w:r>
              <w:rPr>
                <w:rFonts w:ascii="IBM Plex Sans" w:hAnsi="IBM Plex Sans" w:cs="IBM Plex Sans"/>
                <w:b w:val="0"/>
                <w:i w:val="0"/>
                <w:color w:val="161412"/>
                <w:sz w:val="17"/>
              </w:rPr>
              <w:t>perdido</w:t>
            </w:r>
          </w:p>
        </w:tc>
        <w:tc>
          <w:tcPr>
            <w:tcW w:type="dxa" w:w="1386"/>
          </w:tcPr>
          <w:p>
            <w:pPr>
              <w:spacing w:after="40"/>
            </w:pPr>
            <w:r>
              <w:rPr>
                <w:sz w:val="17"/>
              </w:rPr>
            </w:r>
            <w:r>
              <w:rPr>
                <w:rFonts w:ascii="IBM Plex Sans" w:hAnsi="IBM Plex Sans" w:cs="IBM Plex Sans"/>
                <w:b w:val="0"/>
                <w:i w:val="0"/>
                <w:color w:val="161412"/>
                <w:sz w:val="17"/>
              </w:rPr>
              <w:t>Ya ocurrió: registra y repara</w:t>
            </w:r>
          </w:p>
        </w:tc>
        <w:tc>
          <w:tcPr>
            <w:tcW w:type="dxa" w:w="1386"/>
          </w:tcPr>
          <w:p>
            <w:pPr>
              <w:spacing w:after="40"/>
            </w:pPr>
            <w:r>
              <w:rPr>
                <w:sz w:val="17"/>
              </w:rPr>
            </w:r>
            <w:r>
              <w:rPr>
                <w:rFonts w:ascii="IBM Plex Sans" w:hAnsi="IBM Plex Sans" w:cs="IBM Plex Sans"/>
                <w:b w:val="0"/>
                <w:i w:val="0"/>
                <w:color w:val="161412"/>
                <w:sz w:val="17"/>
              </w:rPr>
              <w:t>negativa / baja-media</w:t>
            </w:r>
          </w:p>
        </w:tc>
        <w:tc>
          <w:tcPr>
            <w:tcW w:type="dxa" w:w="1386"/>
          </w:tcPr>
          <w:p>
            <w:pPr>
              <w:spacing w:after="40"/>
            </w:pPr>
            <w:r>
              <w:rPr>
                <w:sz w:val="17"/>
              </w:rPr>
            </w:r>
            <w:r>
              <w:rPr>
                <w:rFonts w:ascii="IBM Plex Sans" w:hAnsi="IBM Plex Sans" w:cs="IBM Plex Sans"/>
                <w:b w:val="0"/>
                <w:i w:val="0"/>
                <w:color w:val="161412"/>
                <w:sz w:val="17"/>
              </w:rPr>
              <w:t>tiempo, forma seca, huella y deshacer</w:t>
            </w:r>
          </w:p>
        </w:tc>
        <w:tc>
          <w:tcPr>
            <w:tcW w:type="dxa" w:w="1386"/>
          </w:tcPr>
          <w:p>
            <w:pPr>
              <w:spacing w:after="40"/>
            </w:pPr>
            <w:r>
              <w:rPr>
                <w:sz w:val="17"/>
              </w:rPr>
            </w:r>
            <w:r>
              <w:rPr>
                <w:rFonts w:ascii="IBM Plex Sans" w:hAnsi="IBM Plex Sans" w:cs="IBM Plex Sans"/>
                <w:b w:val="0"/>
                <w:i w:val="0"/>
                <w:color w:val="161412"/>
                <w:sz w:val="17"/>
              </w:rPr>
              <w:t>Sonar como alarma cuando ya no hay nada que evitar</w:t>
            </w:r>
          </w:p>
        </w:tc>
      </w:tr>
    </w:tbl>
    <w:p>
      <w:pPr>
        <w:spacing w:before="320" w:after="40"/>
      </w:pPr>
    </w:p>
    <w:p>
      <w:pPr>
        <w:spacing w:after="160" w:line="240" w:lineRule="auto"/>
      </w:pPr>
      <w:r>
        <w:rPr>
          <w:rFonts w:ascii="Newsreader" w:hAnsi="Newsreader" w:cs="Newsreader"/>
          <w:color w:val="161412"/>
          <w:sz w:val="38"/>
        </w:rPr>
        <w:t xml:space="preserve">Paletas iniciales: sonido y háptica</w:t>
      </w:r>
    </w:p>
    <w:p>
      <w:pPr>
        <w:spacing w:after="120" w:line="320" w:lineRule="auto"/>
        <w:jc w:val="both"/>
      </w:pPr>
      <w:r>
        <w:rPr>
          <w:rFonts w:ascii="Newsreader" w:hAnsi="Newsreader" w:cs="Newsreader"/>
          <w:b w:val="0"/>
          <w:i w:val="0"/>
          <w:color w:val="161412"/>
        </w:rPr>
        <w:t xml:space="preserve">Los Capítulos 17 y 18 reclaman un vocabulario que la web no tiene, y reclamarlo sin ofrecer un punto de partida dejaría la deuda a medias. Estas dos paletas lo son: firmas orientativas por intent, con la filosofía de rangos del Capítulo 32 y números tomados de una implementación real — la del Apéndice D—. No son recetas: son el primer borrador de una materia.</w:t>
      </w:r>
    </w:p>
    <w:p>
      <w:pPr>
        <w:spacing w:after="200" w:before="40"/>
      </w:pPr>
      <w:r>
        <w:rPr>
          <w:rFonts w:ascii="IBM Plex Sans" w:hAnsi="IBM Plex Sans" w:cs="IBM Plex Sans"/>
          <w:b/>
          <w:color w:val="1F3A5F"/>
          <w:sz w:val="17"/>
        </w:rPr>
        <w:t xml:space="preserve">TABLA B.4   </w:t>
      </w:r>
      <w:r>
        <w:rPr>
          <w:rFonts w:ascii="IBM Plex Sans" w:hAnsi="IBM Plex Sans" w:cs="IBM Plex Sans"/>
          <w:color w:val="3A352F"/>
          <w:sz w:val="18"/>
        </w:rPr>
        <w:t xml:space="preserve">Paleta sonora inicial por intent</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 xml:space="preserve">INTENT</w:t>
            </w:r>
          </w:p>
        </w:tc>
        <w:tc>
          <w:tcPr>
            <w:tcW w:type="dxa" w:w="4158"/>
            <w:shd w:val="clear" w:color="auto" w:fill="EAE4D8"/>
          </w:tcPr>
          <w:p>
            <w:pPr>
              <w:spacing w:after="40"/>
            </w:pPr>
            <w:r>
              <w:rPr>
                <w:sz w:val="17"/>
              </w:rPr>
            </w:r>
            <w:r>
              <w:rPr>
                <w:rFonts w:ascii="IBM Plex Sans" w:hAnsi="IBM Plex Sans" w:cs="IBM Plex Sans"/>
                <w:b/>
                <w:i w:val="0"/>
                <w:color w:val="1F3A5F"/>
                <w:sz w:val="17"/>
              </w:rPr>
              <w:t xml:space="preserve">FIRMA SONORA ORIENTATIVA</w:t>
            </w:r>
          </w:p>
        </w:tc>
      </w:tr>
      <w:tr>
        <w:tc>
          <w:tcPr>
            <w:tcW w:type="dxa" w:w="4158"/>
          </w:tcPr>
          <w:p>
            <w:pPr>
              <w:spacing w:after="40"/>
            </w:pPr>
            <w:r>
              <w:rPr>
                <w:sz w:val="17"/>
              </w:rPr>
            </w:r>
            <w:r>
              <w:rPr>
                <w:rFonts w:ascii="IBM Plex Sans" w:hAnsi="IBM Plex Sans" w:cs="IBM Plex Sans"/>
                <w:b w:val="0"/>
                <w:i w:val="0"/>
                <w:color w:val="161412"/>
                <w:sz w:val="17"/>
              </w:rPr>
              <w:t xml:space="preserve">neutral</w:t>
            </w:r>
          </w:p>
        </w:tc>
        <w:tc>
          <w:tcPr>
            <w:tcW w:type="dxa" w:w="4158"/>
          </w:tcPr>
          <w:p>
            <w:pPr>
              <w:spacing w:after="40"/>
            </w:pPr>
            <w:r>
              <w:rPr>
                <w:sz w:val="17"/>
              </w:rPr>
            </w:r>
            <w:r>
              <w:rPr>
                <w:rFonts w:ascii="IBM Plex Sans" w:hAnsi="IBM Plex Sans" w:cs="IBM Plex Sans"/>
                <w:b w:val="0"/>
                <w:i w:val="0"/>
                <w:color w:val="161412"/>
                <w:sz w:val="17"/>
              </w:rPr>
              <w:t xml:space="preserve">Silencio o transitorio mínimo: limpio, ganancia muy baja (≤0,05), sin contorno marcado.</w:t>
            </w:r>
          </w:p>
        </w:tc>
      </w:tr>
      <w:tr>
        <w:tc>
          <w:tcPr>
            <w:tcW w:type="dxa" w:w="4158"/>
          </w:tcPr>
          <w:p>
            <w:pPr>
              <w:spacing w:after="40"/>
            </w:pPr>
            <w:r>
              <w:rPr>
                <w:sz w:val="17"/>
              </w:rPr>
            </w:r>
            <w:r>
              <w:rPr>
                <w:rFonts w:ascii="IBM Plex Sans" w:hAnsi="IBM Plex Sans" w:cs="IBM Plex Sans"/>
                <w:b w:val="0"/>
                <w:i w:val="0"/>
                <w:color w:val="161412"/>
                <w:sz w:val="17"/>
              </w:rPr>
              <w:t xml:space="preserve">affirm</w:t>
            </w:r>
          </w:p>
        </w:tc>
        <w:tc>
          <w:tcPr>
            <w:tcW w:type="dxa" w:w="4158"/>
          </w:tcPr>
          <w:p>
            <w:pPr>
              <w:spacing w:after="40"/>
            </w:pPr>
            <w:r>
              <w:rPr>
                <w:sz w:val="17"/>
              </w:rPr>
            </w:r>
            <w:r>
              <w:rPr>
                <w:rFonts w:ascii="IBM Plex Sans" w:hAnsi="IBM Plex Sans" w:cs="IBM Plex Sans"/>
                <w:b w:val="0"/>
                <w:i w:val="0"/>
                <w:color w:val="161412"/>
                <w:sz w:val="17"/>
              </w:rPr>
              <w:t xml:space="preserve">Breve (≈80–140 ms), limpio, registro medio-agudo, ganancia baja, contorno plano o leve arco.</w:t>
            </w:r>
          </w:p>
        </w:tc>
      </w:tr>
      <w:tr>
        <w:tc>
          <w:tcPr>
            <w:tcW w:type="dxa" w:w="4158"/>
          </w:tcPr>
          <w:p>
            <w:pPr>
              <w:spacing w:after="40"/>
            </w:pPr>
            <w:r>
              <w:rPr>
                <w:sz w:val="17"/>
              </w:rPr>
            </w:r>
            <w:r>
              <w:rPr>
                <w:rFonts w:ascii="IBM Plex Sans" w:hAnsi="IBM Plex Sans" w:cs="IBM Plex Sans"/>
                <w:b w:val="0"/>
                <w:i w:val="0"/>
                <w:color w:val="161412"/>
                <w:sz w:val="17"/>
              </w:rPr>
              <w:t xml:space="preserve">fulfill</w:t>
            </w:r>
          </w:p>
        </w:tc>
        <w:tc>
          <w:tcPr>
            <w:tcW w:type="dxa" w:w="4158"/>
          </w:tcPr>
          <w:p>
            <w:pPr>
              <w:spacing w:after="40"/>
            </w:pPr>
            <w:r>
              <w:rPr>
                <w:sz w:val="17"/>
              </w:rPr>
            </w:r>
            <w:r>
              <w:rPr>
                <w:rFonts w:ascii="IBM Plex Sans" w:hAnsi="IBM Plex Sans" w:cs="IBM Plex Sans"/>
                <w:b w:val="0"/>
                <w:i w:val="0"/>
                <w:color w:val="161412"/>
                <w:sz w:val="17"/>
              </w:rPr>
              <w:t xml:space="preserve">Ascendente y resolutivo: algo más largo (≈150–200 ms), admite doble nota, ganancia moderada.</w:t>
            </w:r>
          </w:p>
        </w:tc>
      </w:tr>
      <w:tr>
        <w:tc>
          <w:tcPr>
            <w:tcW w:type="dxa" w:w="4158"/>
          </w:tcPr>
          <w:p>
            <w:pPr>
              <w:spacing w:after="40"/>
            </w:pPr>
            <w:r>
              <w:rPr>
                <w:sz w:val="17"/>
              </w:rPr>
            </w:r>
            <w:r>
              <w:rPr>
                <w:rFonts w:ascii="IBM Plex Sans" w:hAnsi="IBM Plex Sans" w:cs="IBM Plex Sans"/>
                <w:b w:val="0"/>
                <w:i w:val="0"/>
                <w:color w:val="161412"/>
                <w:sz w:val="17"/>
              </w:rPr>
              <w:t xml:space="preserve">risk</w:t>
            </w:r>
          </w:p>
        </w:tc>
        <w:tc>
          <w:tcPr>
            <w:tcW w:type="dxa" w:w="4158"/>
          </w:tcPr>
          <w:p>
            <w:pPr>
              <w:spacing w:after="40"/>
            </w:pPr>
            <w:r>
              <w:rPr>
                <w:sz w:val="17"/>
              </w:rPr>
            </w:r>
            <w:r>
              <w:rPr>
                <w:rFonts w:ascii="IBM Plex Sans" w:hAnsi="IBM Plex Sans" w:cs="IBM Plex Sans"/>
                <w:b w:val="0"/>
                <w:i w:val="0"/>
                <w:color w:val="161412"/>
                <w:sz w:val="17"/>
              </w:rPr>
              <w:t xml:space="preserve">Seco y contenido: ataque claro, duración corta, aspereza leve, sin insistencia ni repetición.</w:t>
            </w:r>
          </w:p>
        </w:tc>
      </w:tr>
      <w:tr>
        <w:tc>
          <w:tcPr>
            <w:tcW w:type="dxa" w:w="4158"/>
          </w:tcPr>
          <w:p>
            <w:pPr>
              <w:spacing w:after="40"/>
            </w:pPr>
            <w:r>
              <w:rPr>
                <w:sz w:val="17"/>
              </w:rPr>
            </w:r>
            <w:r>
              <w:rPr>
                <w:rFonts w:ascii="IBM Plex Sans" w:hAnsi="IBM Plex Sans" w:cs="IBM Plex Sans"/>
                <w:b w:val="0"/>
                <w:i w:val="0"/>
                <w:color w:val="161412"/>
                <w:sz w:val="17"/>
              </w:rPr>
              <w:t xml:space="preserve">threat</w:t>
            </w:r>
          </w:p>
        </w:tc>
        <w:tc>
          <w:tcPr>
            <w:tcW w:type="dxa" w:w="4158"/>
          </w:tcPr>
          <w:p>
            <w:pPr>
              <w:spacing w:after="40"/>
            </w:pPr>
            <w:r>
              <w:rPr>
                <w:sz w:val="17"/>
              </w:rPr>
            </w:r>
            <w:r>
              <w:rPr>
                <w:rFonts w:ascii="IBM Plex Sans" w:hAnsi="IBM Plex Sans" w:cs="IBM Plex Sans"/>
                <w:b w:val="0"/>
                <w:i w:val="0"/>
                <w:color w:val="161412"/>
                <w:sz w:val="17"/>
              </w:rPr>
              <w:t xml:space="preserve">Ataque casi inmediato (≈4 ms), aspereza alta — dos órdenes de magnitud sobre el resto de la paleta—, ganancia máxima, saliente mientras dure la situación.</w:t>
            </w:r>
          </w:p>
        </w:tc>
      </w:tr>
      <w:tr>
        <w:tc>
          <w:tcPr>
            <w:tcW w:type="dxa" w:w="4158"/>
          </w:tcPr>
          <w:p>
            <w:pPr>
              <w:spacing w:after="40"/>
            </w:pPr>
            <w:r>
              <w:rPr>
                <w:sz w:val="17"/>
              </w:rPr>
            </w:r>
            <w:r>
              <w:rPr>
                <w:rFonts w:ascii="IBM Plex Sans" w:hAnsi="IBM Plex Sans" w:cs="IBM Plex Sans"/>
                <w:b w:val="0"/>
                <w:i w:val="0"/>
                <w:color w:val="161412"/>
                <w:sz w:val="17"/>
              </w:rPr>
              <w:t xml:space="preserve">loss</w:t>
            </w:r>
          </w:p>
        </w:tc>
        <w:tc>
          <w:tcPr>
            <w:tcW w:type="dxa" w:w="4158"/>
          </w:tcPr>
          <w:p>
            <w:pPr>
              <w:spacing w:after="40"/>
            </w:pPr>
            <w:r>
              <w:rPr>
                <w:sz w:val="17"/>
              </w:rPr>
            </w:r>
            <w:r>
              <w:rPr>
                <w:rFonts w:ascii="IBM Plex Sans" w:hAnsi="IBM Plex Sans" w:cs="IBM Plex Sans"/>
                <w:b w:val="0"/>
                <w:i w:val="0"/>
                <w:color w:val="161412"/>
                <w:sz w:val="17"/>
              </w:rPr>
              <w:t xml:space="preserve">Grave (≈500 Hz), descendente, seco: registra sin alarmar, con ganancia contenida. El silencio posterior es parte de la firma.</w:t>
            </w:r>
          </w:p>
        </w:tc>
      </w:tr>
    </w:tbl>
    <w:p>
      <w:pPr>
        <w:spacing w:before="320" w:after="40"/>
      </w:pPr>
    </w:p>
    <w:p>
      <w:pPr>
        <w:spacing w:after="200" w:before="40"/>
      </w:pPr>
      <w:r>
        <w:rPr>
          <w:rFonts w:ascii="IBM Plex Sans" w:hAnsi="IBM Plex Sans" w:cs="IBM Plex Sans"/>
          <w:b/>
          <w:color w:val="1F3A5F"/>
          <w:sz w:val="17"/>
        </w:rPr>
        <w:t xml:space="preserve">TABLA B.5   </w:t>
      </w:r>
      <w:r>
        <w:rPr>
          <w:rFonts w:ascii="IBM Plex Sans" w:hAnsi="IBM Plex Sans" w:cs="IBM Plex Sans"/>
          <w:color w:val="3A352F"/>
          <w:sz w:val="18"/>
        </w:rPr>
        <w:t xml:space="preserve">Paleta háptica inicial por intent</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 xml:space="preserve">INTENT</w:t>
            </w:r>
          </w:p>
        </w:tc>
        <w:tc>
          <w:tcPr>
            <w:tcW w:type="dxa" w:w="4158"/>
            <w:shd w:val="clear" w:color="auto" w:fill="EAE4D8"/>
          </w:tcPr>
          <w:p>
            <w:pPr>
              <w:spacing w:after="40"/>
            </w:pPr>
            <w:r>
              <w:rPr>
                <w:sz w:val="17"/>
              </w:rPr>
            </w:r>
            <w:r>
              <w:rPr>
                <w:rFonts w:ascii="IBM Plex Sans" w:hAnsi="IBM Plex Sans" w:cs="IBM Plex Sans"/>
                <w:b/>
                <w:i w:val="0"/>
                <w:color w:val="1F3A5F"/>
                <w:sz w:val="17"/>
              </w:rPr>
              <w:t xml:space="preserve">FIRMA HÁPTICA ORIENTATIVA</w:t>
            </w:r>
          </w:p>
        </w:tc>
      </w:tr>
      <w:tr>
        <w:tc>
          <w:tcPr>
            <w:tcW w:type="dxa" w:w="4158"/>
          </w:tcPr>
          <w:p>
            <w:pPr>
              <w:spacing w:after="40"/>
            </w:pPr>
            <w:r>
              <w:rPr>
                <w:sz w:val="17"/>
              </w:rPr>
            </w:r>
            <w:r>
              <w:rPr>
                <w:rFonts w:ascii="IBM Plex Sans" w:hAnsi="IBM Plex Sans" w:cs="IBM Plex Sans"/>
                <w:b w:val="0"/>
                <w:i w:val="0"/>
                <w:color w:val="161412"/>
                <w:sz w:val="17"/>
              </w:rPr>
              <w:t xml:space="preserve">neutral</w:t>
            </w:r>
          </w:p>
        </w:tc>
        <w:tc>
          <w:tcPr>
            <w:tcW w:type="dxa" w:w="4158"/>
          </w:tcPr>
          <w:p>
            <w:pPr>
              <w:spacing w:after="40"/>
            </w:pPr>
            <w:r>
              <w:rPr>
                <w:sz w:val="17"/>
              </w:rPr>
            </w:r>
            <w:r>
              <w:rPr>
                <w:rFonts w:ascii="IBM Plex Sans" w:hAnsi="IBM Plex Sans" w:cs="IBM Plex Sans"/>
                <w:b w:val="0"/>
                <w:i w:val="0"/>
                <w:color w:val="161412"/>
                <w:sz w:val="17"/>
              </w:rPr>
              <w:t xml:space="preserve">Ausencia, o un pulso mínimo.</w:t>
            </w:r>
          </w:p>
        </w:tc>
      </w:tr>
      <w:tr>
        <w:tc>
          <w:tcPr>
            <w:tcW w:type="dxa" w:w="4158"/>
          </w:tcPr>
          <w:p>
            <w:pPr>
              <w:spacing w:after="40"/>
            </w:pPr>
            <w:r>
              <w:rPr>
                <w:sz w:val="17"/>
              </w:rPr>
            </w:r>
            <w:r>
              <w:rPr>
                <w:rFonts w:ascii="IBM Plex Sans" w:hAnsi="IBM Plex Sans" w:cs="IBM Plex Sans"/>
                <w:b w:val="0"/>
                <w:i w:val="0"/>
                <w:color w:val="161412"/>
                <w:sz w:val="17"/>
              </w:rPr>
              <w:t xml:space="preserve">affirm</w:t>
            </w:r>
          </w:p>
        </w:tc>
        <w:tc>
          <w:tcPr>
            <w:tcW w:type="dxa" w:w="4158"/>
          </w:tcPr>
          <w:p>
            <w:pPr>
              <w:spacing w:after="40"/>
            </w:pPr>
            <w:r>
              <w:rPr>
                <w:sz w:val="17"/>
              </w:rPr>
            </w:r>
            <w:r>
              <w:rPr>
                <w:rFonts w:ascii="IBM Plex Sans" w:hAnsi="IBM Plex Sans" w:cs="IBM Plex Sans"/>
                <w:b w:val="0"/>
                <w:i w:val="0"/>
                <w:color w:val="161412"/>
                <w:sz w:val="17"/>
              </w:rPr>
              <w:t xml:space="preserve">Un pulso suave, único.</w:t>
            </w:r>
          </w:p>
        </w:tc>
      </w:tr>
      <w:tr>
        <w:tc>
          <w:tcPr>
            <w:tcW w:type="dxa" w:w="4158"/>
          </w:tcPr>
          <w:p>
            <w:pPr>
              <w:spacing w:after="40"/>
            </w:pPr>
            <w:r>
              <w:rPr>
                <w:sz w:val="17"/>
              </w:rPr>
            </w:r>
            <w:r>
              <w:rPr>
                <w:rFonts w:ascii="IBM Plex Sans" w:hAnsi="IBM Plex Sans" w:cs="IBM Plex Sans"/>
                <w:b w:val="0"/>
                <w:i w:val="0"/>
                <w:color w:val="161412"/>
                <w:sz w:val="17"/>
              </w:rPr>
              <w:t xml:space="preserve">fulfill</w:t>
            </w:r>
          </w:p>
        </w:tc>
        <w:tc>
          <w:tcPr>
            <w:tcW w:type="dxa" w:w="4158"/>
          </w:tcPr>
          <w:p>
            <w:pPr>
              <w:spacing w:after="40"/>
            </w:pPr>
            <w:r>
              <w:rPr>
                <w:sz w:val="17"/>
              </w:rPr>
            </w:r>
            <w:r>
              <w:rPr>
                <w:rFonts w:ascii="IBM Plex Sans" w:hAnsi="IBM Plex Sans" w:cs="IBM Plex Sans"/>
                <w:b w:val="0"/>
                <w:i w:val="0"/>
                <w:color w:val="161412"/>
                <w:sz w:val="17"/>
              </w:rPr>
              <w:t xml:space="preserve">Un pulso más definido, o un doble pulso suave.</w:t>
            </w:r>
          </w:p>
        </w:tc>
      </w:tr>
      <w:tr>
        <w:tc>
          <w:tcPr>
            <w:tcW w:type="dxa" w:w="4158"/>
          </w:tcPr>
          <w:p>
            <w:pPr>
              <w:spacing w:after="40"/>
            </w:pPr>
            <w:r>
              <w:rPr>
                <w:sz w:val="17"/>
              </w:rPr>
            </w:r>
            <w:r>
              <w:rPr>
                <w:rFonts w:ascii="IBM Plex Sans" w:hAnsi="IBM Plex Sans" w:cs="IBM Plex Sans"/>
                <w:b w:val="0"/>
                <w:i w:val="0"/>
                <w:color w:val="161412"/>
                <w:sz w:val="17"/>
              </w:rPr>
              <w:t xml:space="preserve">risk</w:t>
            </w:r>
          </w:p>
        </w:tc>
        <w:tc>
          <w:tcPr>
            <w:tcW w:type="dxa" w:w="4158"/>
          </w:tcPr>
          <w:p>
            <w:pPr>
              <w:spacing w:after="40"/>
            </w:pPr>
            <w:r>
              <w:rPr>
                <w:sz w:val="17"/>
              </w:rPr>
            </w:r>
            <w:r>
              <w:rPr>
                <w:rFonts w:ascii="IBM Plex Sans" w:hAnsi="IBM Plex Sans" w:cs="IBM Plex Sans"/>
                <w:b w:val="0"/>
                <w:i w:val="0"/>
                <w:color w:val="161412"/>
                <w:sz w:val="17"/>
              </w:rPr>
              <w:t xml:space="preserve">Un pulso contenido, sin repetición.</w:t>
            </w:r>
          </w:p>
        </w:tc>
      </w:tr>
      <w:tr>
        <w:tc>
          <w:tcPr>
            <w:tcW w:type="dxa" w:w="4158"/>
          </w:tcPr>
          <w:p>
            <w:pPr>
              <w:spacing w:after="40"/>
            </w:pPr>
            <w:r>
              <w:rPr>
                <w:sz w:val="17"/>
              </w:rPr>
            </w:r>
            <w:r>
              <w:rPr>
                <w:rFonts w:ascii="IBM Plex Sans" w:hAnsi="IBM Plex Sans" w:cs="IBM Plex Sans"/>
                <w:b w:val="0"/>
                <w:i w:val="0"/>
                <w:color w:val="161412"/>
                <w:sz w:val="17"/>
              </w:rPr>
              <w:t xml:space="preserve">threat</w:t>
            </w:r>
          </w:p>
        </w:tc>
        <w:tc>
          <w:tcPr>
            <w:tcW w:type="dxa" w:w="4158"/>
          </w:tcPr>
          <w:p>
            <w:pPr>
              <w:spacing w:after="40"/>
            </w:pPr>
            <w:r>
              <w:rPr>
                <w:sz w:val="17"/>
              </w:rPr>
            </w:r>
            <w:r>
              <w:rPr>
                <w:rFonts w:ascii="IBM Plex Sans" w:hAnsi="IBM Plex Sans" w:cs="IBM Plex Sans"/>
                <w:b w:val="0"/>
                <w:i w:val="0"/>
                <w:color w:val="161412"/>
                <w:sz w:val="17"/>
              </w:rPr>
              <w:t xml:space="preserve">Vibración fuerte o doble, con patrón reconocible, duración limitada y posibilidad de silenciar.</w:t>
            </w:r>
          </w:p>
        </w:tc>
      </w:tr>
      <w:tr>
        <w:tc>
          <w:tcPr>
            <w:tcW w:type="dxa" w:w="4158"/>
          </w:tcPr>
          <w:p>
            <w:pPr>
              <w:spacing w:after="40"/>
            </w:pPr>
            <w:r>
              <w:rPr>
                <w:sz w:val="17"/>
              </w:rPr>
            </w:r>
            <w:r>
              <w:rPr>
                <w:rFonts w:ascii="IBM Plex Sans" w:hAnsi="IBM Plex Sans" w:cs="IBM Plex Sans"/>
                <w:b w:val="0"/>
                <w:i w:val="0"/>
                <w:color w:val="161412"/>
                <w:sz w:val="17"/>
              </w:rPr>
              <w:t xml:space="preserve">loss</w:t>
            </w:r>
          </w:p>
        </w:tc>
        <w:tc>
          <w:tcPr>
            <w:tcW w:type="dxa" w:w="4158"/>
          </w:tcPr>
          <w:p>
            <w:pPr>
              <w:spacing w:after="40"/>
            </w:pPr>
            <w:r>
              <w:rPr>
                <w:sz w:val="17"/>
              </w:rPr>
            </w:r>
            <w:r>
              <w:rPr>
                <w:rFonts w:ascii="IBM Plex Sans" w:hAnsi="IBM Plex Sans" w:cs="IBM Plex Sans"/>
                <w:b w:val="0"/>
                <w:i w:val="0"/>
                <w:color w:val="161412"/>
                <w:sz w:val="17"/>
              </w:rPr>
              <w:t xml:space="preserve">Un pulso seco y pesado, único; nunca vibración sostenida.</w:t>
            </w:r>
          </w:p>
        </w:tc>
      </w:tr>
    </w:tbl>
    <w:p>
      <w:pPr>
        <w:spacing w:before="320" w:after="40"/>
      </w:pPr>
    </w:p>
    <w:p>
      <w:pPr>
        <w:spacing w:after="120" w:line="320" w:lineRule="auto"/>
        <w:jc w:val="both"/>
      </w:pPr>
      <w:r>
        <w:rPr>
          <w:rFonts w:ascii="Newsreader" w:hAnsi="Newsreader" w:cs="Newsreader"/>
          <w:b w:val="0"/>
          <w:i w:val="0"/>
          <w:color w:val="161412"/>
        </w:rPr>
        <w:t xml:space="preserve">Dos reglas de la práctica completan las tablas. La primera es la del </w:t>
      </w:r>
      <w:r>
        <w:rPr>
          <w:rFonts w:ascii="Newsreader" w:hAnsi="Newsreader" w:cs="Newsreader"/>
          <w:b w:val="0"/>
          <w:i/>
          <w:color w:val="161412"/>
        </w:rPr>
        <w:t xml:space="preserve">gesto continuo</w:t>
      </w:r>
      <w:r>
        <w:rPr>
          <w:rFonts w:ascii="Newsreader" w:hAnsi="Newsreader" w:cs="Newsreader"/>
          <w:b w:val="0"/>
          <w:i w:val="0"/>
          <w:color w:val="161412"/>
        </w:rPr>
        <w:t xml:space="preserve">, para cuando el sonido acompaña una manipulación — un arrastre, un deslizador—. La posición gobierna la altura tonal; la velocidad, el brillo y la ganancia; la dirección, el contorno. Y la masa perceptiva del objeto gobierna el timbre: mover un panel entero suena más grave, menos brillante y más leñoso que mover el pulgar de un deslizador. Todo ello en susurro — ganancias de 0,01 a 0,03, muestreadas al ritmo de la percepción (Capítulo 25)—.</w:t>
      </w:r>
    </w:p>
    <w:p>
      <w:pPr>
        <w:spacing w:after="120" w:line="320" w:lineRule="auto"/>
        <w:jc w:val="both"/>
      </w:pPr>
      <w:r>
        <w:rPr>
          <w:rFonts w:ascii="Newsreader" w:hAnsi="Newsreader" w:cs="Newsreader"/>
          <w:b w:val="0"/>
          <w:i w:val="0"/>
          <w:color w:val="161412"/>
        </w:rPr>
        <w:t xml:space="preserve">La segunda es la del </w:t>
      </w:r>
      <w:r>
        <w:rPr>
          <w:rFonts w:ascii="Newsreader" w:hAnsi="Newsreader" w:cs="Newsreader"/>
          <w:b w:val="0"/>
          <w:i/>
          <w:color w:val="161412"/>
        </w:rPr>
        <w:t xml:space="preserve">silencio canónico</w:t>
      </w:r>
      <w:r>
        <w:rPr>
          <w:rFonts w:ascii="Newsreader" w:hAnsi="Newsreader" w:cs="Newsreader"/>
          <w:b w:val="0"/>
          <w:i w:val="0"/>
          <w:color w:val="161412"/>
        </w:rPr>
        <w:t xml:space="preserve">. Los eventos de frecuencia altísima —el interruptor cotidiano, el tooltip que aparece al pasar— declaran el silencio como su firma por defecto: una ganancia base negativa que anula la voz de la familia. Pero la anulación es perforable: los deltas evaluativos la atraviesan, y el mismo interruptor que calla a diario suena cuando el cambio es destructivo o culminante. El silencio no es ausencia de diseño: es la firma que la frecuencia exige (Capítulo 32), con la evaluación como única excepción.</w:t>
      </w:r>
    </w:p>
    <w:p>
      <w:pPr>
        <w:spacing w:after="120" w:line="320" w:lineRule="auto"/>
        <w:jc w:val="both"/>
      </w:pPr>
      <w:r>
        <w:rPr>
          <w:rFonts w:ascii="Newsreader" w:hAnsi="Newsreader" w:cs="Newsreader"/>
          <w:b w:val="0"/>
          <w:i w:val="0"/>
          <w:color w:val="161412"/>
        </w:rPr>
        <w:t xml:space="preserve">Y una nota de identidad. La firma paramétrica es el contrato semántico del sonido; la voz concreta puede ponerla una síntesis o una muestra de audio con carácter de producto. La disciplina es que toda muestra declare su firma como respaldo: así la identidad sonora de una marca convive con la gramática en lugar de sustituirla.</w:t>
      </w:r>
    </w:p>
    <w:p>
      <w:r>
        <w:br w:type="page"/>
      </w:r>
    </w:p>
    <w:p>
      <w:pPr>
        <w:spacing w:after="60" w:line="240" w:lineRule="auto"/>
      </w:pPr>
      <w:r>
        <w:rPr>
          <w:rFonts w:ascii="Newsreader" w:hAnsi="Newsreader" w:cs="Newsreader"/>
          <w:color w:val="161412"/>
          <w:sz w:val="60"/>
        </w:rPr>
        <w:t>APÉNDICE C</w:t>
      </w:r>
    </w:p>
    <w:p>
      <w:pPr>
        <w:pBdr>
          <w:bottom w:val="single" w:sz="4" w:space="4" w:color="1F3A5F"/>
        </w:pBdr>
      </w:pPr>
    </w:p>
    <w:p>
      <w:pPr>
        <w:spacing w:before="320" w:after="40"/>
      </w:pPr>
    </w:p>
    <w:p>
      <w:pPr>
        <w:spacing w:after="160" w:line="240" w:lineRule="auto"/>
      </w:pPr>
      <w:r>
        <w:rPr>
          <w:rFonts w:ascii="Newsreader" w:hAnsi="Newsreader" w:cs="Newsreader"/>
          <w:color w:val="161412"/>
          <w:sz w:val="38"/>
        </w:rPr>
        <w:t>Tres casos de estudio</w:t>
      </w:r>
    </w:p>
    <w:p>
      <w:pPr>
        <w:spacing w:before="240" w:after="100"/>
      </w:pPr>
      <w:r>
        <w:rPr>
          <w:rFonts w:ascii="Newsreader" w:hAnsi="Newsreader" w:cs="Newsreader"/>
          <w:i/>
          <w:color w:val="1F3A5F"/>
          <w:sz w:val="28"/>
        </w:rPr>
        <w:t>Caso 1 — Formulario con error corregible</w:t>
      </w:r>
    </w:p>
    <w:p>
      <w:pPr>
        <w:spacing w:after="120" w:line="320" w:lineRule="auto"/>
        <w:jc w:val="both"/>
      </w:pPr>
      <w:r>
        <w:rPr>
          <w:rFonts w:ascii="Newsreader" w:hAnsi="Newsreader" w:cs="Newsreader"/>
          <w:b w:val="0"/>
          <w:i w:val="0"/>
          <w:color w:val="161412"/>
        </w:rPr>
        <w:t>Un usuario envía un formulario y un campo obligatorio está vacío. La interfaz no debería tratar este caso como amenaza. Todavía hay margen de acción.</w:t>
      </w:r>
    </w:p>
    <w:p>
      <w:pPr>
        <w:spacing w:after="120" w:line="320" w:lineRule="auto"/>
        <w:jc w:val="both"/>
      </w:pPr>
      <w:r>
        <w:rPr>
          <w:rFonts w:ascii="Newsreader" w:hAnsi="Newsreader" w:cs="Newsreader"/>
          <w:b w:val="0"/>
          <w:i w:val="0"/>
          <w:color w:val="161412"/>
        </w:rPr>
        <w:t>Secuencia:</w:t>
      </w:r>
    </w:p>
    <w:p>
      <w:pPr>
        <w:spacing w:after="120" w:line="320" w:lineRule="auto"/>
        <w:jc w:val="both"/>
      </w:pPr>
      <w:r>
        <w:rPr>
          <w:rFonts w:ascii="Newsreader" w:hAnsi="Newsreader" w:cs="Newsreader"/>
          <w:b w:val="0"/>
          <w:i w:val="0"/>
          <w:color w:val="161412"/>
        </w:rPr>
        <w:t>contact.press</w:t>
      </w:r>
    </w:p>
    <w:p>
      <w:pPr>
        <w:spacing w:after="120" w:line="320" w:lineRule="auto"/>
        <w:jc w:val="both"/>
      </w:pPr>
      <w:r>
        <w:rPr>
          <w:rFonts w:ascii="Newsreader" w:hAnsi="Newsreader" w:cs="Newsreader"/>
          <w:b w:val="0"/>
          <w:i w:val="0"/>
          <w:color w:val="161412"/>
        </w:rPr>
        <w:t>→ signal.warn + risk</w:t>
      </w:r>
    </w:p>
    <w:p>
      <w:pPr>
        <w:spacing w:after="120" w:line="320" w:lineRule="auto"/>
        <w:jc w:val="both"/>
      </w:pPr>
      <w:r>
        <w:rPr>
          <w:rFonts w:ascii="Newsreader" w:hAnsi="Newsreader" w:cs="Newsreader"/>
          <w:b w:val="0"/>
          <w:i w:val="0"/>
          <w:color w:val="161412"/>
        </w:rPr>
        <w:t>→ focus.field</w:t>
      </w:r>
    </w:p>
    <w:p>
      <w:pPr>
        <w:spacing w:after="120" w:line="320" w:lineRule="auto"/>
        <w:jc w:val="both"/>
      </w:pPr>
      <w:r>
        <w:rPr>
          <w:rFonts w:ascii="Newsreader" w:hAnsi="Newsreader" w:cs="Newsreader"/>
          <w:b w:val="0"/>
          <w:i w:val="0"/>
          <w:color w:val="161412"/>
        </w:rPr>
        <w:t>→ commit.block + risk</w:t>
      </w:r>
    </w:p>
    <w:p>
      <w:pPr>
        <w:spacing w:after="120" w:line="320" w:lineRule="auto"/>
        <w:jc w:val="both"/>
      </w:pPr>
      <w:r>
        <w:rPr>
          <w:rFonts w:ascii="Newsreader" w:hAnsi="Newsreader" w:cs="Newsreader"/>
          <w:b w:val="0"/>
          <w:i w:val="0"/>
          <w:color w:val="161412"/>
        </w:rPr>
        <w:t xml:space="preserve">La firma de expresión es contenida: el mensaje aparece junto al campo, con forma clara y color moderado, y persiste hasta que el error se corrige. Si el envío queda bloqueado, el foco se orienta hacia el campo que lo bloquea.</w:t>
      </w:r>
    </w:p>
    <w:p>
      <w:pPr>
        <w:spacing w:before="240" w:after="100"/>
      </w:pPr>
      <w:r>
        <w:rPr>
          <w:rFonts w:ascii="Newsreader" w:hAnsi="Newsreader" w:cs="Newsreader"/>
          <w:i/>
          <w:color w:val="1F3A5F"/>
          <w:sz w:val="28"/>
        </w:rPr>
        <w:t>Caso 2 — Eliminación con confirmación y deshacer</w:t>
      </w:r>
    </w:p>
    <w:p>
      <w:pPr>
        <w:spacing w:after="120" w:line="320" w:lineRule="auto"/>
        <w:jc w:val="both"/>
      </w:pPr>
      <w:r>
        <w:rPr>
          <w:rFonts w:ascii="Newsreader" w:hAnsi="Newsreader" w:cs="Newsreader"/>
          <w:b w:val="0"/>
          <w:i w:val="0"/>
          <w:color w:val="161412"/>
        </w:rPr>
        <w:t xml:space="preserve">Un usuario intenta eliminar un elemento. Antes de confirmar, la interfaz introduce la amenaza. Después de confirmar, comunica pérdida y mantiene una huella si existe deshacer.</w:t>
      </w:r>
    </w:p>
    <w:p>
      <w:pPr>
        <w:spacing w:after="120" w:line="320" w:lineRule="auto"/>
        <w:jc w:val="both"/>
      </w:pPr>
      <w:r>
        <w:rPr>
          <w:rFonts w:ascii="Newsreader" w:hAnsi="Newsreader" w:cs="Newsreader"/>
          <w:b w:val="0"/>
          <w:i w:val="0"/>
          <w:color w:val="161412"/>
        </w:rPr>
        <w:t>Secuencia:</w:t>
      </w:r>
    </w:p>
    <w:p>
      <w:pPr>
        <w:spacing w:after="120" w:line="320" w:lineRule="auto"/>
        <w:jc w:val="both"/>
      </w:pPr>
      <w:r>
        <w:rPr>
          <w:rFonts w:ascii="Newsreader" w:hAnsi="Newsreader" w:cs="Newsreader"/>
          <w:b w:val="0"/>
          <w:i w:val="0"/>
          <w:color w:val="161412"/>
        </w:rPr>
        <w:t>contact.press</w:t>
      </w:r>
    </w:p>
    <w:p>
      <w:pPr>
        <w:spacing w:after="120" w:line="320" w:lineRule="auto"/>
        <w:jc w:val="both"/>
      </w:pPr>
      <w:r>
        <w:rPr>
          <w:rFonts w:ascii="Newsreader" w:hAnsi="Newsreader" w:cs="Newsreader"/>
          <w:b w:val="0"/>
          <w:i w:val="0"/>
          <w:color w:val="161412"/>
        </w:rPr>
        <w:t>→ emerge.open</w:t>
      </w:r>
    </w:p>
    <w:p>
      <w:pPr>
        <w:spacing w:after="120" w:line="320" w:lineRule="auto"/>
        <w:jc w:val="both"/>
      </w:pPr>
      <w:r>
        <w:rPr>
          <w:rFonts w:ascii="Newsreader" w:hAnsi="Newsreader" w:cs="Newsreader"/>
          <w:b w:val="0"/>
          <w:i w:val="0"/>
          <w:color w:val="161412"/>
        </w:rPr>
        <w:t>→ signal.alert + threat</w:t>
      </w:r>
    </w:p>
    <w:p>
      <w:pPr>
        <w:spacing w:after="120" w:line="320" w:lineRule="auto"/>
        <w:jc w:val="both"/>
      </w:pPr>
      <w:r>
        <w:rPr>
          <w:rFonts w:ascii="Newsreader" w:hAnsi="Newsreader" w:cs="Newsreader"/>
          <w:b w:val="0"/>
          <w:i w:val="0"/>
          <w:color w:val="161412"/>
        </w:rPr>
        <w:t>→ commit.delete + loss</w:t>
      </w:r>
    </w:p>
    <w:p>
      <w:pPr>
        <w:spacing w:after="120" w:line="320" w:lineRule="auto"/>
        <w:jc w:val="both"/>
      </w:pPr>
      <w:r>
        <w:rPr>
          <w:rFonts w:ascii="Newsreader" w:hAnsi="Newsreader" w:cs="Newsreader"/>
          <w:b w:val="0"/>
          <w:i w:val="0"/>
          <w:color w:val="161412"/>
        </w:rPr>
        <w:t>→ emerge.present-undo</w:t>
      </w:r>
    </w:p>
    <w:p>
      <w:pPr>
        <w:spacing w:after="120" w:line="320" w:lineRule="auto"/>
        <w:jc w:val="both"/>
      </w:pPr>
      <w:r>
        <w:rPr>
          <w:rFonts w:ascii="Newsreader" w:hAnsi="Newsreader" w:cs="Newsreader"/>
          <w:b w:val="0"/>
          <w:i w:val="0"/>
          <w:color w:val="161412"/>
        </w:rPr>
        <w:t xml:space="preserve">La firma de expresión sigue ese arco. Antes: un diálogo claro, con el foco contenido y las acciones bien diferenciadas. Después: un mensaje que persiste tras la eliminación y una opción de recuperación mientras siga siendo válida.</w:t>
      </w:r>
    </w:p>
    <w:p>
      <w:pPr>
        <w:spacing w:before="240" w:after="100"/>
      </w:pPr>
      <w:r>
        <w:rPr>
          <w:rFonts w:ascii="Newsreader" w:hAnsi="Newsreader" w:cs="Newsreader"/>
          <w:i/>
          <w:color w:val="1F3A5F"/>
          <w:sz w:val="28"/>
        </w:rPr>
        <w:t>Caso 3 — Sistema que propone y aplica cambios</w:t>
      </w:r>
    </w:p>
    <w:p>
      <w:pPr>
        <w:spacing w:after="120" w:line="320" w:lineRule="auto"/>
        <w:jc w:val="both"/>
      </w:pPr>
      <w:r>
        <w:rPr>
          <w:rFonts w:ascii="Newsreader" w:hAnsi="Newsreader" w:cs="Newsreader"/>
          <w:b w:val="0"/>
          <w:i w:val="0"/>
          <w:color w:val="161412"/>
        </w:rPr>
        <w:t>Un sistema propone modificar varios campos, espera revisión y aplica cambios tras autorización. El problema principal no es solo el resultado, sino quién actúa y cuándo.</w:t>
      </w:r>
    </w:p>
    <w:p>
      <w:pPr>
        <w:spacing w:after="120" w:line="320" w:lineRule="auto"/>
        <w:jc w:val="both"/>
      </w:pPr>
      <w:r>
        <w:rPr>
          <w:rFonts w:ascii="Newsreader" w:hAnsi="Newsreader" w:cs="Newsreader"/>
          <w:b w:val="0"/>
          <w:i w:val="0"/>
          <w:color w:val="161412"/>
        </w:rPr>
        <w:t>Secuencia:</w:t>
      </w:r>
    </w:p>
    <w:p>
      <w:pPr>
        <w:spacing w:after="120" w:line="320" w:lineRule="auto"/>
        <w:jc w:val="both"/>
      </w:pPr>
      <w:r>
        <w:rPr>
          <w:rFonts w:ascii="Newsreader" w:hAnsi="Newsreader" w:cs="Newsreader"/>
          <w:b w:val="0"/>
          <w:i w:val="0"/>
          <w:color w:val="161412"/>
        </w:rPr>
        <w:t>delegate.plan</w:t>
      </w:r>
    </w:p>
    <w:p>
      <w:pPr>
        <w:spacing w:after="120" w:line="320" w:lineRule="auto"/>
        <w:jc w:val="both"/>
      </w:pPr>
      <w:r>
        <w:rPr>
          <w:rFonts w:ascii="Newsreader" w:hAnsi="Newsreader" w:cs="Newsreader"/>
          <w:b w:val="0"/>
          <w:i w:val="0"/>
          <w:color w:val="161412"/>
        </w:rPr>
        <w:t>→ signal.warn + risk</w:t>
      </w:r>
    </w:p>
    <w:p>
      <w:pPr>
        <w:spacing w:after="120" w:line="320" w:lineRule="auto"/>
        <w:jc w:val="both"/>
      </w:pPr>
      <w:r>
        <w:rPr>
          <w:rFonts w:ascii="Newsreader" w:hAnsi="Newsreader" w:cs="Newsreader"/>
          <w:b w:val="0"/>
          <w:i w:val="0"/>
          <w:color w:val="161412"/>
        </w:rPr>
        <w:t>→ delegate.review</w:t>
      </w:r>
    </w:p>
    <w:p>
      <w:pPr>
        <w:spacing w:after="120" w:line="320" w:lineRule="auto"/>
        <w:jc w:val="both"/>
      </w:pPr>
      <w:r>
        <w:rPr>
          <w:rFonts w:ascii="Newsreader" w:hAnsi="Newsreader" w:cs="Newsreader"/>
          <w:b w:val="0"/>
          <w:i w:val="0"/>
          <w:color w:val="161412"/>
        </w:rPr>
        <w:t>→ delegate.authorize</w:t>
      </w:r>
    </w:p>
    <w:p>
      <w:pPr>
        <w:spacing w:after="120" w:line="320" w:lineRule="auto"/>
        <w:jc w:val="both"/>
      </w:pPr>
      <w:r>
        <w:rPr>
          <w:rFonts w:ascii="Newsreader" w:hAnsi="Newsreader" w:cs="Newsreader"/>
          <w:b w:val="0"/>
          <w:i w:val="0"/>
          <w:color w:val="161412"/>
        </w:rPr>
        <w:t>→ delegate.act</w:t>
      </w:r>
    </w:p>
    <w:p>
      <w:pPr>
        <w:spacing w:after="120" w:line="320" w:lineRule="auto"/>
        <w:jc w:val="both"/>
      </w:pPr>
      <w:r>
        <w:rPr>
          <w:rFonts w:ascii="Newsreader" w:hAnsi="Newsreader" w:cs="Newsreader"/>
          <w:b w:val="0"/>
          <w:i w:val="0"/>
          <w:color w:val="161412"/>
        </w:rPr>
        <w:t>→ sustain.processing</w:t>
      </w:r>
    </w:p>
    <w:p>
      <w:pPr>
        <w:spacing w:after="120" w:line="320" w:lineRule="auto"/>
        <w:jc w:val="both"/>
      </w:pPr>
      <w:r>
        <w:rPr>
          <w:rFonts w:ascii="Newsreader" w:hAnsi="Newsreader" w:cs="Newsreader"/>
          <w:b w:val="0"/>
          <w:i w:val="0"/>
          <w:color w:val="161412"/>
        </w:rPr>
        <w:t>→ commit.apply + affirm</w:t>
      </w:r>
    </w:p>
    <w:p>
      <w:pPr>
        <w:spacing w:after="120" w:line="320" w:lineRule="auto"/>
        <w:jc w:val="both"/>
      </w:pPr>
      <w:r>
        <w:rPr>
          <w:rFonts w:ascii="Newsreader" w:hAnsi="Newsreader" w:cs="Newsreader"/>
          <w:b w:val="0"/>
          <w:i w:val="0"/>
          <w:color w:val="161412"/>
        </w:rPr>
        <w:t xml:space="preserve">La firma de expresión responde a esa pregunta: el sistema explica el alcance de lo que propone, mantiene visible su estado y deja cancelar en todo momento. La revisión es explícita, y el resultado aplicado se confirma.</w:t>
      </w:r>
    </w:p>
    <w:p>
      <w:r>
        <w:br w:type="page"/>
      </w:r>
    </w:p>
    <w:p>
      <w:r>
        <w:br w:type="page"/>
      </w:r>
    </w:p>
    <w:p>
      <w:pPr>
        <w:spacing w:after="60" w:line="240" w:lineRule="auto"/>
      </w:pPr>
      <w:r>
        <w:rPr>
          <w:rFonts w:ascii="Newsreader" w:hAnsi="Newsreader" w:cs="Newsreader"/>
          <w:color w:val="161412"/>
          <w:sz w:val="60"/>
        </w:rPr>
        <w:t xml:space="preserve">APÉNDICE D</w:t>
      </w:r>
    </w:p>
    <w:p>
      <w:pPr>
        <w:pBdr>
          <w:bottom w:val="single" w:sz="4" w:space="4" w:color="1F3A5F"/>
        </w:pBdr>
      </w:pPr>
    </w:p>
    <w:p>
      <w:pPr>
        <w:spacing w:before="320" w:after="40"/>
      </w:pPr>
    </w:p>
    <w:p>
      <w:pPr>
        <w:spacing w:after="160" w:line="240" w:lineRule="auto"/>
      </w:pPr>
      <w:r>
        <w:rPr>
          <w:rFonts w:ascii="Newsreader" w:hAnsi="Newsreader" w:cs="Newsreader"/>
          <w:color w:val="161412"/>
          <w:sz w:val="38"/>
        </w:rPr>
        <w:t xml:space="preserve">De la gramática al código: el caso Sema</w:t>
      </w:r>
    </w:p>
    <w:p>
      <w:pPr>
        <w:spacing w:after="120" w:line="320" w:lineRule="auto"/>
        <w:jc w:val="both"/>
      </w:pPr>
      <w:r>
        <w:rPr>
          <w:rFonts w:ascii="Newsreader" w:hAnsi="Newsreader" w:cs="Newsreader"/>
          <w:b w:val="0"/>
          <w:i w:val="0"/>
          <w:color w:val="161412"/>
        </w:rPr>
        <w:t xml:space="preserve">A lo largo del libro, la gramática se ha mantenido deliberadamente agnóstica: familias, intents y canales se han descrito como categorías perceptivas, no como piezas de un producto. Este apéndice hace, una sola vez, el movimiento contrario: muestra la gramática soportando el peso de un sistema real. El sistema es UIX, una librería de interfaz cuyo módulo semántico —Sema— implementa las familias, los intents, los verbos y los canales de este libro. Se presenta aquí como lo que es: </w:t>
      </w:r>
      <w:r>
        <w:rPr>
          <w:rFonts w:ascii="Newsreader" w:hAnsi="Newsreader" w:cs="Newsreader"/>
          <w:b w:val="0"/>
          <w:i/>
          <w:color w:val="161412"/>
        </w:rPr>
        <w:t xml:space="preserve">una</w:t>
      </w:r>
      <w:r>
        <w:rPr>
          <w:rFonts w:ascii="Newsreader" w:hAnsi="Newsreader" w:cs="Newsreader"/>
          <w:b w:val="0"/>
          <w:i w:val="0"/>
          <w:color w:val="161412"/>
        </w:rPr>
        <w:t xml:space="preserve"> implementación posible, no </w:t>
      </w:r>
      <w:r>
        <w:rPr>
          <w:rFonts w:ascii="Newsreader" w:hAnsi="Newsreader" w:cs="Newsreader"/>
          <w:b w:val="0"/>
          <w:i/>
          <w:color w:val="161412"/>
        </w:rPr>
        <w:t xml:space="preserve">la</w:t>
      </w:r>
      <w:r>
        <w:rPr>
          <w:rFonts w:ascii="Newsreader" w:hAnsi="Newsreader" w:cs="Newsreader"/>
          <w:b w:val="0"/>
          <w:i w:val="0"/>
          <w:color w:val="161412"/>
        </w:rPr>
        <w:t xml:space="preserve"> implementación.</w:t>
      </w:r>
    </w:p>
    <w:p>
      <w:pPr>
        <w:spacing w:after="120" w:line="320" w:lineRule="auto"/>
        <w:jc w:val="both"/>
      </w:pPr>
      <w:r>
        <w:rPr>
          <w:rFonts w:ascii="Newsreader" w:hAnsi="Newsreader" w:cs="Newsreader"/>
          <w:b w:val="0"/>
          <w:i w:val="0"/>
          <w:color w:val="161412"/>
        </w:rPr>
        <w:t xml:space="preserve">Conviene leerlo con doble propósito. El primero, ver que la gramática aguanta: que sus categorías no solo ordenan ejemplos de libro, sino declaraciones compilables, resolución en tiempo real y decisiones incómodas. El segundo, aprender a separar lo esencial de lo accidental: qué decisiones viajarían a cualquier otro sistema —del más artesanal al más industrial— y cuáles son rasgos de esta implementación concreta. La última sección hace explícita esa separación.</w:t>
      </w:r>
    </w:p>
    <w:p>
      <w:pPr>
        <w:spacing w:before="320" w:after="40"/>
      </w:pPr>
    </w:p>
    <w:p>
      <w:pPr>
        <w:spacing w:after="160" w:line="240" w:lineRule="auto"/>
      </w:pPr>
      <w:r>
        <w:rPr>
          <w:rFonts w:ascii="Newsreader" w:hAnsi="Newsreader" w:cs="Newsreader"/>
          <w:color w:val="161412"/>
          <w:sz w:val="38"/>
        </w:rPr>
        <w:t xml:space="preserve">Qué es este apéndice (y qué no)</w:t>
      </w:r>
    </w:p>
    <w:p>
      <w:pPr>
        <w:spacing w:after="120" w:line="320" w:lineRule="auto"/>
        <w:jc w:val="both"/>
      </w:pPr>
      <w:r>
        <w:rPr>
          <w:rFonts w:ascii="Newsreader" w:hAnsi="Newsreader" w:cs="Newsreader"/>
          <w:b w:val="0"/>
          <w:i w:val="0"/>
          <w:color w:val="161412"/>
        </w:rPr>
        <w:t xml:space="preserve">Este apéndice no es documentación de UIX: las versiones cambian, los nombres se mueven, y ninguna página impresa debe competir con la documentación viva de un proyecto. Tampoco es un requisito: todo lo anterior del libro se sostiene sin él, y la gramática no cambia si esta implementación desaparece mañana.</w:t>
      </w:r>
    </w:p>
    <w:p>
      <w:pPr>
        <w:spacing w:after="120" w:line="320" w:lineRule="auto"/>
        <w:jc w:val="both"/>
      </w:pPr>
      <w:r>
        <w:rPr>
          <w:rFonts w:ascii="Newsreader" w:hAnsi="Newsreader" w:cs="Newsreader"/>
          <w:b w:val="0"/>
          <w:i w:val="0"/>
          <w:color w:val="161412"/>
        </w:rPr>
        <w:t xml:space="preserve">Lo que sí es: la prueba de carga de la teoría. Cada mecanismo citado aquí existe, compila y tiene pruebas automatizadas en el momento de escribir esto. Y es también la fuente de una historia que el lector ya conoce: el recuadro del Capítulo 9 —«lo que la práctica corrigió»— salió de este sistema. Aquí se cuenta con el detalle que aquel recuadro no podía permitirse.</w:t>
      </w:r>
    </w:p>
    <w:p>
      <w:pPr>
        <w:spacing w:before="320" w:after="40"/>
      </w:pPr>
    </w:p>
    <w:p>
      <w:pPr>
        <w:spacing w:after="160" w:line="240" w:lineRule="auto"/>
      </w:pPr>
      <w:r>
        <w:rPr>
          <w:rFonts w:ascii="Newsreader" w:hAnsi="Newsreader" w:cs="Newsreader"/>
          <w:color w:val="161412"/>
          <w:sz w:val="38"/>
        </w:rPr>
        <w:t xml:space="preserve">El caso: eliminar un proyecto</w:t>
      </w:r>
    </w:p>
    <w:p>
      <w:pPr>
        <w:spacing w:after="120" w:line="320" w:lineRule="auto"/>
        <w:jc w:val="both"/>
      </w:pPr>
      <w:r>
        <w:rPr>
          <w:rFonts w:ascii="Newsreader" w:hAnsi="Newsreader" w:cs="Newsreader"/>
          <w:b w:val="0"/>
          <w:i w:val="0"/>
          <w:color w:val="161412"/>
        </w:rPr>
        <w:t xml:space="preserve">El hilo conductor será un flujo completo, elegido porque concentra las decisiones más difíciles de la gramática: el usuario elimina un proyecto con contenido dentro.</w:t>
      </w:r>
    </w:p>
    <w:p>
      <w:pPr>
        <w:spacing w:after="120" w:line="320" w:lineRule="auto"/>
        <w:jc w:val="both"/>
      </w:pPr>
      <w:r>
        <w:rPr>
          <w:rFonts w:ascii="Newsreader" w:hAnsi="Newsreader" w:cs="Newsreader"/>
          <w:b w:val="0"/>
          <w:i w:val="0"/>
          <w:color w:val="161412"/>
        </w:rPr>
        <w:t xml:space="preserve">El usuario pulsa «Eliminar». El sistema registra el gesto —</w:t>
      </w:r>
      <w:r>
        <w:rPr>
          <w:rFonts w:ascii="Newsreader" w:hAnsi="Newsreader" w:cs="Newsreader"/>
          <w:b w:val="0"/>
          <w:i/>
          <w:color w:val="161412"/>
        </w:rPr>
        <w:t xml:space="preserve">contact.press</w:t>
      </w:r>
      <w:r>
        <w:rPr>
          <w:rFonts w:ascii="Newsreader" w:hAnsi="Newsreader" w:cs="Newsreader"/>
          <w:b w:val="0"/>
          <w:i w:val="0"/>
          <w:color w:val="161412"/>
        </w:rPr>
        <w:t xml:space="preserve">, respuesta inmediata, dentro de la ventana de agencia del Capítulo 12—. Y entonces se abre un diálogo de confirmación destructiva. Aquí aparece la primera decisión fuerte: esa apertura no es neutral. El diálogo se abre </w:t>
      </w:r>
      <w:r>
        <w:rPr>
          <w:rFonts w:ascii="Newsreader" w:hAnsi="Newsreader" w:cs="Newsreader"/>
          <w:b w:val="0"/>
          <w:i/>
          <w:color w:val="161412"/>
        </w:rPr>
        <w:t xml:space="preserve">solo</w:t>
      </w:r>
      <w:r>
        <w:rPr>
          <w:rFonts w:ascii="Newsreader" w:hAnsi="Newsreader" w:cs="Newsreader"/>
          <w:b w:val="0"/>
          <w:i w:val="0"/>
          <w:color w:val="161412"/>
        </w:rPr>
        <w:t xml:space="preserve"> porque hay una acción destructiva pendiente. Apliquémosle el test sustractivo del Capítulo 9: ¿quitando esta superficie, la advertencia sobrevive en otro sitio? La respuesta es no: la aparición es la única advertencia. La implementación declara por tanto </w:t>
      </w:r>
      <w:r>
        <w:rPr>
          <w:rFonts w:ascii="Newsreader" w:hAnsi="Newsreader" w:cs="Newsreader"/>
          <w:b w:val="0"/>
          <w:i/>
          <w:color w:val="161412"/>
        </w:rPr>
        <w:t xml:space="preserve">emerge.open</w:t>
      </w:r>
      <w:r>
        <w:rPr>
          <w:rFonts w:ascii="Newsreader" w:hAnsi="Newsreader" w:cs="Newsreader"/>
          <w:b w:val="0"/>
          <w:i w:val="0"/>
          <w:color w:val="161412"/>
        </w:rPr>
        <w:t xml:space="preserve"> con tono de advertencia, como excepción nombrada y justificada. El primer momento perceptivo —la interrupción misma— ya porta la evaluación.</w:t>
      </w:r>
    </w:p>
    <w:p>
      <w:pPr>
        <w:spacing w:before="200" w:after="60"/>
        <w:jc w:val="center"/>
      </w:pPr>
      <w:r>
        <w:drawing>
          <wp:inline xmlns:a="http://schemas.openxmlformats.org/drawingml/2006/main" xmlns:pic="http://schemas.openxmlformats.org/drawingml/2006/picture">
            <wp:extent cx="5029200" cy="3080385"/>
            <wp:docPr id="9015" name="figD_1"/>
            <wp:cNvGraphicFramePr>
              <a:graphicFrameLocks noChangeAspect="1"/>
            </wp:cNvGraphicFramePr>
            <a:graphic>
              <a:graphicData uri="http://schemas.openxmlformats.org/drawingml/2006/picture">
                <pic:pic>
                  <pic:nvPicPr>
                    <pic:cNvPr id="9015" name="figD_1"/>
                    <pic:cNvPicPr/>
                  </pic:nvPicPr>
                  <pic:blipFill>
                    <a:blip r:embed="rId914"/>
                    <a:stretch>
                      <a:fillRect/>
                    </a:stretch>
                  </pic:blipFill>
                  <pic:spPr>
                    <a:xfrm>
                      <a:off x="0" y="0"/>
                      <a:ext cx="5029200" cy="3080385"/>
                    </a:xfrm>
                    <a:prstGeom prst="rect"/>
                  </pic:spPr>
                </pic:pic>
              </a:graphicData>
            </a:graphic>
          </wp:inline>
        </w:drawing>
      </w:r>
    </w:p>
    <w:p>
      <w:pPr>
        <w:spacing w:after="120" w:line="320" w:lineRule="auto"/>
        <w:jc w:val="both"/>
      </w:pPr>
      <w:r>
        <w:rPr>
          <w:rFonts w:ascii="Newsreader" w:hAnsi="Newsreader" w:cs="Newsreader"/>
          <w:b w:val="0"/>
          <w:i w:val="0"/>
          <w:color w:val="161412"/>
        </w:rPr>
        <w:t xml:space="preserve">Dentro del diálogo, el texto hace su trabajo de canal: título con la consecuencia, descripción con el alcance, foco atrapado en la decisión. Y el flujo tiene tres salidas, que la figura anticipa. Si el usuario confirma, el cierre porta la consecuencia: un </w:t>
      </w:r>
      <w:r>
        <w:rPr>
          <w:rFonts w:ascii="Newsreader" w:hAnsi="Newsreader" w:cs="Newsreader"/>
          <w:b w:val="0"/>
          <w:i/>
          <w:color w:val="161412"/>
        </w:rPr>
        <w:t xml:space="preserve">commit</w:t>
      </w:r>
      <w:r>
        <w:rPr>
          <w:rFonts w:ascii="Newsreader" w:hAnsi="Newsreader" w:cs="Newsreader"/>
          <w:b w:val="0"/>
          <w:i w:val="0"/>
          <w:color w:val="161412"/>
        </w:rPr>
        <w:t xml:space="preserve"> —en este flujo, </w:t>
      </w:r>
      <w:r>
        <w:rPr>
          <w:rFonts w:ascii="Newsreader" w:hAnsi="Newsreader" w:cs="Newsreader"/>
          <w:b w:val="0"/>
          <w:i/>
          <w:color w:val="161412"/>
        </w:rPr>
        <w:t xml:space="preserve">commit.delete + loss</w:t>
      </w:r>
      <w:r>
        <w:rPr>
          <w:rFonts w:ascii="Newsreader" w:hAnsi="Newsreader" w:cs="Newsreader"/>
          <w:b w:val="0"/>
          <w:i w:val="0"/>
          <w:color w:val="161412"/>
        </w:rPr>
        <w:t xml:space="preserve">—. Si cancela, el cierre es una retirada sin carga: </w:t>
      </w:r>
      <w:r>
        <w:rPr>
          <w:rFonts w:ascii="Newsreader" w:hAnsi="Newsreader" w:cs="Newsreader"/>
          <w:b w:val="0"/>
          <w:i/>
          <w:color w:val="161412"/>
        </w:rPr>
        <w:t xml:space="preserve">emerge.close</w:t>
      </w:r>
      <w:r>
        <w:rPr>
          <w:rFonts w:ascii="Newsreader" w:hAnsi="Newsreader" w:cs="Newsreader"/>
          <w:b w:val="0"/>
          <w:i w:val="0"/>
          <w:color w:val="161412"/>
        </w:rPr>
        <w:t xml:space="preserve">, neutral; y si esa cancelación fue un clic fuera de la superficie —un gesto de baja intencionalidad—, la misma salida suena más suave. Si la operación falla al ejecutarse, el cierre porta la alerta: </w:t>
      </w:r>
      <w:r>
        <w:rPr>
          <w:rFonts w:ascii="Newsreader" w:hAnsi="Newsreader" w:cs="Newsreader"/>
          <w:b w:val="0"/>
          <w:i/>
          <w:color w:val="161412"/>
        </w:rPr>
        <w:t xml:space="preserve">signal.alert + threat</w:t>
      </w:r>
      <w:r>
        <w:rPr>
          <w:rFonts w:ascii="Newsreader" w:hAnsi="Newsreader" w:cs="Newsreader"/>
          <w:b w:val="0"/>
          <w:i w:val="0"/>
          <w:color w:val="161412"/>
        </w:rPr>
        <w:t xml:space="preserve">.</w:t>
      </w:r>
    </w:p>
    <w:p>
      <w:pPr>
        <w:spacing w:after="120" w:line="320" w:lineRule="auto"/>
        <w:jc w:val="both"/>
      </w:pPr>
      <w:r>
        <w:rPr>
          <w:rFonts w:ascii="Newsreader" w:hAnsi="Newsreader" w:cs="Newsreader"/>
          <w:b w:val="0"/>
          <w:i w:val="0"/>
          <w:color w:val="161412"/>
        </w:rPr>
        <w:t xml:space="preserve">Después del cierre, la superficie ya no existe; pero la pérdida sí. La huella y la reparación —el mensaje de resultado, el deshacer temporal— viven fuera del diálogo: en una superficie persistente y en el canal de anuncio accesible. Es exactamente lo que pedía el caso 3 del Capítulo 33. La ocurrencia se disipa; el estado queda.</w:t>
      </w:r>
    </w:p>
    <w:p>
      <w:pPr>
        <w:spacing w:before="320" w:after="40"/>
      </w:pPr>
    </w:p>
    <w:p>
      <w:pPr>
        <w:spacing w:after="160" w:line="240" w:lineRule="auto"/>
      </w:pPr>
      <w:r>
        <w:rPr>
          <w:rFonts w:ascii="Newsreader" w:hAnsi="Newsreader" w:cs="Newsreader"/>
          <w:color w:val="161412"/>
          <w:sz w:val="38"/>
        </w:rPr>
        <w:t xml:space="preserve">La declaración: el contrato semántico del componente</w:t>
      </w:r>
    </w:p>
    <w:p>
      <w:pPr>
        <w:spacing w:after="120" w:line="320" w:lineRule="auto"/>
        <w:jc w:val="both"/>
      </w:pPr>
      <w:r>
        <w:rPr>
          <w:rFonts w:ascii="Newsreader" w:hAnsi="Newsreader" w:cs="Newsreader"/>
          <w:b w:val="0"/>
          <w:i w:val="0"/>
          <w:color w:val="161412"/>
        </w:rPr>
        <w:t xml:space="preserve">En esta implementación, cada componente declara sus eventos en un contrato —familia, verbo, objetivo, orden respecto de la mutación y, si procede, intent—. Ese contrato es la fuente única de la semántica del componente, y es compilable: renombrar un evento o una parte rompe las reglas que dependen de él en tiempo de compilación, no en producción. La gramática deja de ser una convención de equipo y pasa a ser un tipo.</w:t>
      </w:r>
    </w:p>
    <w:p>
      <w:pPr>
        <w:spacing w:after="120" w:line="320" w:lineRule="auto"/>
        <w:jc w:val="both"/>
      </w:pPr>
      <w:r>
        <w:rPr>
          <w:rFonts w:ascii="Newsreader" w:hAnsi="Newsreader" w:cs="Newsreader"/>
          <w:b w:val="0"/>
          <w:i w:val="0"/>
          <w:color w:val="161412"/>
        </w:rPr>
        <w:t xml:space="preserve">Dos detalles del contrato del diálogo merecen atención. El primero: el intent de la apertura no acepta cualquier valor. Está restringido, por tipo, a </w:t>
      </w:r>
      <w:r>
        <w:rPr>
          <w:rFonts w:ascii="Newsreader" w:hAnsi="Newsreader" w:cs="Newsreader"/>
          <w:b w:val="0"/>
          <w:i/>
          <w:color w:val="161412"/>
        </w:rPr>
        <w:t xml:space="preserve">neutral</w:t>
      </w:r>
      <w:r>
        <w:rPr>
          <w:rFonts w:ascii="Newsreader" w:hAnsi="Newsreader" w:cs="Newsreader"/>
          <w:b w:val="0"/>
          <w:i w:val="0"/>
          <w:color w:val="161412"/>
        </w:rPr>
        <w:t xml:space="preserve">, </w:t>
      </w:r>
      <w:r>
        <w:rPr>
          <w:rFonts w:ascii="Newsreader" w:hAnsi="Newsreader" w:cs="Newsreader"/>
          <w:b w:val="0"/>
          <w:i/>
          <w:color w:val="161412"/>
        </w:rPr>
        <w:t xml:space="preserve">risk</w:t>
      </w:r>
      <w:r>
        <w:rPr>
          <w:rFonts w:ascii="Newsreader" w:hAnsi="Newsreader" w:cs="Newsreader"/>
          <w:b w:val="0"/>
          <w:i w:val="0"/>
          <w:color w:val="161412"/>
        </w:rPr>
        <w:t xml:space="preserve"> y </w:t>
      </w:r>
      <w:r>
        <w:rPr>
          <w:rFonts w:ascii="Newsreader" w:hAnsi="Newsreader" w:cs="Newsreader"/>
          <w:b w:val="0"/>
          <w:i/>
          <w:color w:val="161412"/>
        </w:rPr>
        <w:t xml:space="preserve">threat</w:t>
      </w:r>
      <w:r>
        <w:rPr>
          <w:rFonts w:ascii="Newsreader" w:hAnsi="Newsreader" w:cs="Newsreader"/>
          <w:b w:val="0"/>
          <w:i w:val="0"/>
          <w:color w:val="161412"/>
        </w:rPr>
        <w:t xml:space="preserve"> — sin celebraciones y sin </w:t>
      </w:r>
      <w:r>
        <w:rPr>
          <w:rFonts w:ascii="Newsreader" w:hAnsi="Newsreader" w:cs="Newsreader"/>
          <w:b w:val="0"/>
          <w:i/>
          <w:color w:val="161412"/>
        </w:rPr>
        <w:t xml:space="preserve">loss</w:t>
      </w:r>
      <w:r>
        <w:rPr>
          <w:rFonts w:ascii="Newsreader" w:hAnsi="Newsreader" w:cs="Newsreader"/>
          <w:b w:val="0"/>
          <w:i w:val="0"/>
          <w:color w:val="161412"/>
        </w:rPr>
        <w:t xml:space="preserve">. La restricción codifica dos doctrinas a la vez. La primera es el test sustractivo: esta aparición solo puede portar tonos de advertencia, porque advertir es su única razón de existir. La segunda es una regla que el libro insinuaba y la implementación escribió con todas sus letras: la pérdida irreversible no se confirma en un diálogo. Se advierte antes y se registra después. No hay paleta de pérdida para una superficie de confirmación.</w:t>
      </w:r>
    </w:p>
    <w:p>
      <w:pPr>
        <w:spacing w:after="120" w:line="320" w:lineRule="auto"/>
        <w:jc w:val="both"/>
      </w:pPr>
      <w:r>
        <w:rPr>
          <w:rFonts w:ascii="Newsreader" w:hAnsi="Newsreader" w:cs="Newsreader"/>
          <w:b w:val="0"/>
          <w:i w:val="0"/>
          <w:color w:val="161412"/>
        </w:rPr>
        <w:t xml:space="preserve">El segundo: la excepción es cara. El contrato exige, junto al intent, una justificación escrita —y un validador la comprueba: un evento estructural con tono y sin justificación no compila—. Es el guardarraíl del Capítulo 9 convertido en herramienta: la excepción existe, pero nunca en silencio.</w:t>
      </w:r>
    </w:p>
    <w:p>
      <w:pPr>
        <w:spacing w:after="120" w:line="320" w:lineRule="auto"/>
        <w:jc w:val="both"/>
      </w:pPr>
      <w:r>
        <w:rPr>
          <w:rFonts w:ascii="Newsreader" w:hAnsi="Newsreader" w:cs="Newsreader"/>
          <w:b w:val="0"/>
          <w:i w:val="0"/>
          <w:color w:val="161412"/>
        </w:rPr>
        <w:t xml:space="preserve">El contrato declara también el orden señal↔mutación del Capítulo 30. La apertura es </w:t>
      </w:r>
      <w:r>
        <w:rPr>
          <w:rFonts w:ascii="Newsreader" w:hAnsi="Newsreader" w:cs="Newsreader"/>
          <w:b w:val="0"/>
          <w:i/>
          <w:color w:val="161412"/>
        </w:rPr>
        <w:t xml:space="preserve">posterior</w:t>
      </w:r>
      <w:r>
        <w:rPr>
          <w:rFonts w:ascii="Newsreader" w:hAnsi="Newsreader" w:cs="Newsreader"/>
          <w:b w:val="0"/>
          <w:i w:val="0"/>
          <w:color w:val="161412"/>
        </w:rPr>
        <w:t xml:space="preserve">: la superficie primero existe y luego se siente —anticipar la señal retrasaría la llegada del propio diálogo—. El cierre es </w:t>
      </w:r>
      <w:r>
        <w:rPr>
          <w:rFonts w:ascii="Newsreader" w:hAnsi="Newsreader" w:cs="Newsreader"/>
          <w:b w:val="0"/>
          <w:i/>
          <w:color w:val="161412"/>
        </w:rPr>
        <w:t xml:space="preserve">anticipado</w:t>
      </w:r>
      <w:r>
        <w:rPr>
          <w:rFonts w:ascii="Newsreader" w:hAnsi="Newsreader" w:cs="Newsreader"/>
          <w:b w:val="0"/>
          <w:i w:val="0"/>
          <w:color w:val="161412"/>
        </w:rPr>
        <w:t xml:space="preserve">: la señal suena antes del desmontaje, porque después ya no habría dónde ocurrir.</w:t>
      </w:r>
    </w:p>
    <w:p>
      <w:pPr>
        <w:spacing w:before="320" w:after="40"/>
      </w:pPr>
    </w:p>
    <w:p>
      <w:pPr>
        <w:spacing w:after="160" w:line="240" w:lineRule="auto"/>
      </w:pPr>
      <w:r>
        <w:rPr>
          <w:rFonts w:ascii="Newsreader" w:hAnsi="Newsreader" w:cs="Newsreader"/>
          <w:color w:val="161412"/>
          <w:sz w:val="38"/>
        </w:rPr>
        <w:t xml:space="preserve">Una salida, tres familias: el cierre polimórfico</w:t>
      </w:r>
    </w:p>
    <w:p>
      <w:pPr>
        <w:spacing w:after="120" w:line="320" w:lineRule="auto"/>
        <w:jc w:val="both"/>
      </w:pPr>
      <w:r>
        <w:rPr>
          <w:rFonts w:ascii="Newsreader" w:hAnsi="Newsreader" w:cs="Newsreader"/>
          <w:b w:val="0"/>
          <w:i w:val="0"/>
          <w:color w:val="161412"/>
        </w:rPr>
        <w:t xml:space="preserve">La decisión más elegante del contrato es el cierre. El libro, ante «cerrar tras guardar», habría compuesto una secuencia: primero el resultado (</w:t>
      </w:r>
      <w:r>
        <w:rPr>
          <w:rFonts w:ascii="Newsreader" w:hAnsi="Newsreader" w:cs="Newsreader"/>
          <w:b w:val="0"/>
          <w:i/>
          <w:color w:val="161412"/>
        </w:rPr>
        <w:t xml:space="preserve">commit.save + fulfill</w:t>
      </w:r>
      <w:r>
        <w:rPr>
          <w:rFonts w:ascii="Newsreader" w:hAnsi="Newsreader" w:cs="Newsreader"/>
          <w:b w:val="0"/>
          <w:i w:val="0"/>
          <w:color w:val="161412"/>
        </w:rPr>
        <w:t xml:space="preserve">), después la retirada (</w:t>
      </w:r>
      <w:r>
        <w:rPr>
          <w:rFonts w:ascii="Newsreader" w:hAnsi="Newsreader" w:cs="Newsreader"/>
          <w:b w:val="0"/>
          <w:i/>
          <w:color w:val="161412"/>
        </w:rPr>
        <w:t xml:space="preserve">emerge.close</w:t>
      </w:r>
      <w:r>
        <w:rPr>
          <w:rFonts w:ascii="Newsreader" w:hAnsi="Newsreader" w:cs="Newsreader"/>
          <w:b w:val="0"/>
          <w:i w:val="0"/>
          <w:color w:val="161412"/>
        </w:rPr>
        <w:t xml:space="preserve">). La implementación observó algo que la secuencia oculta: en un diálogo, resultado y retirada son perceptivamente simultáneos — el cierre </w:t>
      </w:r>
      <w:r>
        <w:rPr>
          <w:rFonts w:ascii="Newsreader" w:hAnsi="Newsreader" w:cs="Newsreader"/>
          <w:b w:val="0"/>
          <w:i/>
          <w:color w:val="161412"/>
        </w:rPr>
        <w:t xml:space="preserve">es</w:t>
      </w:r>
      <w:r>
        <w:rPr>
          <w:rFonts w:ascii="Newsreader" w:hAnsi="Newsreader" w:cs="Newsreader"/>
          <w:b w:val="0"/>
          <w:i w:val="0"/>
          <w:color w:val="161412"/>
        </w:rPr>
        <w:t xml:space="preserve"> la forma en que el usuario percibe el resultado. Separarlos produce dos señales donde la experiencia tiene una.</w:t>
      </w:r>
    </w:p>
    <w:p>
      <w:pPr>
        <w:spacing w:after="120" w:line="320" w:lineRule="auto"/>
        <w:jc w:val="both"/>
      </w:pPr>
      <w:r>
        <w:rPr>
          <w:rFonts w:ascii="Newsreader" w:hAnsi="Newsreader" w:cs="Newsreader"/>
          <w:b w:val="0"/>
          <w:i w:val="0"/>
          <w:color w:val="161412"/>
        </w:rPr>
        <w:t xml:space="preserve">La solución: un único evento de cierre cuya familia se resuelve según la causa. Cancelar produce </w:t>
      </w:r>
      <w:r>
        <w:rPr>
          <w:rFonts w:ascii="Newsreader" w:hAnsi="Newsreader" w:cs="Newsreader"/>
          <w:b w:val="0"/>
          <w:i/>
          <w:color w:val="161412"/>
        </w:rPr>
        <w:t xml:space="preserve">emerge.close</w:t>
      </w:r>
      <w:r>
        <w:rPr>
          <w:rFonts w:ascii="Newsreader" w:hAnsi="Newsreader" w:cs="Newsreader"/>
          <w:b w:val="0"/>
          <w:i w:val="0"/>
          <w:color w:val="161412"/>
        </w:rPr>
        <w:t xml:space="preserve">; confirmar produce el </w:t>
      </w:r>
      <w:r>
        <w:rPr>
          <w:rFonts w:ascii="Newsreader" w:hAnsi="Newsreader" w:cs="Newsreader"/>
          <w:b w:val="0"/>
          <w:i/>
          <w:color w:val="161412"/>
        </w:rPr>
        <w:t xml:space="preserve">commit</w:t>
      </w:r>
      <w:r>
        <w:rPr>
          <w:rFonts w:ascii="Newsreader" w:hAnsi="Newsreader" w:cs="Newsreader"/>
          <w:b w:val="0"/>
          <w:i w:val="0"/>
          <w:color w:val="161412"/>
        </w:rPr>
        <w:t xml:space="preserve"> correspondiente; fallar produce </w:t>
      </w:r>
      <w:r>
        <w:rPr>
          <w:rFonts w:ascii="Newsreader" w:hAnsi="Newsreader" w:cs="Newsreader"/>
          <w:b w:val="0"/>
          <w:i/>
          <w:color w:val="161412"/>
        </w:rPr>
        <w:t xml:space="preserve">signal.alert + threat</w:t>
      </w:r>
      <w:r>
        <w:rPr>
          <w:rFonts w:ascii="Newsreader" w:hAnsi="Newsreader" w:cs="Newsreader"/>
          <w:b w:val="0"/>
          <w:i w:val="0"/>
          <w:color w:val="161412"/>
        </w:rPr>
        <w:t xml:space="preserve">. La ocurrencia adopta la familia del miembro más evaluable de la pareja — que es, exactamente, el criterio de dominancia del Capítulo 30 aplicado en tiempo de diseño en lugar de en tiempo de ejecución.</w:t>
      </w:r>
    </w:p>
    <w:p>
      <w:pPr>
        <w:spacing w:after="120" w:line="320" w:lineRule="auto"/>
        <w:jc w:val="both"/>
      </w:pPr>
      <w:r>
        <w:rPr>
          <w:rFonts w:ascii="Newsreader" w:hAnsi="Newsreader" w:cs="Newsreader"/>
          <w:b w:val="0"/>
          <w:i w:val="0"/>
          <w:color w:val="161412"/>
        </w:rPr>
        <w:t xml:space="preserve">¿Y cómo sabe la salida por qué ocurre? La causa se escribe como estado —«guardado», «cancelado», «descartado desde fuera», «fallido»— un instante </w:t>
      </w:r>
      <w:r>
        <w:rPr>
          <w:rFonts w:ascii="Newsreader" w:hAnsi="Newsreader" w:cs="Newsreader"/>
          <w:b w:val="0"/>
          <w:i/>
          <w:color w:val="161412"/>
        </w:rPr>
        <w:t xml:space="preserve">antes</w:t>
      </w:r>
      <w:r>
        <w:rPr>
          <w:rFonts w:ascii="Newsreader" w:hAnsi="Newsreader" w:cs="Newsreader"/>
          <w:b w:val="0"/>
          <w:i w:val="0"/>
          <w:color w:val="161412"/>
        </w:rPr>
        <w:t xml:space="preserve"> de que el estado principal cambie a cerrado. Es la doctrina de las dos superficies del Capítulo 12, con un matiz que el libro no tenía. El estado no solo persiste el resultado: puede portar la </w:t>
      </w:r>
      <w:r>
        <w:rPr>
          <w:rFonts w:ascii="Newsreader" w:hAnsi="Newsreader" w:cs="Newsreader"/>
          <w:b w:val="0"/>
          <w:i/>
          <w:color w:val="161412"/>
        </w:rPr>
        <w:t xml:space="preserve">causa</w:t>
      </w:r>
      <w:r>
        <w:rPr>
          <w:rFonts w:ascii="Newsreader" w:hAnsi="Newsreader" w:cs="Newsreader"/>
          <w:b w:val="0"/>
          <w:i w:val="0"/>
          <w:color w:val="161412"/>
        </w:rPr>
        <w:t xml:space="preserve"> de la transición, para que la señal de salida sea evaluable según por qué se va.</w:t>
      </w:r>
    </w:p>
    <w:p>
      <w:pPr>
        <w:spacing w:before="320" w:after="40"/>
      </w:pPr>
    </w:p>
    <w:p>
      <w:pPr>
        <w:spacing w:after="160" w:line="240" w:lineRule="auto"/>
      </w:pPr>
      <w:r>
        <w:rPr>
          <w:rFonts w:ascii="Newsreader" w:hAnsi="Newsreader" w:cs="Newsreader"/>
          <w:color w:val="161412"/>
          <w:sz w:val="38"/>
        </w:rPr>
        <w:t xml:space="preserve">La resolución: las matrices hechas ejecutables</w:t>
      </w:r>
    </w:p>
    <w:p>
      <w:pPr>
        <w:spacing w:after="120" w:line="320" w:lineRule="auto"/>
        <w:jc w:val="both"/>
      </w:pPr>
      <w:r>
        <w:rPr>
          <w:rFonts w:ascii="Newsreader" w:hAnsi="Newsreader" w:cs="Newsreader"/>
          <w:b w:val="0"/>
          <w:i w:val="0"/>
          <w:color w:val="161412"/>
        </w:rPr>
        <w:t xml:space="preserve">Declarado el evento, falta decidir cómo suena, vibra y cuánto vive. La implementación resuelve cada señal atravesando capas con precedencia. Y esas capas son, casi línea a línea, las matrices del Capítulo 31 con un orden de resolución. La base de la familia aporta la firma estructural. La modulación del intent aporta la firma evaluativa. El evento concreto puede ajustar; el sistema puede corregir globalmente. Y el contexto —las reglas que miran dónde ocurre el evento— decide lo último. Con una convención que evita ambigüedades: la modulación del intent </w:t>
      </w:r>
      <w:r>
        <w:rPr>
          <w:rFonts w:ascii="Newsreader" w:hAnsi="Newsreader" w:cs="Newsreader"/>
          <w:b w:val="0"/>
          <w:i/>
          <w:color w:val="161412"/>
        </w:rPr>
        <w:t xml:space="preserve">suma</w:t>
      </w:r>
      <w:r>
        <w:rPr>
          <w:rFonts w:ascii="Newsreader" w:hAnsi="Newsreader" w:cs="Newsreader"/>
          <w:b w:val="0"/>
          <w:i w:val="0"/>
          <w:color w:val="161412"/>
        </w:rPr>
        <w:t xml:space="preserve"> (es un modificador sobre la base), las capas superiores </w:t>
      </w:r>
      <w:r>
        <w:rPr>
          <w:rFonts w:ascii="Newsreader" w:hAnsi="Newsreader" w:cs="Newsreader"/>
          <w:b w:val="0"/>
          <w:i/>
          <w:color w:val="161412"/>
        </w:rPr>
        <w:t xml:space="preserve">asignan</w:t>
      </w:r>
      <w:r>
        <w:rPr>
          <w:rFonts w:ascii="Newsreader" w:hAnsi="Newsreader" w:cs="Newsreader"/>
          <w:b w:val="0"/>
          <w:i w:val="0"/>
          <w:color w:val="161412"/>
        </w:rPr>
        <w:t xml:space="preserve"> (deciden el valor final).</w:t>
      </w:r>
    </w:p>
    <w:p>
      <w:pPr>
        <w:spacing w:after="120" w:line="320" w:lineRule="auto"/>
        <w:jc w:val="both"/>
      </w:pPr>
      <w:r>
        <w:rPr>
          <w:rFonts w:ascii="Newsreader" w:hAnsi="Newsreader" w:cs="Newsreader"/>
          <w:b w:val="0"/>
          <w:i w:val="0"/>
          <w:color w:val="161412"/>
        </w:rPr>
        <w:t xml:space="preserve">Sobre esa cascada rige una regla de reparto que merece nombre propio: el contexto da carácter; la firma evaluativa no se toca. En un evento evaluable, la energía, la altura y el contorno pertenecen al intent. Si una regla contextual los reescribiera, </w:t>
      </w:r>
      <w:r>
        <w:rPr>
          <w:rFonts w:ascii="Newsreader" w:hAnsi="Newsreader" w:cs="Newsreader"/>
          <w:b w:val="0"/>
          <w:i/>
          <w:color w:val="161412"/>
        </w:rPr>
        <w:t xml:space="preserve">risk</w:t>
      </w:r>
      <w:r>
        <w:rPr>
          <w:rFonts w:ascii="Newsreader" w:hAnsi="Newsreader" w:cs="Newsreader"/>
          <w:b w:val="0"/>
          <w:i w:val="0"/>
          <w:color w:val="161412"/>
        </w:rPr>
        <w:t xml:space="preserve">, </w:t>
      </w:r>
      <w:r>
        <w:rPr>
          <w:rFonts w:ascii="Newsreader" w:hAnsi="Newsreader" w:cs="Newsreader"/>
          <w:b w:val="0"/>
          <w:i/>
          <w:color w:val="161412"/>
        </w:rPr>
        <w:t xml:space="preserve">threat</w:t>
      </w:r>
      <w:r>
        <w:rPr>
          <w:rFonts w:ascii="Newsreader" w:hAnsi="Newsreader" w:cs="Newsreader"/>
          <w:b w:val="0"/>
          <w:i w:val="0"/>
          <w:color w:val="161412"/>
        </w:rPr>
        <w:t xml:space="preserve"> y </w:t>
      </w:r>
      <w:r>
        <w:rPr>
          <w:rFonts w:ascii="Newsreader" w:hAnsi="Newsreader" w:cs="Newsreader"/>
          <w:b w:val="0"/>
          <w:i/>
          <w:color w:val="161412"/>
        </w:rPr>
        <w:t xml:space="preserve">loss</w:t>
      </w:r>
      <w:r>
        <w:rPr>
          <w:rFonts w:ascii="Newsreader" w:hAnsi="Newsreader" w:cs="Newsreader"/>
          <w:b w:val="0"/>
          <w:i w:val="0"/>
          <w:color w:val="161412"/>
        </w:rPr>
        <w:t xml:space="preserve"> volverían a sonar iguales, y se perdería la mercancía del Capítulo 10. En un evento estructural sin intent, en cambio, el contexto sí puede dar forma a la materia. El propio diálogo lo ilustra. Su cierre estructural invierte el contorno de la apertura: ascendente al entrar, descendente y más grave al salir; aire entrando, aire saliendo. Es la direccionalidad del Capítulo 13 traducida al canal sonoro.</w:t>
      </w:r>
    </w:p>
    <w:p>
      <w:pPr>
        <w:spacing w:after="120" w:line="320" w:lineRule="auto"/>
        <w:jc w:val="both"/>
      </w:pPr>
      <w:r>
        <w:rPr>
          <w:rFonts w:ascii="Newsreader" w:hAnsi="Newsreader" w:cs="Newsreader"/>
          <w:b w:val="0"/>
          <w:i w:val="0"/>
          <w:color w:val="161412"/>
        </w:rPr>
        <w:t xml:space="preserve">El pack del diálogo añade un modulador que el Capítulo 32 no llegó a nombrar: la intencionalidad del gesto. El cierre por clic fuera —un gesto ambiguo, de baja deliberación— suena más suave que el cierre por botón. Junto a la consecuencia y la frecuencia, la intencionalidad de la causa gradúa la intensidad: cuanto menos deliberado el gesto, menos presencia merece su eco.</w:t>
      </w:r>
    </w:p>
    <w:p>
      <w:pPr>
        <w:spacing w:before="320" w:after="40"/>
      </w:pPr>
    </w:p>
    <w:p>
      <w:pPr>
        <w:spacing w:after="160" w:line="240" w:lineRule="auto"/>
      </w:pPr>
      <w:r>
        <w:rPr>
          <w:rFonts w:ascii="Newsreader" w:hAnsi="Newsreader" w:cs="Newsreader"/>
          <w:color w:val="161412"/>
          <w:sz w:val="38"/>
        </w:rPr>
        <w:t xml:space="preserve">La materialización: una superficie, dueños separados</w:t>
      </w:r>
    </w:p>
    <w:p>
      <w:pPr>
        <w:spacing w:after="120" w:line="320" w:lineRule="auto"/>
        <w:jc w:val="both"/>
      </w:pPr>
      <w:r>
        <w:rPr>
          <w:rFonts w:ascii="Newsreader" w:hAnsi="Newsreader" w:cs="Newsreader"/>
          <w:b w:val="0"/>
          <w:i w:val="0"/>
          <w:color w:val="161412"/>
        </w:rPr>
        <w:t xml:space="preserve">Queda el último tramo: convertir la señal resuelta en percepción. Aquí la implementación tomó una decisión arquitectónica que es doctrina del Capítulo 20 hecha estructura. Durante la ventana perceptiva del evento, la ocurrencia se proyecta como marcas transitorias sobre su objetivo: qué evento, de qué familia, con qué intent. Y </w:t>
      </w:r>
      <w:r>
        <w:rPr>
          <w:rFonts w:ascii="Newsreader" w:hAnsi="Newsreader" w:cs="Newsreader"/>
          <w:b w:val="0"/>
          <w:i/>
          <w:color w:val="161412"/>
        </w:rPr>
        <w:t xml:space="preserve">todos</w:t>
      </w:r>
      <w:r>
        <w:rPr>
          <w:rFonts w:ascii="Newsreader" w:hAnsi="Newsreader" w:cs="Newsreader"/>
          <w:b w:val="0"/>
          <w:i w:val="0"/>
          <w:color w:val="161412"/>
        </w:rPr>
        <w:t xml:space="preserve"> los consumidores leen esa misma superficie. La hoja de estilos tiñe y anima leyéndola. El canal sonoro y el háptico se suscriben leyéndola. El canal de anuncio accesible deriva de ella su prioridad. Un evento, varios canales, una lectura — como arquitectura, no como aspiración.</w:t>
      </w:r>
    </w:p>
    <w:p>
      <w:pPr>
        <w:spacing w:after="120" w:line="320" w:lineRule="auto"/>
        <w:jc w:val="both"/>
      </w:pPr>
      <w:r>
        <w:rPr>
          <w:rFonts w:ascii="Newsreader" w:hAnsi="Newsreader" w:cs="Newsreader"/>
          <w:b w:val="0"/>
          <w:i w:val="0"/>
          <w:color w:val="161412"/>
        </w:rPr>
        <w:t xml:space="preserve">Las marcas transitorias conviven con el estado persistente sin pisarse. La ocurrencia dice «esto acaba de pasar» y se disipa al agotar su ventana, del orden de un cuarto de segundo por defecto y graduada por familia. El estado dice «esto es ahora verdad» y permanece. Y la ventana se respeta entera: la señal completa su vida antes de que el cambio estructural la atropelle, con las dos excepciones ya declaradas por el orden del evento.</w:t>
      </w:r>
    </w:p>
    <w:p>
      <w:pPr>
        <w:spacing w:after="120" w:line="320" w:lineRule="auto"/>
        <w:jc w:val="both"/>
      </w:pPr>
      <w:r>
        <w:rPr>
          <w:rFonts w:ascii="Newsreader" w:hAnsi="Newsreader" w:cs="Newsreader"/>
          <w:b w:val="0"/>
          <w:i w:val="0"/>
          <w:color w:val="161412"/>
        </w:rPr>
        <w:t xml:space="preserve">Cierra la materialización una política de errores con doctrina dentro: la capa perceptiva es ornamental — si el audio falla o la vibración no existe, la operación del usuario jamás se aborta. Con una excepción que el Capítulo 33 obliga a nombrar: la señal crítica accesible no es ornamento, y su fallo no puede absorberse en silencio.</w:t>
      </w:r>
    </w:p>
    <w:p>
      <w:pPr>
        <w:spacing w:before="320" w:after="40"/>
      </w:pPr>
    </w:p>
    <w:p>
      <w:pPr>
        <w:spacing w:after="160" w:line="240" w:lineRule="auto"/>
      </w:pPr>
      <w:r>
        <w:rPr>
          <w:rFonts w:ascii="Newsreader" w:hAnsi="Newsreader" w:cs="Newsreader"/>
          <w:color w:val="161412"/>
          <w:sz w:val="38"/>
        </w:rPr>
        <w:t xml:space="preserve">Lo que la práctica corrigió</w:t>
      </w:r>
    </w:p>
    <w:p>
      <w:pPr>
        <w:spacing w:after="120" w:line="320" w:lineRule="auto"/>
        <w:jc w:val="both"/>
      </w:pPr>
      <w:r>
        <w:rPr>
          <w:rFonts w:ascii="Newsreader" w:hAnsi="Newsreader" w:cs="Newsreader"/>
          <w:b w:val="0"/>
          <w:i w:val="0"/>
          <w:color w:val="161412"/>
        </w:rPr>
        <w:t xml:space="preserve">El recuadro del Capítulo 9 contaba que esta excepción —la aparición-que-advierte— no nació en la teoría: la impuso la práctica. La versión larga es esta. La doctrina original del sistema, heredada del libro, asumía que solo las familias evaluables podían declarar intent; las estructurales eran neutrales por definición. Al construir el diálogo de confirmación destructiva, mantener neutral la apertura dejaba mudo el primer momento perceptivo. El tono llegaba tarde, con el mensaje interior. Y esa mudez se leía como infra-reacción ante un contexto grave.</w:t>
      </w:r>
    </w:p>
    <w:p>
      <w:pPr>
        <w:spacing w:after="120" w:line="320" w:lineRule="auto"/>
        <w:jc w:val="both"/>
      </w:pPr>
      <w:r>
        <w:rPr>
          <w:rFonts w:ascii="Newsreader" w:hAnsi="Newsreader" w:cs="Newsreader"/>
          <w:b w:val="0"/>
          <w:i w:val="0"/>
          <w:color w:val="161412"/>
        </w:rPr>
        <w:t xml:space="preserve">La corrección no fue abrir la mano: fue nombrar la excepción, darle una prueba —el test sustractivo— y hacerla cara —justificación obligatoria, validada por herramienta—. El defecto sigue siendo firme: la evaluación viaja en la figura, no en el marco. Pero la gramática demostró que sabe hacer lo que su Cierre promete: evolucionar con nombre, prueba y coste, en lugar de romperse o ignorar el caso.</w:t>
      </w:r>
    </w:p>
    <w:p>
      <w:pPr>
        <w:spacing w:after="120" w:line="320" w:lineRule="auto"/>
        <w:jc w:val="both"/>
      </w:pPr>
      <w:r>
        <w:rPr>
          <w:rFonts w:ascii="Newsreader" w:hAnsi="Newsreader" w:cs="Newsreader"/>
          <w:b w:val="0"/>
          <w:i w:val="0"/>
          <w:color w:val="161412"/>
        </w:rPr>
        <w:t xml:space="preserve">La práctica dejó una segunda corrección, más incómoda, y merece la misma franqueza. El libro doctrina el diálogo modal como </w:t>
      </w:r>
      <w:r>
        <w:rPr>
          <w:rFonts w:ascii="Newsreader" w:hAnsi="Newsreader" w:cs="Newsreader"/>
          <w:b w:val="0"/>
          <w:i/>
          <w:color w:val="161412"/>
        </w:rPr>
        <w:t xml:space="preserve">shift.enter-mode</w:t>
      </w:r>
      <w:r>
        <w:rPr>
          <w:rFonts w:ascii="Newsreader" w:hAnsi="Newsreader" w:cs="Newsreader"/>
          <w:b w:val="0"/>
          <w:i w:val="0"/>
          <w:color w:val="161412"/>
        </w:rPr>
        <w:t xml:space="preserve"> — cruzar a otro régimen; el ejemplo del Capítulo 8 lo usa así—. El contrato real del componente declara </w:t>
      </w:r>
      <w:r>
        <w:rPr>
          <w:rFonts w:ascii="Newsreader" w:hAnsi="Newsreader" w:cs="Newsreader"/>
          <w:b w:val="0"/>
          <w:i/>
          <w:color w:val="161412"/>
        </w:rPr>
        <w:t xml:space="preserve">emerge.open</w:t>
      </w:r>
      <w:r>
        <w:rPr>
          <w:rFonts w:ascii="Newsreader" w:hAnsi="Newsreader" w:cs="Newsreader"/>
          <w:b w:val="0"/>
          <w:i w:val="0"/>
          <w:color w:val="161412"/>
        </w:rPr>
        <w:t xml:space="preserve">, y su cierre polimórfico admite emerge, commit y signal: shift no está en la lista. La desviación está registrada en el cuaderno de desviaciones del proyecto, con su razón. En el componente genérico pesó más la aparición que el cruce de marco. Y el cruce quedó reservado a los usos que de verdad bloquean el fondo y capturan el foco — el mismo componente puede ser una cosa u otra según cómo se use.</w:t>
      </w:r>
    </w:p>
    <w:p>
      <w:pPr>
        <w:spacing w:after="120" w:line="320" w:lineRule="auto"/>
        <w:jc w:val="both"/>
      </w:pPr>
      <w:r>
        <w:rPr>
          <w:rFonts w:ascii="Newsreader" w:hAnsi="Newsreader" w:cs="Newsreader"/>
          <w:b w:val="0"/>
          <w:i w:val="0"/>
          <w:color w:val="161412"/>
        </w:rPr>
        <w:t xml:space="preserve">La doctrina del libro no cambia: el modal pesado sigue siendo shift. Lo que la práctica enseñó es que la frontera emerge/shift no pasa entre componentes, sino por dentro de ellos. Y algo más general: una gramática con cuaderno de desviaciones es más creíble que una sin él — cada desviación registrada es una regla que se tomó en serio.</w:t>
      </w:r>
    </w:p>
    <w:p>
      <w:pPr>
        <w:spacing w:before="320" w:after="40"/>
      </w:pPr>
    </w:p>
    <w:p>
      <w:pPr>
        <w:spacing w:after="160" w:line="240" w:lineRule="auto"/>
      </w:pPr>
      <w:r>
        <w:rPr>
          <w:rFonts w:ascii="Newsreader" w:hAnsi="Newsreader" w:cs="Newsreader"/>
          <w:color w:val="161412"/>
          <w:sz w:val="38"/>
        </w:rPr>
        <w:t xml:space="preserve">Lo que el libro exigió al código</w:t>
      </w:r>
    </w:p>
    <w:p>
      <w:pPr>
        <w:spacing w:after="120" w:line="320" w:lineRule="auto"/>
        <w:jc w:val="both"/>
      </w:pPr>
      <w:r>
        <w:rPr>
          <w:rFonts w:ascii="Newsreader" w:hAnsi="Newsreader" w:cs="Newsreader"/>
          <w:b w:val="0"/>
          <w:i w:val="0"/>
          <w:color w:val="161412"/>
        </w:rPr>
        <w:t xml:space="preserve">La corrección también fluyó en sentido contrario. Al auditar la implementación con la vara del propio libro, aparecieron seis mecanismos que la teoría exige y el código no tenía. Hoy los seis están implementados y probados:</w:t>
      </w:r>
    </w:p>
    <w:p>
      <w:pPr>
        <w:spacing w:after="100" w:line="312" w:lineRule="auto"/>
        <w:ind w:left="403" w:hanging="259"/>
        <w:jc w:val="both"/>
      </w:pPr>
      <w:r>
        <w:rPr>
          <w:rFonts w:ascii="IBM Plex Sans" w:hAnsi="IBM Plex Sans" w:cs="IBM Plex Sans"/>
          <w:b/>
          <w:color w:val="1F3A5F"/>
          <w:sz w:val="20"/>
        </w:rPr>
        <w:t xml:space="preserve">•  La memoria de frecuencia (Capítulo 32): las repeticiones del mismo evento se atenúan progresivamente hasta un suelo — el guardado número cincuenta no suena como el primero. La amenaza está exenta: su función no admite fatiga.</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El árbitro de dominancia (Capítulo 30): cuando dos señales se solapan, lo evaluable domina sobre lo estructural, la mayor activación sobre la menor y lo reciente sobre lo previo. La señal dominada conserva su ventana visual, pero calla sus canales sensoriales.</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El canal de anuncio como pieza de fábrica (Capítulos 19 y 33): las tecnologías de asistencia reciben la ocurrencia con prioridad derivada del intent — la amenaza interrumpe, el resto espera turno.</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La migración semántica como dato (Capítulo 19): la tabla canal-caído → destino-del-significado existe como estructura consultable, no como doctrina delegada a cada aplicación.</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Las reducciones simétricas (Capítulo 33): cada canal sensorial acepta los niveles pleno, reducido y apagado — el sonido con la misma dignidad que la háptica, no como caso especial.</w:t>
      </w:r>
      <w:r>
        <w:rPr>
          <w:rFonts w:ascii="Newsreader" w:hAnsi="Newsreader" w:cs="Newsreader"/>
          <w:b w:val="0"/>
          <w:i w:val="0"/>
          <w:color w:val="161412"/>
        </w:rPr>
        <w:t xml:space="preserve"/>
      </w:r>
    </w:p>
    <w:p>
      <w:pPr>
        <w:spacing w:after="100" w:line="312" w:lineRule="auto"/>
        <w:ind w:left="403" w:hanging="259"/>
        <w:jc w:val="both"/>
      </w:pPr>
      <w:r>
        <w:rPr>
          <w:rFonts w:ascii="IBM Plex Sans" w:hAnsi="IBM Plex Sans" w:cs="IBM Plex Sans"/>
          <w:b/>
          <w:color w:val="1F3A5F"/>
          <w:sz w:val="20"/>
        </w:rPr>
        <w:t xml:space="preserve">•  El coste de la excepción (Capítulo 9): el guardarraíl que hace imposible declarar tono en un evento estructural sin justificación escrita.</w:t>
      </w:r>
      <w:r>
        <w:rPr>
          <w:rFonts w:ascii="Newsreader" w:hAnsi="Newsreader" w:cs="Newsreader"/>
          <w:b w:val="0"/>
          <w:i w:val="0"/>
          <w:color w:val="161412"/>
        </w:rPr>
        <w:t xml:space="preserve"/>
      </w:r>
    </w:p>
    <w:p>
      <w:pPr>
        <w:spacing w:after="120" w:line="320" w:lineRule="auto"/>
        <w:jc w:val="both"/>
      </w:pPr>
      <w:r>
        <w:rPr>
          <w:rFonts w:ascii="Newsreader" w:hAnsi="Newsreader" w:cs="Newsreader"/>
          <w:b w:val="0"/>
          <w:i w:val="0"/>
          <w:color w:val="161412"/>
        </w:rPr>
        <w:t xml:space="preserve">La lección de esta lista importa más que la lista: la relación entre una teoría y su implementación no es de sentido único. El código falsifica a la teoría donde la teoría no miró; la teoría audita al código donde el código se conformó. Este apéndice existe porque las dos direcciones ocurrieron.</w:t>
      </w:r>
    </w:p>
    <w:p>
      <w:pPr>
        <w:spacing w:before="320" w:after="40"/>
      </w:pPr>
    </w:p>
    <w:p>
      <w:pPr>
        <w:spacing w:after="160" w:line="240" w:lineRule="auto"/>
      </w:pPr>
      <w:r>
        <w:rPr>
          <w:rFonts w:ascii="Newsreader" w:hAnsi="Newsreader" w:cs="Newsreader"/>
          <w:color w:val="161412"/>
          <w:sz w:val="38"/>
        </w:rPr>
        <w:t xml:space="preserve">Lo que sigue abierto</w:t>
      </w:r>
    </w:p>
    <w:p>
      <w:pPr>
        <w:spacing w:after="120" w:line="320" w:lineRule="auto"/>
        <w:jc w:val="both"/>
      </w:pPr>
      <w:r>
        <w:rPr>
          <w:rFonts w:ascii="Newsreader" w:hAnsi="Newsreader" w:cs="Newsreader"/>
          <w:b w:val="0"/>
          <w:i w:val="0"/>
          <w:color w:val="161412"/>
        </w:rPr>
        <w:t xml:space="preserve">La honestidad del libro obliga a cerrar con lo no resuelto. Tres casos, de mayor a menor calado.</w:t>
      </w:r>
    </w:p>
    <w:p>
      <w:pPr>
        <w:spacing w:after="120" w:line="320" w:lineRule="auto"/>
        <w:jc w:val="both"/>
      </w:pPr>
      <w:r>
        <w:rPr>
          <w:rFonts w:ascii="Newsreader" w:hAnsi="Newsreader" w:cs="Newsreader"/>
          <w:b w:val="0"/>
          <w:i w:val="0"/>
          <w:color w:val="161412"/>
        </w:rPr>
        <w:t xml:space="preserve">El primero es una frontera del propio diálogo. El libro lee el modal bloqueante como cruce de marco —</w:t>
      </w:r>
      <w:r>
        <w:rPr>
          <w:rFonts w:ascii="Newsreader" w:hAnsi="Newsreader" w:cs="Newsreader"/>
          <w:b w:val="0"/>
          <w:i/>
          <w:color w:val="161412"/>
        </w:rPr>
        <w:t xml:space="preserve">shift.enter-mode</w:t>
      </w:r>
      <w:r>
        <w:rPr>
          <w:rFonts w:ascii="Newsreader" w:hAnsi="Newsreader" w:cs="Newsreader"/>
          <w:b w:val="0"/>
          <w:i w:val="0"/>
          <w:color w:val="161412"/>
        </w:rPr>
        <w:t xml:space="preserve">: cambia el régimen operativo, atrapa el foco, exige orientación—. Esta implementación lo declara aparición —</w:t>
      </w:r>
      <w:r>
        <w:rPr>
          <w:rFonts w:ascii="Newsreader" w:hAnsi="Newsreader" w:cs="Newsreader"/>
          <w:b w:val="0"/>
          <w:i/>
          <w:color w:val="161412"/>
        </w:rPr>
        <w:t xml:space="preserve">emerge.open</w:t>
      </w:r>
      <w:r>
        <w:rPr>
          <w:rFonts w:ascii="Newsreader" w:hAnsi="Newsreader" w:cs="Newsreader"/>
          <w:b w:val="0"/>
          <w:i w:val="0"/>
          <w:color w:val="161412"/>
        </w:rPr>
        <w:t xml:space="preserve">— con foco atrapado. Ambas lecturas son defendibles: la superficie, en efecto, aparece; el régimen, en efecto, cambia. La gramática no exige que todas las implementaciones lean igual el caso frontera; exige que cada una elija, declare y sea consecuente. El desacuerdo, mientras esté declarado, es información: señala exactamente dónde la frontera emerge/shift necesita más trabajo teórico.</w:t>
      </w:r>
    </w:p>
    <w:p>
      <w:pPr>
        <w:spacing w:after="120" w:line="320" w:lineRule="auto"/>
        <w:jc w:val="both"/>
      </w:pPr>
      <w:r>
        <w:rPr>
          <w:rFonts w:ascii="Newsreader" w:hAnsi="Newsreader" w:cs="Newsreader"/>
          <w:b w:val="0"/>
          <w:i w:val="0"/>
          <w:color w:val="161412"/>
        </w:rPr>
        <w:t xml:space="preserve">El segundo es un uso de la excepción que probablemente no pasa su propia prueba. Otro componente del sistema —una línea temporal que revela hitos— declara su evento de revelado con los seis intents posibles. Aplicado el test sustractivo, la evaluación casi seguro sobrevive sin el revelado: vive en el hito revelado, no en el hecho de revelarse. El caso está señalado dentro del propio código como tensión declarada. Y eso es, exactamente, lo que el guardarraíl existe para producir: excepciones visibles que fuerzan revisión, en lugar de excepciones silenciosas que erosionan la regla.</w:t>
      </w:r>
    </w:p>
    <w:p>
      <w:pPr>
        <w:spacing w:after="120" w:line="320" w:lineRule="auto"/>
        <w:jc w:val="both"/>
      </w:pPr>
      <w:r>
        <w:rPr>
          <w:rFonts w:ascii="Newsreader" w:hAnsi="Newsreader" w:cs="Newsreader"/>
          <w:b w:val="0"/>
          <w:i w:val="0"/>
          <w:color w:val="161412"/>
        </w:rPr>
        <w:t xml:space="preserve">El tercero es de mantenimiento: el contrato entre un libro y un código que se citan mutuamente. Las citas por número de sección se pudren con cada edición; la solución —un mapa de anclas estables entre la doctrina y su implementación— es trabajo poco glorioso del que dependen las otras dos direcciones.</w:t>
      </w:r>
    </w:p>
    <w:p>
      <w:pPr>
        <w:spacing w:before="320" w:after="40"/>
      </w:pPr>
    </w:p>
    <w:p>
      <w:pPr>
        <w:spacing w:after="160" w:line="240" w:lineRule="auto"/>
      </w:pPr>
      <w:r>
        <w:rPr>
          <w:rFonts w:ascii="Newsreader" w:hAnsi="Newsreader" w:cs="Newsreader"/>
          <w:color w:val="161412"/>
          <w:sz w:val="38"/>
        </w:rPr>
        <w:t xml:space="preserve">Anclas estables: cómo cita el código a este libro</w:t>
      </w:r>
    </w:p>
    <w:p>
      <w:pPr>
        <w:spacing w:after="120" w:line="320" w:lineRule="auto"/>
        <w:jc w:val="both"/>
      </w:pPr>
      <w:r>
        <w:rPr>
          <w:rFonts w:ascii="Newsreader" w:hAnsi="Newsreader" w:cs="Newsreader"/>
          <w:b w:val="0"/>
          <w:i w:val="0"/>
          <w:color w:val="161412"/>
        </w:rPr>
        <w:t xml:space="preserve">Ese trabajo empieza aquí. Cada identificador de la tabla fija un lugar del libro — capítulo y sección, nunca páginas — para que la documentación y el código de cualquier implementación puedan citar la doctrina sin ambigüedad. Y sin pudrirse con las reimpresiones: mientras los §§ no cambien, las anclas aguantan. El mapa completo acompaña al libro como documento aparte; esta tabla recoge las que un código tiene más motivos para citar.</w:t>
      </w:r>
    </w:p>
    <w:p>
      <w:pPr>
        <w:spacing w:after="200" w:before="40"/>
      </w:pPr>
      <w:r>
        <w:rPr>
          <w:rFonts w:ascii="IBM Plex Sans" w:hAnsi="IBM Plex Sans" w:cs="IBM Plex Sans"/>
          <w:b/>
          <w:color w:val="1F3A5F"/>
          <w:sz w:val="17"/>
        </w:rPr>
        <w:t xml:space="preserve">TABLA D.1   </w:t>
      </w:r>
      <w:r>
        <w:rPr>
          <w:rFonts w:ascii="IBM Plex Sans" w:hAnsi="IBM Plex Sans" w:cs="IBM Plex Sans"/>
          <w:color w:val="3A352F"/>
          <w:sz w:val="18"/>
        </w:rPr>
        <w:t xml:space="preserve">Anclas estables: del código al libro</w:t>
      </w:r>
    </w:p>
    <w:p>
      <w:pPr>
        <w:spacing w:before="320" w:after="40"/>
      </w:pPr>
    </w:p>
    <w:tbl>
      <w:tblPr>
        <w:tblW w:type="auto" w:w="0"/>
        <w:jc w:val="center"/>
        <w:tblLayout w:type="autofit"/>
        <w:tblLook w:firstColumn="1" w:firstRow="1" w:lastColumn="0" w:lastRow="0" w:noHBand="0" w:noVBand="1" w:val="04A0"/>
        <w:tblBorders>
          <w:top w:val="single" w:sz="4" w:space="0" w:color="CCC4B8"/>
          <w:left w:val="single" w:sz="4" w:space="0" w:color="CCC4B8"/>
          <w:bottom w:val="single" w:sz="4" w:space="0" w:color="CCC4B8"/>
          <w:right w:val="single" w:sz="4" w:space="0" w:color="CCC4B8"/>
          <w:insideH w:val="single" w:sz="4" w:space="0" w:color="CCC4B8"/>
          <w:insideV w:val="single" w:sz="4" w:space="0" w:color="CCC4B8"/>
        </w:tblBorders>
      </w:tblPr>
      <w:tblGrid>
        <w:gridCol w:w="4158"/>
        <w:gridCol w:w="4158"/>
      </w:tblGrid>
      <w:tr>
        <w:tc>
          <w:tcPr>
            <w:tcW w:type="dxa" w:w="4158"/>
            <w:shd w:val="clear" w:color="auto" w:fill="EAE4D8"/>
          </w:tcPr>
          <w:p>
            <w:pPr>
              <w:spacing w:after="40"/>
            </w:pPr>
            <w:r>
              <w:rPr>
                <w:sz w:val="17"/>
              </w:rPr>
            </w:r>
            <w:r>
              <w:rPr>
                <w:rFonts w:ascii="IBM Plex Sans" w:hAnsi="IBM Plex Sans" w:cs="IBM Plex Sans"/>
                <w:b/>
                <w:i w:val="0"/>
                <w:color w:val="1F3A5F"/>
                <w:sz w:val="17"/>
              </w:rPr>
              <w:t xml:space="preserve">ANCLA</w:t>
            </w:r>
          </w:p>
        </w:tc>
        <w:tc>
          <w:tcPr>
            <w:tcW w:type="dxa" w:w="4158"/>
            <w:shd w:val="clear" w:color="auto" w:fill="EAE4D8"/>
          </w:tcPr>
          <w:p>
            <w:pPr>
              <w:spacing w:after="40"/>
            </w:pPr>
            <w:r>
              <w:rPr>
                <w:sz w:val="17"/>
              </w:rPr>
            </w:r>
            <w:r>
              <w:rPr>
                <w:rFonts w:ascii="IBM Plex Sans" w:hAnsi="IBM Plex Sans" w:cs="IBM Plex Sans"/>
                <w:b/>
                <w:i w:val="0"/>
                <w:color w:val="1F3A5F"/>
                <w:sz w:val="17"/>
              </w:rPr>
              <w:t xml:space="preserve">DESTINO</w:t>
            </w:r>
          </w:p>
        </w:tc>
      </w:tr>
      <w:tr>
        <w:tc>
          <w:tcPr>
            <w:tcW w:type="dxa" w:w="4158"/>
          </w:tcPr>
          <w:p>
            <w:pPr>
              <w:spacing w:after="40"/>
            </w:pPr>
            <w:r>
              <w:rPr>
                <w:sz w:val="17"/>
              </w:rPr>
            </w:r>
            <w:r>
              <w:rPr>
                <w:rFonts w:ascii="IBM Plex Sans" w:hAnsi="IBM Plex Sans" w:cs="IBM Plex Sans"/>
                <w:b w:val="0"/>
                <w:i w:val="0"/>
                <w:color w:val="161412"/>
                <w:sz w:val="17"/>
              </w:rPr>
              <w:t xml:space="preserve">BK-FAMILIAS</w:t>
            </w:r>
          </w:p>
        </w:tc>
        <w:tc>
          <w:tcPr>
            <w:tcW w:type="dxa" w:w="4158"/>
          </w:tcPr>
          <w:p>
            <w:pPr>
              <w:spacing w:after="40"/>
            </w:pPr>
            <w:r>
              <w:rPr>
                <w:sz w:val="17"/>
              </w:rPr>
            </w:r>
            <w:r>
              <w:rPr>
                <w:rFonts w:ascii="IBM Plex Sans" w:hAnsi="IBM Plex Sans" w:cs="IBM Plex Sans"/>
                <w:b w:val="0"/>
                <w:i w:val="0"/>
                <w:color w:val="161412"/>
                <w:sz w:val="17"/>
              </w:rPr>
              <w:t xml:space="preserve">Capítulo 8 · las ocho familias</w:t>
            </w:r>
          </w:p>
        </w:tc>
      </w:tr>
      <w:tr>
        <w:tc>
          <w:tcPr>
            <w:tcW w:type="dxa" w:w="4158"/>
          </w:tcPr>
          <w:p>
            <w:pPr>
              <w:spacing w:after="40"/>
            </w:pPr>
            <w:r>
              <w:rPr>
                <w:sz w:val="17"/>
              </w:rPr>
            </w:r>
            <w:r>
              <w:rPr>
                <w:rFonts w:ascii="IBM Plex Sans" w:hAnsi="IBM Plex Sans" w:cs="IBM Plex Sans"/>
                <w:b w:val="0"/>
                <w:i w:val="0"/>
                <w:color w:val="161412"/>
                <w:sz w:val="17"/>
              </w:rPr>
              <w:t xml:space="preserve">BK-EVALUABILIDAD</w:t>
            </w:r>
          </w:p>
        </w:tc>
        <w:tc>
          <w:tcPr>
            <w:tcW w:type="dxa" w:w="4158"/>
          </w:tcPr>
          <w:p>
            <w:pPr>
              <w:spacing w:after="40"/>
            </w:pPr>
            <w:r>
              <w:rPr>
                <w:sz w:val="17"/>
              </w:rPr>
            </w:r>
            <w:r>
              <w:rPr>
                <w:rFonts w:ascii="IBM Plex Sans" w:hAnsi="IBM Plex Sans" w:cs="IBM Plex Sans"/>
                <w:b w:val="0"/>
                <w:i w:val="0"/>
                <w:color w:val="161412"/>
                <w:sz w:val="17"/>
              </w:rPr>
              <w:t xml:space="preserve">Capítulo 9 · evaluable frente a estructural</w:t>
            </w:r>
          </w:p>
        </w:tc>
      </w:tr>
      <w:tr>
        <w:tc>
          <w:tcPr>
            <w:tcW w:type="dxa" w:w="4158"/>
          </w:tcPr>
          <w:p>
            <w:pPr>
              <w:spacing w:after="40"/>
            </w:pPr>
            <w:r>
              <w:rPr>
                <w:sz w:val="17"/>
              </w:rPr>
            </w:r>
            <w:r>
              <w:rPr>
                <w:rFonts w:ascii="IBM Plex Sans" w:hAnsi="IBM Plex Sans" w:cs="IBM Plex Sans"/>
                <w:b w:val="0"/>
                <w:i w:val="0"/>
                <w:color w:val="161412"/>
                <w:sz w:val="17"/>
              </w:rPr>
              <w:t xml:space="preserve">BK-A1-EXCEPCION</w:t>
            </w:r>
          </w:p>
        </w:tc>
        <w:tc>
          <w:tcPr>
            <w:tcW w:type="dxa" w:w="4158"/>
          </w:tcPr>
          <w:p>
            <w:pPr>
              <w:spacing w:after="40"/>
            </w:pPr>
            <w:r>
              <w:rPr>
                <w:sz w:val="17"/>
              </w:rPr>
            </w:r>
            <w:r>
              <w:rPr>
                <w:rFonts w:ascii="IBM Plex Sans" w:hAnsi="IBM Plex Sans" w:cs="IBM Plex Sans"/>
                <w:b w:val="0"/>
                <w:i w:val="0"/>
                <w:color w:val="161412"/>
                <w:sz w:val="17"/>
              </w:rPr>
              <w:t xml:space="preserve">Capítulo 9, §9 · la aparición-que-advierte y el test sustractivo</w:t>
            </w:r>
          </w:p>
        </w:tc>
      </w:tr>
      <w:tr>
        <w:tc>
          <w:tcPr>
            <w:tcW w:type="dxa" w:w="4158"/>
          </w:tcPr>
          <w:p>
            <w:pPr>
              <w:spacing w:after="40"/>
            </w:pPr>
            <w:r>
              <w:rPr>
                <w:sz w:val="17"/>
              </w:rPr>
            </w:r>
            <w:r>
              <w:rPr>
                <w:rFonts w:ascii="IBM Plex Sans" w:hAnsi="IBM Plex Sans" w:cs="IBM Plex Sans"/>
                <w:b w:val="0"/>
                <w:i w:val="0"/>
                <w:color w:val="161412"/>
                <w:sz w:val="17"/>
              </w:rPr>
              <w:t xml:space="preserve">BK-INTENTS</w:t>
            </w:r>
          </w:p>
        </w:tc>
        <w:tc>
          <w:tcPr>
            <w:tcW w:type="dxa" w:w="4158"/>
          </w:tcPr>
          <w:p>
            <w:pPr>
              <w:spacing w:after="40"/>
            </w:pPr>
            <w:r>
              <w:rPr>
                <w:sz w:val="17"/>
              </w:rPr>
            </w:r>
            <w:r>
              <w:rPr>
                <w:rFonts w:ascii="IBM Plex Sans" w:hAnsi="IBM Plex Sans" w:cs="IBM Plex Sans"/>
                <w:b w:val="0"/>
                <w:i w:val="0"/>
                <w:color w:val="161412"/>
                <w:sz w:val="17"/>
              </w:rPr>
              <w:t xml:space="preserve">Capítulo 10 · los seis intents</w:t>
            </w:r>
          </w:p>
        </w:tc>
      </w:tr>
      <w:tr>
        <w:tc>
          <w:tcPr>
            <w:tcW w:type="dxa" w:w="4158"/>
          </w:tcPr>
          <w:p>
            <w:pPr>
              <w:spacing w:after="40"/>
            </w:pPr>
            <w:r>
              <w:rPr>
                <w:sz w:val="17"/>
              </w:rPr>
            </w:r>
            <w:r>
              <w:rPr>
                <w:rFonts w:ascii="IBM Plex Sans" w:hAnsi="IBM Plex Sans" w:cs="IBM Plex Sans"/>
                <w:b w:val="0"/>
                <w:i w:val="0"/>
                <w:color w:val="161412"/>
                <w:sz w:val="17"/>
              </w:rPr>
              <w:t xml:space="preserve">BK-THREAT-LOSS</w:t>
            </w:r>
          </w:p>
        </w:tc>
        <w:tc>
          <w:tcPr>
            <w:tcW w:type="dxa" w:w="4158"/>
          </w:tcPr>
          <w:p>
            <w:pPr>
              <w:spacing w:after="40"/>
            </w:pPr>
            <w:r>
              <w:rPr>
                <w:sz w:val="17"/>
              </w:rPr>
            </w:r>
            <w:r>
              <w:rPr>
                <w:rFonts w:ascii="IBM Plex Sans" w:hAnsi="IBM Plex Sans" w:cs="IBM Plex Sans"/>
                <w:b w:val="0"/>
                <w:i w:val="0"/>
                <w:color w:val="161412"/>
                <w:sz w:val="17"/>
              </w:rPr>
              <w:t xml:space="preserve">Capítulo 10 · amenaza frente a pérdida</w:t>
            </w:r>
          </w:p>
        </w:tc>
      </w:tr>
      <w:tr>
        <w:tc>
          <w:tcPr>
            <w:tcW w:type="dxa" w:w="4158"/>
          </w:tcPr>
          <w:p>
            <w:pPr>
              <w:spacing w:after="40"/>
            </w:pPr>
            <w:r>
              <w:rPr>
                <w:sz w:val="17"/>
              </w:rPr>
            </w:r>
            <w:r>
              <w:rPr>
                <w:rFonts w:ascii="IBM Plex Sans" w:hAnsi="IBM Plex Sans" w:cs="IBM Plex Sans"/>
                <w:b w:val="0"/>
                <w:i w:val="0"/>
                <w:color w:val="161412"/>
                <w:sz w:val="17"/>
              </w:rPr>
              <w:t xml:space="preserve">BK-DOS-SUPERFICIES</w:t>
            </w:r>
          </w:p>
        </w:tc>
        <w:tc>
          <w:tcPr>
            <w:tcW w:type="dxa" w:w="4158"/>
          </w:tcPr>
          <w:p>
            <w:pPr>
              <w:spacing w:after="40"/>
            </w:pPr>
            <w:r>
              <w:rPr>
                <w:sz w:val="17"/>
              </w:rPr>
            </w:r>
            <w:r>
              <w:rPr>
                <w:rFonts w:ascii="IBM Plex Sans" w:hAnsi="IBM Plex Sans" w:cs="IBM Plex Sans"/>
                <w:b w:val="0"/>
                <w:i w:val="0"/>
                <w:color w:val="161412"/>
                <w:sz w:val="17"/>
              </w:rPr>
              <w:t xml:space="preserve">Capítulo 12 · ocurrencia y estado</w:t>
            </w:r>
          </w:p>
        </w:tc>
      </w:tr>
      <w:tr>
        <w:tc>
          <w:tcPr>
            <w:tcW w:type="dxa" w:w="4158"/>
          </w:tcPr>
          <w:p>
            <w:pPr>
              <w:spacing w:after="40"/>
            </w:pPr>
            <w:r>
              <w:rPr>
                <w:sz w:val="17"/>
              </w:rPr>
            </w:r>
            <w:r>
              <w:rPr>
                <w:rFonts w:ascii="IBM Plex Sans" w:hAnsi="IBM Plex Sans" w:cs="IBM Plex Sans"/>
                <w:b w:val="0"/>
                <w:i w:val="0"/>
                <w:color w:val="161412"/>
                <w:sz w:val="17"/>
              </w:rPr>
              <w:t xml:space="preserve">BK-SONIDO-MATERIA</w:t>
            </w:r>
          </w:p>
        </w:tc>
        <w:tc>
          <w:tcPr>
            <w:tcW w:type="dxa" w:w="4158"/>
          </w:tcPr>
          <w:p>
            <w:pPr>
              <w:spacing w:after="40"/>
            </w:pPr>
            <w:r>
              <w:rPr>
                <w:sz w:val="17"/>
              </w:rPr>
            </w:r>
            <w:r>
              <w:rPr>
                <w:rFonts w:ascii="IBM Plex Sans" w:hAnsi="IBM Plex Sans" w:cs="IBM Plex Sans"/>
                <w:b w:val="0"/>
                <w:i w:val="0"/>
                <w:color w:val="161412"/>
                <w:sz w:val="17"/>
              </w:rPr>
              <w:t xml:space="preserve">Capítulo 17 · nombrar el sonido por su materia</w:t>
            </w:r>
          </w:p>
        </w:tc>
      </w:tr>
      <w:tr>
        <w:tc>
          <w:tcPr>
            <w:tcW w:type="dxa" w:w="4158"/>
          </w:tcPr>
          <w:p>
            <w:pPr>
              <w:spacing w:after="40"/>
            </w:pPr>
            <w:r>
              <w:rPr>
                <w:sz w:val="17"/>
              </w:rPr>
            </w:r>
            <w:r>
              <w:rPr>
                <w:rFonts w:ascii="IBM Plex Sans" w:hAnsi="IBM Plex Sans" w:cs="IBM Plex Sans"/>
                <w:b w:val="0"/>
                <w:i w:val="0"/>
                <w:color w:val="161412"/>
                <w:sz w:val="17"/>
              </w:rPr>
              <w:t xml:space="preserve">BK-HAPTICA-MATERIA</w:t>
            </w:r>
          </w:p>
        </w:tc>
        <w:tc>
          <w:tcPr>
            <w:tcW w:type="dxa" w:w="4158"/>
          </w:tcPr>
          <w:p>
            <w:pPr>
              <w:spacing w:after="40"/>
            </w:pPr>
            <w:r>
              <w:rPr>
                <w:sz w:val="17"/>
              </w:rPr>
            </w:r>
            <w:r>
              <w:rPr>
                <w:rFonts w:ascii="IBM Plex Sans" w:hAnsi="IBM Plex Sans" w:cs="IBM Plex Sans"/>
                <w:b w:val="0"/>
                <w:i w:val="0"/>
                <w:color w:val="161412"/>
                <w:sz w:val="17"/>
              </w:rPr>
              <w:t xml:space="preserve">Capítulo 18 · primitivas hápticas por sensación</w:t>
            </w:r>
          </w:p>
        </w:tc>
      </w:tr>
      <w:tr>
        <w:tc>
          <w:tcPr>
            <w:tcW w:type="dxa" w:w="4158"/>
          </w:tcPr>
          <w:p>
            <w:pPr>
              <w:spacing w:after="40"/>
            </w:pPr>
            <w:r>
              <w:rPr>
                <w:sz w:val="17"/>
              </w:rPr>
            </w:r>
            <w:r>
              <w:rPr>
                <w:rFonts w:ascii="IBM Plex Sans" w:hAnsi="IBM Plex Sans" w:cs="IBM Plex Sans"/>
                <w:b w:val="0"/>
                <w:i w:val="0"/>
                <w:color w:val="161412"/>
                <w:sz w:val="17"/>
              </w:rPr>
              <w:t xml:space="preserve">BK-MIGRACION</w:t>
            </w:r>
          </w:p>
        </w:tc>
        <w:tc>
          <w:tcPr>
            <w:tcW w:type="dxa" w:w="4158"/>
          </w:tcPr>
          <w:p>
            <w:pPr>
              <w:spacing w:after="40"/>
            </w:pPr>
            <w:r>
              <w:rPr>
                <w:sz w:val="17"/>
              </w:rPr>
            </w:r>
            <w:r>
              <w:rPr>
                <w:rFonts w:ascii="IBM Plex Sans" w:hAnsi="IBM Plex Sans" w:cs="IBM Plex Sans"/>
                <w:b w:val="0"/>
                <w:i w:val="0"/>
                <w:color w:val="161412"/>
                <w:sz w:val="17"/>
              </w:rPr>
              <w:t xml:space="preserve">Capítulo 19 · migración semántica</w:t>
            </w:r>
          </w:p>
        </w:tc>
      </w:tr>
      <w:tr>
        <w:tc>
          <w:tcPr>
            <w:tcW w:type="dxa" w:w="4158"/>
          </w:tcPr>
          <w:p>
            <w:pPr>
              <w:spacing w:after="40"/>
            </w:pPr>
            <w:r>
              <w:rPr>
                <w:sz w:val="17"/>
              </w:rPr>
            </w:r>
            <w:r>
              <w:rPr>
                <w:rFonts w:ascii="IBM Plex Sans" w:hAnsi="IBM Plex Sans" w:cs="IBM Plex Sans"/>
                <w:b w:val="0"/>
                <w:i w:val="0"/>
                <w:color w:val="161412"/>
                <w:sz w:val="17"/>
              </w:rPr>
              <w:t xml:space="preserve">BK-COORDINACION</w:t>
            </w:r>
          </w:p>
        </w:tc>
        <w:tc>
          <w:tcPr>
            <w:tcW w:type="dxa" w:w="4158"/>
          </w:tcPr>
          <w:p>
            <w:pPr>
              <w:spacing w:after="40"/>
            </w:pPr>
            <w:r>
              <w:rPr>
                <w:sz w:val="17"/>
              </w:rPr>
            </w:r>
            <w:r>
              <w:rPr>
                <w:rFonts w:ascii="IBM Plex Sans" w:hAnsi="IBM Plex Sans" w:cs="IBM Plex Sans"/>
                <w:b w:val="0"/>
                <w:i w:val="0"/>
                <w:color w:val="161412"/>
                <w:sz w:val="17"/>
              </w:rPr>
              <w:t xml:space="preserve">Capítulo 20 · varios canales, un solo evento</w:t>
            </w:r>
          </w:p>
        </w:tc>
      </w:tr>
      <w:tr>
        <w:tc>
          <w:tcPr>
            <w:tcW w:type="dxa" w:w="4158"/>
          </w:tcPr>
          <w:p>
            <w:pPr>
              <w:spacing w:after="40"/>
            </w:pPr>
            <w:r>
              <w:rPr>
                <w:sz w:val="17"/>
              </w:rPr>
            </w:r>
            <w:r>
              <w:rPr>
                <w:rFonts w:ascii="IBM Plex Sans" w:hAnsi="IBM Plex Sans" w:cs="IBM Plex Sans"/>
                <w:b w:val="0"/>
                <w:i w:val="0"/>
                <w:color w:val="161412"/>
                <w:sz w:val="17"/>
              </w:rPr>
              <w:t xml:space="preserve">BK-MUESTREO</w:t>
            </w:r>
          </w:p>
        </w:tc>
        <w:tc>
          <w:tcPr>
            <w:tcW w:type="dxa" w:w="4158"/>
          </w:tcPr>
          <w:p>
            <w:pPr>
              <w:spacing w:after="40"/>
            </w:pPr>
            <w:r>
              <w:rPr>
                <w:sz w:val="17"/>
              </w:rPr>
            </w:r>
            <w:r>
              <w:rPr>
                <w:rFonts w:ascii="IBM Plex Sans" w:hAnsi="IBM Plex Sans" w:cs="IBM Plex Sans"/>
                <w:b w:val="0"/>
                <w:i w:val="0"/>
                <w:color w:val="161412"/>
                <w:sz w:val="17"/>
              </w:rPr>
              <w:t xml:space="preserve">Capítulo 25, §5 · muestrear al ritmo de la percepción</w:t>
            </w:r>
          </w:p>
        </w:tc>
      </w:tr>
      <w:tr>
        <w:tc>
          <w:tcPr>
            <w:tcW w:type="dxa" w:w="4158"/>
          </w:tcPr>
          <w:p>
            <w:pPr>
              <w:spacing w:after="40"/>
            </w:pPr>
            <w:r>
              <w:rPr>
                <w:sz w:val="17"/>
              </w:rPr>
            </w:r>
            <w:r>
              <w:rPr>
                <w:rFonts w:ascii="IBM Plex Sans" w:hAnsi="IBM Plex Sans" w:cs="IBM Plex Sans"/>
                <w:b w:val="0"/>
                <w:i w:val="0"/>
                <w:color w:val="161412"/>
                <w:sz w:val="17"/>
              </w:rPr>
              <w:t xml:space="preserve">BK-SUSTAIN-ESTADO</w:t>
            </w:r>
          </w:p>
        </w:tc>
        <w:tc>
          <w:tcPr>
            <w:tcW w:type="dxa" w:w="4158"/>
          </w:tcPr>
          <w:p>
            <w:pPr>
              <w:spacing w:after="40"/>
            </w:pPr>
            <w:r>
              <w:rPr>
                <w:sz w:val="17"/>
              </w:rPr>
            </w:r>
            <w:r>
              <w:rPr>
                <w:rFonts w:ascii="IBM Plex Sans" w:hAnsi="IBM Plex Sans" w:cs="IBM Plex Sans"/>
                <w:b w:val="0"/>
                <w:i w:val="0"/>
                <w:color w:val="161412"/>
                <w:sz w:val="17"/>
              </w:rPr>
              <w:t xml:space="preserve">Capítulo 28, §7 · sustain como estado con transiciones</w:t>
            </w:r>
          </w:p>
        </w:tc>
      </w:tr>
      <w:tr>
        <w:tc>
          <w:tcPr>
            <w:tcW w:type="dxa" w:w="4158"/>
          </w:tcPr>
          <w:p>
            <w:pPr>
              <w:spacing w:after="40"/>
            </w:pPr>
            <w:r>
              <w:rPr>
                <w:sz w:val="17"/>
              </w:rPr>
            </w:r>
            <w:r>
              <w:rPr>
                <w:rFonts w:ascii="IBM Plex Sans" w:hAnsi="IBM Plex Sans" w:cs="IBM Plex Sans"/>
                <w:b w:val="0"/>
                <w:i w:val="0"/>
                <w:color w:val="161412"/>
                <w:sz w:val="17"/>
              </w:rPr>
              <w:t xml:space="preserve">BK-DELEGATE</w:t>
            </w:r>
          </w:p>
        </w:tc>
        <w:tc>
          <w:tcPr>
            <w:tcW w:type="dxa" w:w="4158"/>
          </w:tcPr>
          <w:p>
            <w:pPr>
              <w:spacing w:after="40"/>
            </w:pPr>
            <w:r>
              <w:rPr>
                <w:sz w:val="17"/>
              </w:rPr>
            </w:r>
            <w:r>
              <w:rPr>
                <w:rFonts w:ascii="IBM Plex Sans" w:hAnsi="IBM Plex Sans" w:cs="IBM Plex Sans"/>
                <w:b w:val="0"/>
                <w:i w:val="0"/>
                <w:color w:val="161412"/>
                <w:sz w:val="17"/>
              </w:rPr>
              <w:t xml:space="preserve">Capítulo 29 · quién actúa</w:t>
            </w:r>
          </w:p>
        </w:tc>
      </w:tr>
      <w:tr>
        <w:tc>
          <w:tcPr>
            <w:tcW w:type="dxa" w:w="4158"/>
          </w:tcPr>
          <w:p>
            <w:pPr>
              <w:spacing w:after="40"/>
            </w:pPr>
            <w:r>
              <w:rPr>
                <w:sz w:val="17"/>
              </w:rPr>
            </w:r>
            <w:r>
              <w:rPr>
                <w:rFonts w:ascii="IBM Plex Sans" w:hAnsi="IBM Plex Sans" w:cs="IBM Plex Sans"/>
                <w:b w:val="0"/>
                <w:i w:val="0"/>
                <w:color w:val="161412"/>
                <w:sz w:val="17"/>
              </w:rPr>
              <w:t xml:space="preserve">BK-INTERPRETE</w:t>
            </w:r>
          </w:p>
        </w:tc>
        <w:tc>
          <w:tcPr>
            <w:tcW w:type="dxa" w:w="4158"/>
          </w:tcPr>
          <w:p>
            <w:pPr>
              <w:spacing w:after="40"/>
            </w:pPr>
            <w:r>
              <w:rPr>
                <w:sz w:val="17"/>
              </w:rPr>
            </w:r>
            <w:r>
              <w:rPr>
                <w:rFonts w:ascii="IBM Plex Sans" w:hAnsi="IBM Plex Sans" w:cs="IBM Plex Sans"/>
                <w:b w:val="0"/>
                <w:i w:val="0"/>
                <w:color w:val="161412"/>
                <w:sz w:val="17"/>
              </w:rPr>
              <w:t xml:space="preserve">Capítulo 29, §11 · la frontera del intérprete</w:t>
            </w:r>
          </w:p>
        </w:tc>
      </w:tr>
      <w:tr>
        <w:tc>
          <w:tcPr>
            <w:tcW w:type="dxa" w:w="4158"/>
          </w:tcPr>
          <w:p>
            <w:pPr>
              <w:spacing w:after="40"/>
            </w:pPr>
            <w:r>
              <w:rPr>
                <w:sz w:val="17"/>
              </w:rPr>
            </w:r>
            <w:r>
              <w:rPr>
                <w:rFonts w:ascii="IBM Plex Sans" w:hAnsi="IBM Plex Sans" w:cs="IBM Plex Sans"/>
                <w:b w:val="0"/>
                <w:i w:val="0"/>
                <w:color w:val="161412"/>
                <w:sz w:val="17"/>
              </w:rPr>
              <w:t xml:space="preserve">BK-COMPOSICION</w:t>
            </w:r>
          </w:p>
        </w:tc>
        <w:tc>
          <w:tcPr>
            <w:tcW w:type="dxa" w:w="4158"/>
          </w:tcPr>
          <w:p>
            <w:pPr>
              <w:spacing w:after="40"/>
            </w:pPr>
            <w:r>
              <w:rPr>
                <w:sz w:val="17"/>
              </w:rPr>
            </w:r>
            <w:r>
              <w:rPr>
                <w:rFonts w:ascii="IBM Plex Sans" w:hAnsi="IBM Plex Sans" w:cs="IBM Plex Sans"/>
                <w:b w:val="0"/>
                <w:i w:val="0"/>
                <w:color w:val="161412"/>
                <w:sz w:val="17"/>
              </w:rPr>
              <w:t xml:space="preserve">Capítulo 30 · orden señal-mutación y dominancia</w:t>
            </w:r>
          </w:p>
        </w:tc>
      </w:tr>
      <w:tr>
        <w:tc>
          <w:tcPr>
            <w:tcW w:type="dxa" w:w="4158"/>
          </w:tcPr>
          <w:p>
            <w:pPr>
              <w:spacing w:after="40"/>
            </w:pPr>
            <w:r>
              <w:rPr>
                <w:sz w:val="17"/>
              </w:rPr>
            </w:r>
            <w:r>
              <w:rPr>
                <w:rFonts w:ascii="IBM Plex Sans" w:hAnsi="IBM Plex Sans" w:cs="IBM Plex Sans"/>
                <w:b w:val="0"/>
                <w:i w:val="0"/>
                <w:color w:val="161412"/>
                <w:sz w:val="17"/>
              </w:rPr>
              <w:t xml:space="preserve">BK-MATRICES</w:t>
            </w:r>
          </w:p>
        </w:tc>
        <w:tc>
          <w:tcPr>
            <w:tcW w:type="dxa" w:w="4158"/>
          </w:tcPr>
          <w:p>
            <w:pPr>
              <w:spacing w:after="40"/>
            </w:pPr>
            <w:r>
              <w:rPr>
                <w:sz w:val="17"/>
              </w:rPr>
            </w:r>
            <w:r>
              <w:rPr>
                <w:rFonts w:ascii="IBM Plex Sans" w:hAnsi="IBM Plex Sans" w:cs="IBM Plex Sans"/>
                <w:b w:val="0"/>
                <w:i w:val="0"/>
                <w:color w:val="161412"/>
                <w:sz w:val="17"/>
              </w:rPr>
              <w:t xml:space="preserve">Capítulo 31 · familias × canales, intents × canales</w:t>
            </w:r>
          </w:p>
        </w:tc>
      </w:tr>
      <w:tr>
        <w:tc>
          <w:tcPr>
            <w:tcW w:type="dxa" w:w="4158"/>
          </w:tcPr>
          <w:p>
            <w:pPr>
              <w:spacing w:after="40"/>
            </w:pPr>
            <w:r>
              <w:rPr>
                <w:sz w:val="17"/>
              </w:rPr>
            </w:r>
            <w:r>
              <w:rPr>
                <w:rFonts w:ascii="IBM Plex Sans" w:hAnsi="IBM Plex Sans" w:cs="IBM Plex Sans"/>
                <w:b w:val="0"/>
                <w:i w:val="0"/>
                <w:color w:val="161412"/>
                <w:sz w:val="17"/>
              </w:rPr>
              <w:t xml:space="preserve">BK-RANGOS</w:t>
            </w:r>
          </w:p>
        </w:tc>
        <w:tc>
          <w:tcPr>
            <w:tcW w:type="dxa" w:w="4158"/>
          </w:tcPr>
          <w:p>
            <w:pPr>
              <w:spacing w:after="40"/>
            </w:pPr>
            <w:r>
              <w:rPr>
                <w:sz w:val="17"/>
              </w:rPr>
            </w:r>
            <w:r>
              <w:rPr>
                <w:rFonts w:ascii="IBM Plex Sans" w:hAnsi="IBM Plex Sans" w:cs="IBM Plex Sans"/>
                <w:b w:val="0"/>
                <w:i w:val="0"/>
                <w:color w:val="161412"/>
                <w:sz w:val="17"/>
              </w:rPr>
              <w:t xml:space="preserve">Capítulo 32 · rangos orientativos</w:t>
            </w:r>
          </w:p>
        </w:tc>
      </w:tr>
      <w:tr>
        <w:tc>
          <w:tcPr>
            <w:tcW w:type="dxa" w:w="4158"/>
          </w:tcPr>
          <w:p>
            <w:pPr>
              <w:spacing w:after="40"/>
            </w:pPr>
            <w:r>
              <w:rPr>
                <w:sz w:val="17"/>
              </w:rPr>
            </w:r>
            <w:r>
              <w:rPr>
                <w:rFonts w:ascii="IBM Plex Sans" w:hAnsi="IBM Plex Sans" w:cs="IBM Plex Sans"/>
                <w:b w:val="0"/>
                <w:i w:val="0"/>
                <w:color w:val="161412"/>
                <w:sz w:val="17"/>
              </w:rPr>
              <w:t xml:space="preserve">BK-REFERENCIA</w:t>
            </w:r>
          </w:p>
        </w:tc>
        <w:tc>
          <w:tcPr>
            <w:tcW w:type="dxa" w:w="4158"/>
          </w:tcPr>
          <w:p>
            <w:pPr>
              <w:spacing w:after="40"/>
            </w:pPr>
            <w:r>
              <w:rPr>
                <w:sz w:val="17"/>
              </w:rPr>
            </w:r>
            <w:r>
              <w:rPr>
                <w:rFonts w:ascii="IBM Plex Sans" w:hAnsi="IBM Plex Sans" w:cs="IBM Plex Sans"/>
                <w:b w:val="0"/>
                <w:i w:val="0"/>
                <w:color w:val="161412"/>
                <w:sz w:val="17"/>
              </w:rPr>
              <w:t xml:space="preserve">Apéndice B · tablas canónicas B.1–B.3</w:t>
            </w:r>
          </w:p>
        </w:tc>
      </w:tr>
      <w:tr>
        <w:tc>
          <w:tcPr>
            <w:tcW w:type="dxa" w:w="4158"/>
          </w:tcPr>
          <w:p>
            <w:pPr>
              <w:spacing w:after="40"/>
            </w:pPr>
            <w:r>
              <w:rPr>
                <w:sz w:val="17"/>
              </w:rPr>
            </w:r>
            <w:r>
              <w:rPr>
                <w:rFonts w:ascii="IBM Plex Sans" w:hAnsi="IBM Plex Sans" w:cs="IBM Plex Sans"/>
                <w:b w:val="0"/>
                <w:i w:val="0"/>
                <w:color w:val="161412"/>
                <w:sz w:val="17"/>
              </w:rPr>
              <w:t xml:space="preserve">BK-D11</w:t>
            </w:r>
          </w:p>
        </w:tc>
        <w:tc>
          <w:tcPr>
            <w:tcW w:type="dxa" w:w="4158"/>
          </w:tcPr>
          <w:p>
            <w:pPr>
              <w:spacing w:after="40"/>
            </w:pPr>
            <w:r>
              <w:rPr>
                <w:sz w:val="17"/>
              </w:rPr>
            </w:r>
            <w:r>
              <w:rPr>
                <w:rFonts w:ascii="IBM Plex Sans" w:hAnsi="IBM Plex Sans" w:cs="IBM Plex Sans"/>
                <w:b w:val="0"/>
                <w:i w:val="0"/>
                <w:color w:val="161412"/>
                <w:sz w:val="17"/>
              </w:rPr>
              <w:t xml:space="preserve">Apéndice D · la desviación emerge/shift del diálogo</w:t>
            </w:r>
          </w:p>
        </w:tc>
      </w:tr>
      <w:tr>
        <w:tc>
          <w:tcPr>
            <w:tcW w:type="dxa" w:w="4158"/>
          </w:tcPr>
          <w:p>
            <w:pPr>
              <w:spacing w:after="40"/>
            </w:pPr>
            <w:r>
              <w:rPr>
                <w:sz w:val="17"/>
              </w:rPr>
            </w:r>
            <w:r>
              <w:rPr>
                <w:rFonts w:ascii="IBM Plex Sans" w:hAnsi="IBM Plex Sans" w:cs="IBM Plex Sans"/>
                <w:b w:val="0"/>
                <w:i w:val="0"/>
                <w:color w:val="161412"/>
                <w:sz w:val="17"/>
              </w:rPr>
              <w:t xml:space="preserve">BK-STREAMING</w:t>
            </w:r>
          </w:p>
        </w:tc>
        <w:tc>
          <w:tcPr>
            <w:tcW w:type="dxa" w:w="4158"/>
          </w:tcPr>
          <w:p>
            <w:pPr>
              <w:spacing w:after="40"/>
            </w:pPr>
            <w:r>
              <w:rPr>
                <w:sz w:val="17"/>
              </w:rPr>
            </w:r>
            <w:r>
              <w:rPr>
                <w:rFonts w:ascii="IBM Plex Sans" w:hAnsi="IBM Plex Sans" w:cs="IBM Plex Sans"/>
                <w:b w:val="0"/>
                <w:i w:val="0"/>
                <w:color w:val="161412"/>
                <w:sz w:val="17"/>
              </w:rPr>
              <w:t xml:space="preserve">Apéndice E, caso 1 · el texto que fluye</w:t>
            </w:r>
          </w:p>
        </w:tc>
      </w:tr>
      <w:tr>
        <w:tc>
          <w:tcPr>
            <w:tcW w:type="dxa" w:w="4158"/>
          </w:tcPr>
          <w:p>
            <w:pPr>
              <w:spacing w:after="40"/>
            </w:pPr>
            <w:r>
              <w:rPr>
                <w:sz w:val="17"/>
              </w:rPr>
            </w:r>
            <w:r>
              <w:rPr>
                <w:rFonts w:ascii="IBM Plex Sans" w:hAnsi="IBM Plex Sans" w:cs="IBM Plex Sans"/>
                <w:b w:val="0"/>
                <w:i w:val="0"/>
                <w:color w:val="161412"/>
                <w:sz w:val="17"/>
              </w:rPr>
              <w:t xml:space="preserve">BK-OPTIMISTA</w:t>
            </w:r>
          </w:p>
        </w:tc>
        <w:tc>
          <w:tcPr>
            <w:tcW w:type="dxa" w:w="4158"/>
          </w:tcPr>
          <w:p>
            <w:pPr>
              <w:spacing w:after="40"/>
            </w:pPr>
            <w:r>
              <w:rPr>
                <w:sz w:val="17"/>
              </w:rPr>
            </w:r>
            <w:r>
              <w:rPr>
                <w:rFonts w:ascii="IBM Plex Sans" w:hAnsi="IBM Plex Sans" w:cs="IBM Plex Sans"/>
                <w:b w:val="0"/>
                <w:i w:val="0"/>
                <w:color w:val="161412"/>
                <w:sz w:val="17"/>
              </w:rPr>
              <w:t xml:space="preserve">Apéndice E, caso 2 · la interfaz optimista</w:t>
            </w:r>
          </w:p>
        </w:tc>
      </w:tr>
    </w:tbl>
    <w:p>
      <w:pPr>
        <w:spacing w:before="320" w:after="40"/>
      </w:pPr>
    </w:p>
    <w:p>
      <w:pPr>
        <w:spacing w:before="320" w:after="40"/>
      </w:pPr>
    </w:p>
    <w:p>
      <w:pPr>
        <w:spacing w:after="160" w:line="240" w:lineRule="auto"/>
      </w:pPr>
      <w:r>
        <w:rPr>
          <w:rFonts w:ascii="Newsreader" w:hAnsi="Newsreader" w:cs="Newsreader"/>
          <w:color w:val="161412"/>
          <w:sz w:val="38"/>
        </w:rPr>
        <w:t xml:space="preserve">Cómo leer este apéndice desde otro sistema</w:t>
      </w:r>
    </w:p>
    <w:p>
      <w:pPr>
        <w:spacing w:after="120" w:line="320" w:lineRule="auto"/>
        <w:jc w:val="both"/>
      </w:pPr>
      <w:r>
        <w:rPr>
          <w:rFonts w:ascii="Newsreader" w:hAnsi="Newsreader" w:cs="Newsreader"/>
          <w:b w:val="0"/>
          <w:i w:val="0"/>
          <w:color w:val="161412"/>
        </w:rPr>
        <w:t xml:space="preserve">Quien construya sobre otra base —un framework distinto, otro lenguaje, o ninguna librería en absoluto— debería llevarse de aquí lo esencial y descartar lo accidental.</w:t>
      </w:r>
    </w:p>
    <w:p>
      <w:pPr>
        <w:spacing w:after="120" w:line="320" w:lineRule="auto"/>
        <w:jc w:val="both"/>
      </w:pPr>
      <w:r>
        <w:rPr>
          <w:rFonts w:ascii="Newsreader" w:hAnsi="Newsreader" w:cs="Newsreader"/>
          <w:b w:val="0"/>
          <w:i w:val="0"/>
          <w:color w:val="161412"/>
        </w:rPr>
        <w:t xml:space="preserve">Es esencial declarar los eventos como contrato —familia, verbo, intent y orden señal↔mutación— en un lugar único y verificable. Es esencial respetar la ventana perceptiva del evento antes de pisarla con el cambio estructural. Es esencial mantener separadas la ocurrencia transitoria y el estado persistente. Es esencial resolver la expresión por capas con precedencia, repartiendo carácter y firma evaluativa entre contexto e intent. Es esencial someter toda excepción al test sustractivo y cobrarle justificación. Y es esencial dotar al motor, sea cual sea, de los seis mecanismos de la sección anterior. Porque no son rasgos de esta implementación: son requisitos que la gramática impone a cualquiera.</w:t>
      </w:r>
    </w:p>
    <w:p>
      <w:pPr>
        <w:spacing w:after="120" w:line="320" w:lineRule="auto"/>
        <w:jc w:val="both"/>
      </w:pPr>
      <w:r>
        <w:rPr>
          <w:rFonts w:ascii="Newsreader" w:hAnsi="Newsreader" w:cs="Newsreader"/>
          <w:b w:val="0"/>
          <w:i w:val="0"/>
          <w:color w:val="161412"/>
        </w:rPr>
        <w:t xml:space="preserve">Es accidental: los nombres de los módulos y de los atributos; el reparto concreto de lo visual en hojas de estilo; los valores por defecto de las ventanas; el vehículo de tipos que hace compilables los contratos. Nada de eso viaja, y nada de eso importa: otra implementación con otros nombres que responda a las mismas preguntas es igual de fiel a la gramática.</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Una implementación no demuestra que la gramática sea verdadera. Demuestra que es construible — y que, al construirla, corrige y es corregida.</w:t>
      </w:r>
    </w:p>
    <w:p>
      <w:r>
        <w:br w:type="page"/>
      </w:r>
    </w:p>
    <w:p>
      <w:pPr>
        <w:spacing w:after="60" w:line="240" w:lineRule="auto"/>
      </w:pPr>
      <w:r>
        <w:rPr>
          <w:rFonts w:ascii="Newsreader" w:hAnsi="Newsreader" w:cs="Newsreader"/>
          <w:color w:val="161412"/>
          <w:sz w:val="60"/>
        </w:rPr>
        <w:t xml:space="preserve">APÉNDICE E</w:t>
      </w:r>
    </w:p>
    <w:p>
      <w:pPr>
        <w:pBdr>
          <w:bottom w:val="single" w:sz="4" w:space="4" w:color="1F3A5F"/>
        </w:pBdr>
      </w:pPr>
    </w:p>
    <w:p>
      <w:pPr>
        <w:spacing w:before="320" w:after="40"/>
      </w:pPr>
    </w:p>
    <w:p>
      <w:pPr>
        <w:spacing w:after="160" w:line="240" w:lineRule="auto"/>
      </w:pPr>
      <w:r>
        <w:rPr>
          <w:rFonts w:ascii="Newsreader" w:hAnsi="Newsreader" w:cs="Newsreader"/>
          <w:color w:val="161412"/>
          <w:sz w:val="38"/>
        </w:rPr>
        <w:t xml:space="preserve">Casos difíciles: donde la gramática suda</w:t>
      </w:r>
    </w:p>
    <w:p>
      <w:pPr>
        <w:spacing w:after="120" w:line="320" w:lineRule="auto"/>
        <w:jc w:val="both"/>
      </w:pPr>
      <w:r>
        <w:rPr>
          <w:rFonts w:ascii="Newsreader" w:hAnsi="Newsreader" w:cs="Newsreader"/>
          <w:b w:val="0"/>
          <w:i w:val="0"/>
          <w:color w:val="161412"/>
        </w:rPr>
        <w:t xml:space="preserve">Los capítulos de este libro razonan sobre interfaces que ya sabemos mirar: formularios, diálogos, listas, procesos con final. Este apéndice mira las otras: las que el presente pone delante del lector y la gramática todavía no digiere del todo.</w:t>
      </w:r>
    </w:p>
    <w:p>
      <w:pPr>
        <w:spacing w:after="120" w:line="320" w:lineRule="auto"/>
        <w:jc w:val="both"/>
      </w:pPr>
      <w:r>
        <w:rPr>
          <w:rFonts w:ascii="Newsreader" w:hAnsi="Newsreader" w:cs="Newsreader"/>
          <w:b w:val="0"/>
          <w:i w:val="0"/>
          <w:color w:val="161412"/>
        </w:rPr>
        <w:t xml:space="preserve">Cada caso sigue la misma disciplina. Primero, qué nombra hoy la gramática — casi siempre más de lo que parece—. Después, dónde se tensa: la costura exacta en la que las categorías dejan de bastar. Y al final, qué queda abierto, dicho sin disimulo. Donde existe práctica real, se cita: varios de estos casos dejaron cicatriz en la implementación de referencia del Apéndice D, y la cicatriz enseña más que la doctrina.</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Un caso donde la gramática suda enseña más que veinte donde funciona.</w:t>
      </w:r>
    </w:p>
    <w:p>
      <w:pPr>
        <w:spacing w:before="320" w:after="40"/>
      </w:pPr>
    </w:p>
    <w:p>
      <w:pPr>
        <w:spacing w:before="240" w:after="100"/>
      </w:pPr>
      <w:r>
        <w:rPr>
          <w:rFonts w:ascii="Newsreader" w:hAnsi="Newsreader" w:cs="Newsreader"/>
          <w:i/>
          <w:color w:val="1F3A5F"/>
          <w:sz w:val="28"/>
        </w:rPr>
        <w:t xml:space="preserve">Caso 1 — El texto que fluye: el streaming de un modelo generativo</w:t>
      </w:r>
    </w:p>
    <w:p>
      <w:pPr>
        <w:spacing w:after="120" w:line="320" w:lineRule="auto"/>
        <w:jc w:val="both"/>
      </w:pPr>
      <w:r>
        <w:rPr>
          <w:rFonts w:ascii="Newsreader" w:hAnsi="Newsreader" w:cs="Newsreader"/>
          <w:b w:val="0"/>
          <w:i w:val="0"/>
          <w:color w:val="161412"/>
        </w:rPr>
        <w:t xml:space="preserve">El usuario envía una pregunta y la respuesta no llega: va llegando. Durante segundos, el texto crece palabra a palabra, se detiene, sigue, a veces se corrige. Es hoy la interacción definitoria de la era que el Capítulo 29 anuncia, y el cuerpo del libro la despacha en una línea: </w:t>
      </w:r>
      <w:r>
        <w:rPr>
          <w:rFonts w:ascii="Newsreader" w:hAnsi="Newsreader" w:cs="Newsreader"/>
          <w:b w:val="0"/>
          <w:i/>
          <w:color w:val="161412"/>
        </w:rPr>
        <w:t xml:space="preserve">contact.submit · sustain.streaming · commit.complete</w:t>
      </w:r>
      <w:r>
        <w:rPr>
          <w:rFonts w:ascii="Newsreader" w:hAnsi="Newsreader" w:cs="Newsreader"/>
          <w:b w:val="0"/>
          <w:i w:val="0"/>
          <w:color w:val="161412"/>
        </w:rPr>
        <w:t xml:space="preserve">.</w:t>
      </w:r>
    </w:p>
    <w:p>
      <w:pPr>
        <w:spacing w:after="120" w:line="320" w:lineRule="auto"/>
        <w:jc w:val="both"/>
      </w:pPr>
      <w:r>
        <w:rPr>
          <w:rFonts w:ascii="Newsreader" w:hAnsi="Newsreader" w:cs="Newsreader"/>
          <w:b w:val="0"/>
          <w:i w:val="0"/>
          <w:color w:val="161412"/>
        </w:rPr>
        <w:t xml:space="preserve">Esa línea nombra bien el esqueleto. Hay un contacto que registra la petición. Hay un proceso vivo — la implementación de referencia añadió </w:t>
      </w:r>
      <w:r>
        <w:rPr>
          <w:rFonts w:ascii="Newsreader" w:hAnsi="Newsreader" w:cs="Newsreader"/>
          <w:b w:val="0"/>
          <w:i/>
          <w:color w:val="161412"/>
        </w:rPr>
        <w:t xml:space="preserve">streaming</w:t>
      </w:r>
      <w:r>
        <w:rPr>
          <w:rFonts w:ascii="Newsreader" w:hAnsi="Newsreader" w:cs="Newsreader"/>
          <w:b w:val="0"/>
          <w:i w:val="0"/>
          <w:color w:val="161412"/>
        </w:rPr>
        <w:t xml:space="preserve"> como verbo de sustain precisamente por este caso—. Y hay una resolución. La gramática no está muda: distingue la espera del resultado, exige que el flujo se perciba vivo y prohíbe celebrarlo antes de tiempo.</w:t>
      </w:r>
    </w:p>
    <w:p>
      <w:pPr>
        <w:spacing w:after="120" w:line="320" w:lineRule="auto"/>
        <w:jc w:val="both"/>
      </w:pPr>
      <w:r>
        <w:rPr>
          <w:rFonts w:ascii="Newsreader" w:hAnsi="Newsreader" w:cs="Newsreader"/>
          <w:b w:val="0"/>
          <w:i w:val="0"/>
          <w:color w:val="161412"/>
        </w:rPr>
        <w:t xml:space="preserve">La primera costura es la superficie que crece. Cada palabra que aparece es, en rigor, una aparición — un micro </w:t>
      </w:r>
      <w:r>
        <w:rPr>
          <w:rFonts w:ascii="Newsreader" w:hAnsi="Newsreader" w:cs="Newsreader"/>
          <w:b w:val="0"/>
          <w:i/>
          <w:color w:val="161412"/>
        </w:rPr>
        <w:t xml:space="preserve">emerge.present</w:t>
      </w:r>
      <w:r>
        <w:rPr>
          <w:rFonts w:ascii="Newsreader" w:hAnsi="Newsreader" w:cs="Newsreader"/>
          <w:b w:val="0"/>
          <w:i w:val="0"/>
          <w:color w:val="161412"/>
        </w:rPr>
        <w:t xml:space="preserve">—. Pero puntuar cientos de apariciones por respuesta viola el muestreo perceptivo del Capítulo 25: el canal se inunda y el gesto se aplana. La lectura práctica es tratar el flujo como </w:t>
      </w:r>
      <w:r>
        <w:rPr>
          <w:rFonts w:ascii="Newsreader" w:hAnsi="Newsreader" w:cs="Newsreader"/>
          <w:b w:val="0"/>
          <w:i/>
          <w:color w:val="161412"/>
        </w:rPr>
        <w:t xml:space="preserve">un</w:t>
      </w:r>
      <w:r>
        <w:rPr>
          <w:rFonts w:ascii="Newsreader" w:hAnsi="Newsreader" w:cs="Newsreader"/>
          <w:b w:val="0"/>
          <w:i w:val="0"/>
          <w:color w:val="161412"/>
        </w:rPr>
        <w:t xml:space="preserve"> sustain cuya superficie crece, no como mil emerge encadenados. Funciona, y sin embargo pierde algo: la llegada de cada fragmento </w:t>
      </w:r>
      <w:r>
        <w:rPr>
          <w:rFonts w:ascii="Newsreader" w:hAnsi="Newsreader" w:cs="Newsreader"/>
          <w:b w:val="0"/>
          <w:i/>
          <w:color w:val="161412"/>
        </w:rPr>
        <w:t xml:space="preserve">sí</w:t>
      </w:r>
      <w:r>
        <w:rPr>
          <w:rFonts w:ascii="Newsreader" w:hAnsi="Newsreader" w:cs="Newsreader"/>
          <w:b w:val="0"/>
          <w:i w:val="0"/>
          <w:color w:val="161412"/>
        </w:rPr>
        <w:t xml:space="preserve"> se percibe, y la gramática no tiene nombre para esa granularidad intermedia.</w:t>
      </w:r>
    </w:p>
    <w:p>
      <w:pPr>
        <w:spacing w:after="120" w:line="320" w:lineRule="auto"/>
        <w:jc w:val="both"/>
      </w:pPr>
      <w:r>
        <w:rPr>
          <w:rFonts w:ascii="Newsreader" w:hAnsi="Newsreader" w:cs="Newsreader"/>
          <w:b w:val="0"/>
          <w:i w:val="0"/>
          <w:color w:val="161412"/>
        </w:rPr>
        <w:t xml:space="preserve">La segunda costura es el commit. ¿Cuándo queda fijada una respuesta que puede corregirse mientras fluye? El usuario lee, y a veces actúa, sobre texto que aún no está comprometido — copia un párrafo que el modelo reescribe un segundo después—. Hay un commit percibido antes del commit real: el pariente directo de la interfaz optimista del caso siguiente. La disciplina mínima es de huella: distinguir perceptivamente el texto en tránsito del texto fijado. Y puntuar el cierre — el </w:t>
      </w:r>
      <w:r>
        <w:rPr>
          <w:rFonts w:ascii="Newsreader" w:hAnsi="Newsreader" w:cs="Newsreader"/>
          <w:b w:val="0"/>
          <w:i/>
          <w:color w:val="161412"/>
        </w:rPr>
        <w:t xml:space="preserve">commit.complete</w:t>
      </w:r>
      <w:r>
        <w:rPr>
          <w:rFonts w:ascii="Newsreader" w:hAnsi="Newsreader" w:cs="Newsreader"/>
          <w:b w:val="0"/>
          <w:i w:val="0"/>
          <w:color w:val="161412"/>
        </w:rPr>
        <w:t xml:space="preserve"> — como evento propio, no como mera detención del flujo.</w:t>
      </w:r>
    </w:p>
    <w:p>
      <w:pPr>
        <w:spacing w:after="120" w:line="320" w:lineRule="auto"/>
        <w:jc w:val="both"/>
      </w:pPr>
      <w:r>
        <w:rPr>
          <w:rFonts w:ascii="Newsreader" w:hAnsi="Newsreader" w:cs="Newsreader"/>
          <w:b w:val="0"/>
          <w:i w:val="0"/>
          <w:color w:val="161412"/>
        </w:rPr>
        <w:t xml:space="preserve">La tercera costura es la autoría. Mientras el texto fluye, ¿quién actúa? La pregunta de delegate tiene respuesta: actúa el agente, por cuenta del usuario. Lo que no la tiene es su corolario: ¿qué parte de lo mostrado es ya un acto y qué parte es borrador de un acto? Queda abierto si el flujo generativo merece una fase propia en la gramática — entre el sustain y el commit — o si basta la disciplina de huella. Este libro no lo zanja.</w:t>
      </w:r>
    </w:p>
    <w:p>
      <w:pPr>
        <w:spacing w:before="320" w:after="40"/>
      </w:pPr>
    </w:p>
    <w:p>
      <w:pPr>
        <w:spacing w:before="240" w:after="100"/>
      </w:pPr>
      <w:r>
        <w:rPr>
          <w:rFonts w:ascii="Newsreader" w:hAnsi="Newsreader" w:cs="Newsreader"/>
          <w:i/>
          <w:color w:val="1F3A5F"/>
          <w:sz w:val="28"/>
        </w:rPr>
        <w:t xml:space="preserve">Caso 2 — La interfaz optimista</w:t>
      </w:r>
    </w:p>
    <w:p>
      <w:pPr>
        <w:spacing w:after="120" w:line="320" w:lineRule="auto"/>
        <w:jc w:val="both"/>
      </w:pPr>
      <w:r>
        <w:rPr>
          <w:rFonts w:ascii="Newsreader" w:hAnsi="Newsreader" w:cs="Newsreader"/>
          <w:b w:val="0"/>
          <w:i w:val="0"/>
          <w:color w:val="161412"/>
        </w:rPr>
        <w:t xml:space="preserve">Enviar un mensaje y verlo aparecer al instante en la conversación. Marcar un favorito y ver el contador subir. La red aún no ha confirmado nada, pero la interfaz ya muestra el resultado. Es la interfaz optimista: la que muestra el commit antes de que exista su consecuencia.</w:t>
      </w:r>
    </w:p>
    <w:p>
      <w:pPr>
        <w:spacing w:after="120" w:line="320" w:lineRule="auto"/>
        <w:jc w:val="both"/>
      </w:pPr>
      <w:r>
        <w:rPr>
          <w:rFonts w:ascii="Newsreader" w:hAnsi="Newsreader" w:cs="Newsreader"/>
          <w:b w:val="0"/>
          <w:i w:val="0"/>
          <w:color w:val="161412"/>
        </w:rPr>
        <w:t xml:space="preserve">La gramática tiene doctrina exacta contra esto. El orden del Capítulo 30: la señal de resultado va después del resultado. La implementación de referencia lo escribió como regla del contrato — la confirmación de guardado se declara posterior a la mutación: no se celebra lo que aún no existe—. La interfaz optimista viola esa regla a sabiendas, y a menudo con buenas razones: la latencia percibida se desploma y la conversación fluye.</w:t>
      </w:r>
    </w:p>
    <w:p>
      <w:pPr>
        <w:spacing w:after="120" w:line="320" w:lineRule="auto"/>
        <w:jc w:val="both"/>
      </w:pPr>
      <w:r>
        <w:rPr>
          <w:rFonts w:ascii="Newsreader" w:hAnsi="Newsreader" w:cs="Newsreader"/>
          <w:b w:val="0"/>
          <w:i w:val="0"/>
          <w:color w:val="161412"/>
        </w:rPr>
        <w:t xml:space="preserve">El coste no es la violación: es el evento nuevo que aparece cuando el optimismo falla. La reconciliación. Un </w:t>
      </w:r>
      <w:r>
        <w:rPr>
          <w:rFonts w:ascii="Newsreader" w:hAnsi="Newsreader" w:cs="Newsreader"/>
          <w:b w:val="0"/>
          <w:i/>
          <w:color w:val="161412"/>
        </w:rPr>
        <w:t xml:space="preserve">affirm</w:t>
      </w:r>
      <w:r>
        <w:rPr>
          <w:rFonts w:ascii="Newsreader" w:hAnsi="Newsreader" w:cs="Newsreader"/>
          <w:b w:val="0"/>
          <w:i w:val="0"/>
          <w:color w:val="161412"/>
        </w:rPr>
        <w:t xml:space="preserve"> ya entregado que hay que revocar: el mensaje que no salió, el favorito que no contó. En la gramática es un </w:t>
      </w:r>
      <w:r>
        <w:rPr>
          <w:rFonts w:ascii="Newsreader" w:hAnsi="Newsreader" w:cs="Newsreader"/>
          <w:b w:val="0"/>
          <w:i/>
          <w:color w:val="161412"/>
        </w:rPr>
        <w:t xml:space="preserve">commit.fail + risk</w:t>
      </w:r>
      <w:r>
        <w:rPr>
          <w:rFonts w:ascii="Newsreader" w:hAnsi="Newsreader" w:cs="Newsreader"/>
          <w:b w:val="0"/>
          <w:i w:val="0"/>
          <w:color w:val="161412"/>
        </w:rPr>
        <w:t xml:space="preserve"> — pero llega sobre algo que el usuario dio por fijado, con el orden temporal invertido que el Capítulo 12 enseña a temer. La mayoría de las interfaces optimistas lo resuelven mal: un parpadeo, un mensaje que desaparece sin explicación, un contador que baja solo.</w:t>
      </w:r>
    </w:p>
    <w:p>
      <w:pPr>
        <w:spacing w:after="120" w:line="320" w:lineRule="auto"/>
        <w:jc w:val="both"/>
      </w:pPr>
      <w:r>
        <w:rPr>
          <w:rFonts w:ascii="Newsreader" w:hAnsi="Newsreader" w:cs="Newsreader"/>
          <w:b w:val="0"/>
          <w:i w:val="0"/>
          <w:color w:val="161412"/>
        </w:rPr>
        <w:t xml:space="preserve">Lo que la gramática sí sabe decir: si se anticipa, que se declare. Un commit provisional no debería vestir la firma completa del commit — es, en rigor, un sustain con forma de commit, y su huella puede decirlo: el mensaje en tránsito ligeramente distinto del entregado—. Y la revocación merece diseño de evento de primera clase: huella, explicación y reparación, no un deshacerse en silencio.</w:t>
      </w:r>
    </w:p>
    <w:p>
      <w:pPr>
        <w:spacing w:after="120" w:line="320" w:lineRule="auto"/>
        <w:jc w:val="both"/>
      </w:pPr>
      <w:r>
        <w:rPr>
          <w:rFonts w:ascii="Newsreader" w:hAnsi="Newsreader" w:cs="Newsreader"/>
          <w:b w:val="0"/>
          <w:i w:val="0"/>
          <w:color w:val="161412"/>
        </w:rPr>
        <w:t xml:space="preserve">Queda abierto el nombre. ¿Es el commit provisional un verbo propio — un </w:t>
      </w:r>
      <w:r>
        <w:rPr>
          <w:rFonts w:ascii="Newsreader" w:hAnsi="Newsreader" w:cs="Newsreader"/>
          <w:b w:val="0"/>
          <w:i/>
          <w:color w:val="161412"/>
        </w:rPr>
        <w:t xml:space="preserve">commit.pending</w:t>
      </w:r>
      <w:r>
        <w:rPr>
          <w:rFonts w:ascii="Newsreader" w:hAnsi="Newsreader" w:cs="Newsreader"/>
          <w:b w:val="0"/>
          <w:i w:val="0"/>
          <w:color w:val="161412"/>
        </w:rPr>
        <w:t xml:space="preserve"> que las familias no tienen—, o una mentira útil que sustain ya cubre? La implementación de referencia eligió la disciplina del orden y no nombró el patrón. El patrón, mientras tanto, gobierna media web.</w:t>
      </w:r>
    </w:p>
    <w:p>
      <w:pPr>
        <w:spacing w:before="320" w:after="40"/>
      </w:pPr>
    </w:p>
    <w:p>
      <w:pPr>
        <w:spacing w:before="240" w:after="100"/>
      </w:pPr>
      <w:r>
        <w:rPr>
          <w:rFonts w:ascii="Newsreader" w:hAnsi="Newsreader" w:cs="Newsreader"/>
          <w:i/>
          <w:color w:val="1F3A5F"/>
          <w:sz w:val="28"/>
        </w:rPr>
        <w:t xml:space="preserve">Caso 3 — Skeletons: la espera con forma de promesa</w:t>
      </w:r>
    </w:p>
    <w:p>
      <w:pPr>
        <w:spacing w:after="120" w:line="320" w:lineRule="auto"/>
        <w:jc w:val="both"/>
      </w:pPr>
      <w:r>
        <w:rPr>
          <w:rFonts w:ascii="Newsreader" w:hAnsi="Newsreader" w:cs="Newsreader"/>
          <w:b w:val="0"/>
          <w:i w:val="0"/>
          <w:color w:val="161412"/>
        </w:rPr>
        <w:t xml:space="preserve">Los bloques grises con la silueta del contenido futuro se han vuelto la espera por defecto de la web. La gramática los lee sin esfuerzo aparente: son sustain — un proceso vivo, sin evaluación—. La implementación de referencia lo confirma por contrato: sus indicadores de espera no aceptan intent. La espera no es evaluable; lo evaluable llegará con el resultado.</w:t>
      </w:r>
    </w:p>
    <w:p>
      <w:pPr>
        <w:spacing w:after="120" w:line="320" w:lineRule="auto"/>
        <w:jc w:val="both"/>
      </w:pPr>
      <w:r>
        <w:rPr>
          <w:rFonts w:ascii="Newsreader" w:hAnsi="Newsreader" w:cs="Newsreader"/>
          <w:b w:val="0"/>
          <w:i w:val="0"/>
          <w:color w:val="161412"/>
        </w:rPr>
        <w:t xml:space="preserve">La costura está en la forma. Un spinner sostiene; un skeleton, además, promete. Al tomar la silueta del contenido — tantas líneas, una imagen aquí, un título allá—, el skeleton hace algo que ningún sustain del libro hacía: es la aparición anticipada de otra cosa. Un </w:t>
      </w:r>
      <w:r>
        <w:rPr>
          <w:rFonts w:ascii="Newsreader" w:hAnsi="Newsreader" w:cs="Newsreader"/>
          <w:b w:val="0"/>
          <w:i/>
          <w:color w:val="161412"/>
        </w:rPr>
        <w:t xml:space="preserve">emerge.present</w:t>
      </w:r>
      <w:r>
        <w:rPr>
          <w:rFonts w:ascii="Newsreader" w:hAnsi="Newsreader" w:cs="Newsreader"/>
          <w:b w:val="0"/>
          <w:i w:val="0"/>
          <w:color w:val="161412"/>
        </w:rPr>
        <w:t xml:space="preserve"> prestado, de algo que aún no existe.</w:t>
      </w:r>
    </w:p>
    <w:p>
      <w:pPr>
        <w:spacing w:after="120" w:line="320" w:lineRule="auto"/>
        <w:jc w:val="both"/>
      </w:pPr>
      <w:r>
        <w:rPr>
          <w:rFonts w:ascii="Newsreader" w:hAnsi="Newsreader" w:cs="Newsreader"/>
          <w:b w:val="0"/>
          <w:i w:val="0"/>
          <w:color w:val="161412"/>
        </w:rPr>
        <w:t xml:space="preserve">Y las promesas se rompen. Si lo que llega no coincide con la silueta — el diseño salta, la imagen no estaba, las tres líneas eran seis—, el usuario percibe un fallo que ningún evento declaró. No hay commit.fail: nada falló en el sistema. Falló la forma prestada. La gramática no tiene antipatrón para la promesa incumplida de un skeleton, y debería: es de los fallos semánticos más frecuentes del presente.</w:t>
      </w:r>
    </w:p>
    <w:p>
      <w:pPr>
        <w:spacing w:after="120" w:line="320" w:lineRule="auto"/>
        <w:jc w:val="both"/>
      </w:pPr>
      <w:r>
        <w:rPr>
          <w:rFonts w:ascii="Newsreader" w:hAnsi="Newsreader" w:cs="Newsreader"/>
          <w:b w:val="0"/>
          <w:i w:val="0"/>
          <w:color w:val="161412"/>
        </w:rPr>
        <w:t xml:space="preserve">La regla practicable: la forma prestada es deuda, y solo debe prestarse la que el contenido pueda pagar. Y la transición merece puntuación: el paso de silueta a contenido es la verdadera aparición — el emerge real—, y fundirlo en un reemplazo instantáneo regala el momento perceptivo más informativo de la espera. Queda abierto qué es el skeleton: ¿un verbo de sustain, una composición de sustain y emerge? ¿O el primer miembro de una clase que la gramática aún no tiene — los eventos que anticipan la forma de otros?</w:t>
      </w:r>
    </w:p>
    <w:p>
      <w:pPr>
        <w:spacing w:before="320" w:after="40"/>
      </w:pPr>
    </w:p>
    <w:p>
      <w:pPr>
        <w:spacing w:before="240" w:after="100"/>
      </w:pPr>
      <w:r>
        <w:rPr>
          <w:rFonts w:ascii="Newsreader" w:hAnsi="Newsreader" w:cs="Newsreader"/>
          <w:i/>
          <w:color w:val="1F3A5F"/>
          <w:sz w:val="28"/>
        </w:rPr>
        <w:t xml:space="preserve">Caso 4 — El campo sin fondo: scroll infinito</w:t>
      </w:r>
    </w:p>
    <w:p>
      <w:pPr>
        <w:spacing w:after="120" w:line="320" w:lineRule="auto"/>
        <w:jc w:val="both"/>
      </w:pPr>
      <w:r>
        <w:rPr>
          <w:rFonts w:ascii="Newsreader" w:hAnsi="Newsreader" w:cs="Newsreader"/>
          <w:b w:val="0"/>
          <w:i w:val="0"/>
          <w:color w:val="161412"/>
        </w:rPr>
        <w:t xml:space="preserve">La lista que nunca termina. El usuario desplaza — </w:t>
      </w:r>
      <w:r>
        <w:rPr>
          <w:rFonts w:ascii="Newsreader" w:hAnsi="Newsreader" w:cs="Newsreader"/>
          <w:b w:val="0"/>
          <w:i/>
          <w:color w:val="161412"/>
        </w:rPr>
        <w:t xml:space="preserve">handle.scroll</w:t>
      </w:r>
      <w:r>
        <w:rPr>
          <w:rFonts w:ascii="Newsreader" w:hAnsi="Newsreader" w:cs="Newsreader"/>
          <w:b w:val="0"/>
          <w:i w:val="0"/>
          <w:color w:val="161412"/>
        </w:rPr>
        <w:t xml:space="preserve">, el verbo existe—, y el sistema añade contenido antes de que el borde llegue. No hay petición percibida ni final posible.</w:t>
      </w:r>
    </w:p>
    <w:p>
      <w:pPr>
        <w:spacing w:after="120" w:line="320" w:lineRule="auto"/>
        <w:jc w:val="both"/>
      </w:pPr>
      <w:r>
        <w:rPr>
          <w:rFonts w:ascii="Newsreader" w:hAnsi="Newsreader" w:cs="Newsreader"/>
          <w:b w:val="0"/>
          <w:i w:val="0"/>
          <w:color w:val="161412"/>
        </w:rPr>
        <w:t xml:space="preserve">La gramática nombra las piezas: un handle continuo, sustains breves de carga, un emerge por cada lote. Lo que el scroll infinito elimina es otra cosa: el commit de término. Nunca ocurre «esto ha acabado». La familia que registra consecuencias se queda sin trabajo en la interfaz donde el usuario más horas pasa. Y esa ausencia no es neutra: es el diseño el que decide que no haya cierre que percibir.</w:t>
      </w:r>
    </w:p>
    <w:p>
      <w:pPr>
        <w:spacing w:after="120" w:line="320" w:lineRule="auto"/>
        <w:jc w:val="both"/>
      </w:pPr>
      <w:r>
        <w:rPr>
          <w:rFonts w:ascii="Newsreader" w:hAnsi="Newsreader" w:cs="Newsreader"/>
          <w:b w:val="0"/>
          <w:i w:val="0"/>
          <w:color w:val="161412"/>
        </w:rPr>
        <w:t xml:space="preserve">Hay más costuras. La carga se dispara por un gesto que el usuario no hizo como petición: desplazarse no es pedir más, y sin embargo trae más. Contenido que llega sin contacto que lo justifique; respuesta sin pregunta. Y el campo sin fondo roba la huella espacial: el «dónde estaba yo» con el que shift devuelve al usuario a su sitio no existe donde el territorio crece bajo los pies.</w:t>
      </w:r>
    </w:p>
    <w:p>
      <w:pPr>
        <w:spacing w:after="120" w:line="320" w:lineRule="auto"/>
        <w:jc w:val="both"/>
      </w:pPr>
      <w:r>
        <w:rPr>
          <w:rFonts w:ascii="Newsreader" w:hAnsi="Newsreader" w:cs="Newsreader"/>
          <w:b w:val="0"/>
          <w:i w:val="0"/>
          <w:color w:val="161412"/>
        </w:rPr>
        <w:t xml:space="preserve">Lo decible hoy: puntuar los umbrales — cada lote nuevo merece su emerge, no una continuidad fingida—, y devolver el término cuando exista: «has llegado al final» es un commit, y merece firma, no silencio. Queda abierta la pregunta grande. ¿Es el campo sin fondo un antipatrón en sí — una interfaz diseñada para que nada se perciba como consecuencia—? ¿O un régimen legítimo, con reglas propias que este libro no ha escrito?</w:t>
      </w:r>
    </w:p>
    <w:p>
      <w:pPr>
        <w:spacing w:before="320" w:after="40"/>
      </w:pPr>
    </w:p>
    <w:p>
      <w:pPr>
        <w:spacing w:before="240" w:after="100"/>
      </w:pPr>
      <w:r>
        <w:rPr>
          <w:rFonts w:ascii="Newsreader" w:hAnsi="Newsreader" w:cs="Newsreader"/>
          <w:i/>
          <w:color w:val="1F3A5F"/>
          <w:sz w:val="28"/>
        </w:rPr>
        <w:t xml:space="preserve">Caso 5 — El otro que edita: colaboración en vivo</w:t>
      </w:r>
    </w:p>
    <w:p>
      <w:pPr>
        <w:spacing w:after="120" w:line="320" w:lineRule="auto"/>
        <w:jc w:val="both"/>
      </w:pPr>
      <w:r>
        <w:rPr>
          <w:rFonts w:ascii="Newsreader" w:hAnsi="Newsreader" w:cs="Newsreader"/>
          <w:b w:val="0"/>
          <w:i w:val="0"/>
          <w:color w:val="161412"/>
        </w:rPr>
        <w:t xml:space="preserve">Un documento compartido. Otro cursor se mueve, un párrafo cambia solo, una selección ajena ilumina un titular. La gramática de este libro reparte todos sus eventos entre dos actores — el usuario y el sistema—, y aquí actúa un tercero que no es ninguno de los dos.</w:t>
      </w:r>
    </w:p>
    <w:p>
      <w:pPr>
        <w:spacing w:after="120" w:line="320" w:lineRule="auto"/>
        <w:jc w:val="both"/>
      </w:pPr>
      <w:r>
        <w:rPr>
          <w:rFonts w:ascii="Newsreader" w:hAnsi="Newsreader" w:cs="Newsreader"/>
          <w:b w:val="0"/>
          <w:i w:val="0"/>
          <w:color w:val="161412"/>
        </w:rPr>
        <w:t xml:space="preserve">No es delegate, y conviene decirlo pronto. El colaborador no actúa </w:t>
      </w:r>
      <w:r>
        <w:rPr>
          <w:rFonts w:ascii="Newsreader" w:hAnsi="Newsreader" w:cs="Newsreader"/>
          <w:b w:val="0"/>
          <w:i/>
          <w:color w:val="161412"/>
        </w:rPr>
        <w:t xml:space="preserve">por cuenta de</w:t>
      </w:r>
      <w:r>
        <w:rPr>
          <w:rFonts w:ascii="Newsreader" w:hAnsi="Newsreader" w:cs="Newsreader"/>
          <w:b w:val="0"/>
          <w:i w:val="0"/>
          <w:color w:val="161412"/>
        </w:rPr>
        <w:t xml:space="preserve"> nadie: actúa por cuenta propia sobre un espacio común. La pregunta de delegate — ¿quién actúa? — sirve; su estructura — la dirección de la delegación — no. Sus acciones llegan además con una rareza perceptiva: son emerge y commit sin contact previo del receptor. Eventos con autor pero sin gesto local: el párrafo cambia y nadie de este lado lo tocó.</w:t>
      </w:r>
    </w:p>
    <w:p>
      <w:pPr>
        <w:spacing w:after="120" w:line="320" w:lineRule="auto"/>
        <w:jc w:val="both"/>
      </w:pPr>
      <w:r>
        <w:rPr>
          <w:rFonts w:ascii="Newsreader" w:hAnsi="Newsreader" w:cs="Newsreader"/>
          <w:b w:val="0"/>
          <w:i w:val="0"/>
          <w:color w:val="161412"/>
        </w:rPr>
        <w:t xml:space="preserve">Con las piezas existentes se llega lejos. La presencia ajena es un </w:t>
      </w:r>
      <w:r>
        <w:rPr>
          <w:rFonts w:ascii="Newsreader" w:hAnsi="Newsreader" w:cs="Newsreader"/>
          <w:b w:val="0"/>
          <w:i/>
          <w:color w:val="161412"/>
        </w:rPr>
        <w:t xml:space="preserve">emerge.present</w:t>
      </w:r>
      <w:r>
        <w:rPr>
          <w:rFonts w:ascii="Newsreader" w:hAnsi="Newsreader" w:cs="Newsreader"/>
          <w:b w:val="0"/>
          <w:i w:val="0"/>
          <w:color w:val="161412"/>
        </w:rPr>
        <w:t xml:space="preserve"> persistente — está aquí—. Su actividad, un signal de baja intensidad — hace algo—. Sus consecuencias, commits con autoría atribuida — lo hizo ella—. La atribución de agencia del Capítulo 29 hace el trabajo duro: mientras cada cambio tenga autor perceptible, el espacio compartido se mantiene legible.</w:t>
      </w:r>
    </w:p>
    <w:p>
      <w:pPr>
        <w:spacing w:after="120" w:line="320" w:lineRule="auto"/>
        <w:jc w:val="both"/>
      </w:pPr>
      <w:r>
        <w:rPr>
          <w:rFonts w:ascii="Newsreader" w:hAnsi="Newsreader" w:cs="Newsreader"/>
          <w:b w:val="0"/>
          <w:i w:val="0"/>
          <w:color w:val="161412"/>
        </w:rPr>
        <w:t xml:space="preserve">Lo que queda abierto es la pregunta de fondo: ¿merece la presencia de otro agente humano una familia propia? Los criterios del Capítulo 7 dan señales a favor — una pregunta perceptiva recurrente («¿quién más está aquí y qué hace?»), diferenciabilidad, recurrencia creciente—. Este libro la deja formulada y sin conceder: añadir una familia es caro, y la novena tendría que pagar el precio que las ocho pagaron.</w:t>
      </w:r>
    </w:p>
    <w:p>
      <w:pPr>
        <w:spacing w:before="320" w:after="40"/>
      </w:pPr>
    </w:p>
    <w:p>
      <w:pPr>
        <w:spacing w:before="240" w:after="100"/>
      </w:pPr>
      <w:r>
        <w:rPr>
          <w:rFonts w:ascii="Newsreader" w:hAnsi="Newsreader" w:cs="Newsreader"/>
          <w:i/>
          <w:color w:val="1F3A5F"/>
          <w:sz w:val="28"/>
        </w:rPr>
        <w:t xml:space="preserve">Caso 6 — La notificación que emigra: eventos a nivel de sistema</w:t>
      </w:r>
    </w:p>
    <w:p>
      <w:pPr>
        <w:spacing w:after="120" w:line="320" w:lineRule="auto"/>
        <w:jc w:val="both"/>
      </w:pPr>
      <w:r>
        <w:rPr>
          <w:rFonts w:ascii="Newsreader" w:hAnsi="Newsreader" w:cs="Newsreader"/>
          <w:b w:val="0"/>
          <w:i w:val="0"/>
          <w:color w:val="161412"/>
        </w:rPr>
        <w:t xml:space="preserve">La aplicación quiere avisar y el usuario no está en ella. El evento emigra: lo mostrará el sistema operativo, con su banner, su sonido y sus reglas. Es el único caso del libro en que la firma perceptiva la ejecuta otro.</w:t>
      </w:r>
    </w:p>
    <w:p>
      <w:pPr>
        <w:spacing w:after="120" w:line="320" w:lineRule="auto"/>
        <w:jc w:val="both"/>
      </w:pPr>
      <w:r>
        <w:rPr>
          <w:rFonts w:ascii="Newsreader" w:hAnsi="Newsreader" w:cs="Newsreader"/>
          <w:b w:val="0"/>
          <w:i w:val="0"/>
          <w:color w:val="161412"/>
        </w:rPr>
        <w:t xml:space="preserve">La gramática viaja bien hasta la frontera. El evento sigue siendo lo que era — un signal.notify, un commit.complete + fulfill—. Lo que no cruza la frontera es la firma. El sistema aplana los intents — el mismo banner para la celebración y para la amenaza—. Decide el sonido por su cuenta. Y deja la persistencia en manos de los ajustes del usuario. Es la migración semántica del Capítulo 19, pero forzada y hacia un canal que la aplicación no gobierna: la firma ya no se declara; se negocia.</w:t>
      </w:r>
    </w:p>
    <w:p>
      <w:pPr>
        <w:spacing w:after="120" w:line="320" w:lineRule="auto"/>
        <w:jc w:val="both"/>
      </w:pPr>
      <w:r>
        <w:rPr>
          <w:rFonts w:ascii="Newsreader" w:hAnsi="Newsreader" w:cs="Newsreader"/>
          <w:b w:val="0"/>
          <w:i w:val="0"/>
          <w:color w:val="161412"/>
        </w:rPr>
        <w:t xml:space="preserve">Dos disciplinas sobreviven al aplanado. La primera: el texto es el único canal que cruza intacto — el intent debe poder leerse en las palabras, porque nada más lo llevará—. La segunda: la vuelta se re-puntúa. Cuando el usuario entra desde la notificación, la aplicación debe reconstruir la huella: qué ocurrió, dónde, con qué consecuencia. La ocurrencia se gastó en una superficie ajena; el estado es lo único que queda.</w:t>
      </w:r>
    </w:p>
    <w:p>
      <w:pPr>
        <w:spacing w:after="120" w:line="320" w:lineRule="auto"/>
        <w:jc w:val="both"/>
      </w:pPr>
      <w:r>
        <w:rPr>
          <w:rFonts w:ascii="Newsreader" w:hAnsi="Newsreader" w:cs="Newsreader"/>
          <w:b w:val="0"/>
          <w:i w:val="0"/>
          <w:color w:val="161412"/>
        </w:rPr>
        <w:t xml:space="preserve">Abierto queda el problema entero: la coordinación </w:t>
      </w:r>
      <w:r>
        <w:rPr>
          <w:rFonts w:ascii="Newsreader" w:hAnsi="Newsreader" w:cs="Newsreader"/>
          <w:b w:val="0"/>
          <w:i/>
          <w:color w:val="161412"/>
        </w:rPr>
        <w:t xml:space="preserve">entre</w:t>
      </w:r>
      <w:r>
        <w:rPr>
          <w:rFonts w:ascii="Newsreader" w:hAnsi="Newsreader" w:cs="Newsreader"/>
          <w:b w:val="0"/>
          <w:i w:val="0"/>
          <w:color w:val="161412"/>
        </w:rPr>
        <w:t xml:space="preserve"> gramáticas. El Capítulo 20 enseña a coordinar canales dentro de una superficie; nadie ha escrito cómo se coordinan dos superficies con dueños distintos. Mientras tanto, la regla honesta es de humildad: diseñar la notificación como si solo existiera su texto, y tratar todo lo demás como regalo revocable.</w:t>
      </w:r>
    </w:p>
    <w:p>
      <w:pPr>
        <w:spacing w:before="320" w:after="40"/>
      </w:pPr>
    </w:p>
    <w:p>
      <w:pPr>
        <w:spacing w:before="240" w:after="100"/>
      </w:pPr>
      <w:r>
        <w:rPr>
          <w:rFonts w:ascii="Newsreader" w:hAnsi="Newsreader" w:cs="Newsreader"/>
          <w:i/>
          <w:color w:val="1F3A5F"/>
          <w:sz w:val="28"/>
        </w:rPr>
        <w:t xml:space="preserve">Caso 7 — Voz y XR, brevemente</w:t>
      </w:r>
    </w:p>
    <w:p>
      <w:pPr>
        <w:spacing w:after="120" w:line="320" w:lineRule="auto"/>
        <w:jc w:val="both"/>
      </w:pPr>
      <w:r>
        <w:rPr>
          <w:rFonts w:ascii="Newsreader" w:hAnsi="Newsreader" w:cs="Newsreader"/>
          <w:b w:val="0"/>
          <w:i w:val="0"/>
          <w:color w:val="161412"/>
        </w:rPr>
        <w:t xml:space="preserve">Dos fronteras más lejanas merecen párrafo, no capítulo. La interfaz de voz no tiene superficie persistente: la doctrina de las dos superficies — ocurrencia y estado — pierde la mitad, porque todo es ocurrencia. La huella no tiene dónde vivir. Los commits piden eco explícito — «borrado» dicho, no supuesto—, y cada sustain carga sobre la memoria del usuario lo que una barra de progreso llevaría por él. Una gramática sin estado consultable es posible, pero es otra gramática: más ceremoniosa, más redundante, y con razón.</w:t>
      </w:r>
    </w:p>
    <w:p>
      <w:pPr>
        <w:spacing w:after="120" w:line="320" w:lineRule="auto"/>
        <w:jc w:val="both"/>
      </w:pPr>
      <w:r>
        <w:rPr>
          <w:rFonts w:ascii="Newsreader" w:hAnsi="Newsreader" w:cs="Newsreader"/>
          <w:b w:val="0"/>
          <w:i w:val="0"/>
          <w:color w:val="161412"/>
        </w:rPr>
        <w:t xml:space="preserve">En XR ocurre lo contrario: los canales se vuelven literales. La presencia y la profundidad dejan de ser metáfora sobre un plano y pasan a ser el espacio mismo; un objeto que se acerca deprisa es un threat corporal antes que uno semántico. La carga paradigmática del Capítulo 10 opera aquí con materia prima real — el sobresalto no es convención: es reflejo—. La gramática gana potencia expresiva y pierde inocencia: en XR, equivocar un intent no confunde; asusta. Ambos casos quedan anotados como fronteras del medio, no como deudas del libro: cruzarlas pediría los capítulos de canal reescritos para otro cuerpo.</w:t>
      </w:r>
    </w:p>
    <w:p>
      <w:pPr>
        <w:spacing w:before="320" w:after="40"/>
      </w:pPr>
    </w:p>
    <w:p>
      <w:pPr>
        <w:spacing w:after="160" w:line="240" w:lineRule="auto"/>
      </w:pPr>
      <w:r>
        <w:rPr>
          <w:rFonts w:ascii="Newsreader" w:hAnsi="Newsreader" w:cs="Newsreader"/>
          <w:color w:val="161412"/>
          <w:sz w:val="38"/>
        </w:rPr>
        <w:t xml:space="preserve">Lo que los siete casos enseñan juntos</w:t>
      </w:r>
    </w:p>
    <w:p>
      <w:pPr>
        <w:spacing w:after="120" w:line="320" w:lineRule="auto"/>
        <w:jc w:val="both"/>
      </w:pPr>
      <w:r>
        <w:rPr>
          <w:rFonts w:ascii="Newsreader" w:hAnsi="Newsreader" w:cs="Newsreader"/>
          <w:b w:val="0"/>
          <w:i w:val="0"/>
          <w:color w:val="161412"/>
        </w:rPr>
        <w:t xml:space="preserve">Vistos en fila, los casos comparten un patrón que vale más que cada uno. La gramática no falla por falta de nombres: casi todo lo nombrable estaba nombrado. Falla — suda — en las costuras: el flujo que no cierra, la promesa con forma, el autor sin gesto, la superficie ajena, el campo sin fondo. Son problemas de junta, no de pieza.</w:t>
      </w:r>
    </w:p>
    <w:p>
      <w:pPr>
        <w:spacing w:after="120" w:line="320" w:lineRule="auto"/>
        <w:jc w:val="both"/>
      </w:pPr>
      <w:r>
        <w:rPr>
          <w:rFonts w:ascii="Newsreader" w:hAnsi="Newsreader" w:cs="Newsreader"/>
          <w:b w:val="0"/>
          <w:i w:val="0"/>
          <w:color w:val="161412"/>
        </w:rPr>
        <w:t xml:space="preserve">Y eso es una buena noticia disfrazada. Las piezas aguantan; lo que falta es doctrina de composición para regímenes nuevos — exactamente el tipo de trabajo que una gramática provisional promete hacer—. Cada caso queda aquí con su parte resuelta, su costura señalada y su pregunta abierta. Cuando alguna se cierre, este apéndice habrá cumplido: era el mapa de la frontera, no la frontera.</w:t>
      </w:r>
    </w:p>
    <w:p>
      <w:pPr>
        <w:spacing w:before="160" w:after="40"/>
        <w:pBdr>
          <w:left w:val="single" w:sz="18" w:space="12" w:color="1F3A5F"/>
        </w:pBdr>
      </w:pPr>
      <w:r>
        <w:rPr>
          <w:rFonts w:ascii="IBM Plex Sans" w:hAnsi="IBM Plex Sans" w:cs="IBM Plex Sans"/>
          <w:b/>
          <w:color w:val="1F3A5F"/>
          <w:sz w:val="16"/>
        </w:rPr>
        <w:t xml:space="preserve">PRINCIPIO</w:t>
      </w:r>
    </w:p>
    <w:p>
      <w:pPr>
        <w:spacing w:after="120" w:line="312" w:lineRule="auto"/>
        <w:pBdr>
          <w:left w:val="single" w:sz="18" w:space="12" w:color="1F3A5F"/>
        </w:pBdr>
      </w:pPr>
      <w:r>
        <w:rPr>
          <w:rFonts w:ascii="Newsreader" w:hAnsi="Newsreader" w:cs="Newsreader"/>
          <w:b w:val="0"/>
          <w:i/>
          <w:color w:val="3A352F"/>
        </w:rPr>
        <w:t xml:space="preserve">La gramática no falla por falta de nombres: suda en las costuras. Y una costura señalada es trabajo por hacer, no vergüenza que esconder.</w:t>
      </w:r>
    </w:p>
    <w:p>
      <w:pPr>
        <w:spacing w:after="60" w:line="240" w:lineRule="auto"/>
      </w:pPr>
      <w:r>
        <w:rPr>
          <w:rFonts w:ascii="Newsreader" w:hAnsi="Newsreader" w:cs="Newsreader"/>
          <w:color w:val="161412"/>
          <w:sz w:val="60"/>
        </w:rPr>
        <w:t>Glosario</w:t>
      </w:r>
    </w:p>
    <w:p>
      <w:pPr>
        <w:pBdr>
          <w:bottom w:val="single" w:sz="4" w:space="4" w:color="1F3A5F"/>
        </w:pBdr>
      </w:pPr>
    </w:p>
    <w:p>
      <w:pPr>
        <w:spacing w:after="120" w:line="320" w:lineRule="auto"/>
        <w:jc w:val="both"/>
      </w:pPr>
      <w:r>
        <w:rPr>
          <w:rFonts w:ascii="Newsreader" w:hAnsi="Newsreader" w:cs="Newsreader"/>
          <w:b/>
          <w:i w:val="0"/>
          <w:color w:val="161412"/>
        </w:rPr>
        <w:t xml:space="preserve">Contexto operativo: </w:t>
      </w:r>
      <w:r>
        <w:rPr>
          <w:rFonts w:ascii="Newsreader" w:hAnsi="Newsreader" w:cs="Newsreader"/>
          <w:b w:val="0"/>
          <w:i w:val="0"/>
          <w:color w:val="161412"/>
        </w:rPr>
        <w:t>Conjunto de información del sistema, estados visibles, restricciones y operaciones disponibles que determinan qué puede hacer el usuario, qué significa cada acción y qué resultado puede producir.</w:t>
      </w:r>
    </w:p>
    <w:p>
      <w:pPr>
        <w:spacing w:after="120" w:line="320" w:lineRule="auto"/>
        <w:jc w:val="both"/>
      </w:pPr>
      <w:r>
        <w:rPr>
          <w:rFonts w:ascii="Newsreader" w:hAnsi="Newsreader" w:cs="Newsreader"/>
          <w:b/>
          <w:i w:val="0"/>
          <w:color w:val="161412"/>
        </w:rPr>
        <w:t xml:space="preserve">Interfaz: </w:t>
      </w:r>
      <w:r>
        <w:rPr>
          <w:rFonts w:ascii="Newsreader" w:hAnsi="Newsreader" w:cs="Newsreader"/>
          <w:b w:val="0"/>
          <w:i w:val="0"/>
          <w:color w:val="161412"/>
        </w:rPr>
        <w:t>Medio por el que una persona percibe, interpreta y actúa sobre un contexto operativo.</w:t>
      </w:r>
    </w:p>
    <w:p>
      <w:pPr>
        <w:spacing w:after="120" w:line="320" w:lineRule="auto"/>
        <w:jc w:val="both"/>
      </w:pPr>
      <w:r>
        <w:rPr>
          <w:rFonts w:ascii="Newsreader" w:hAnsi="Newsreader" w:cs="Newsreader"/>
          <w:b/>
          <w:i w:val="0"/>
          <w:color w:val="161412"/>
        </w:rPr>
        <w:t xml:space="preserve">Evento: </w:t>
      </w:r>
      <w:r>
        <w:rPr>
          <w:rFonts w:ascii="Newsreader" w:hAnsi="Newsreader" w:cs="Newsreader"/>
          <w:b w:val="0"/>
          <w:i w:val="0"/>
          <w:color w:val="161412"/>
        </w:rPr>
        <w:t>Cambio perceptible del contexto operativo que afecta a lo que el usuario puede hacer, debe atender o necesita interpretar.</w:t>
      </w:r>
    </w:p>
    <w:p>
      <w:pPr>
        <w:spacing w:after="120" w:line="320" w:lineRule="auto"/>
        <w:jc w:val="both"/>
      </w:pPr>
      <w:r>
        <w:rPr>
          <w:rFonts w:ascii="Newsreader" w:hAnsi="Newsreader" w:cs="Newsreader"/>
          <w:b/>
          <w:i w:val="0"/>
          <w:color w:val="161412"/>
        </w:rPr>
        <w:t xml:space="preserve">Evento técnico: </w:t>
      </w:r>
      <w:r>
        <w:rPr>
          <w:rFonts w:ascii="Newsreader" w:hAnsi="Newsreader" w:cs="Newsreader"/>
          <w:b w:val="0"/>
          <w:i w:val="0"/>
          <w:color w:val="161412"/>
        </w:rPr>
        <w:t>Ocurrencia registrada por el sistema, como click, submit, change o dragstart.</w:t>
      </w:r>
    </w:p>
    <w:p>
      <w:pPr>
        <w:spacing w:after="120" w:line="320" w:lineRule="auto"/>
        <w:jc w:val="both"/>
      </w:pPr>
      <w:r>
        <w:rPr>
          <w:rFonts w:ascii="Newsreader" w:hAnsi="Newsreader" w:cs="Newsreader"/>
          <w:b/>
          <w:i w:val="0"/>
          <w:color w:val="161412"/>
        </w:rPr>
        <w:t xml:space="preserve">Unidad básica de cambio: </w:t>
      </w:r>
      <w:r>
        <w:rPr>
          <w:rFonts w:ascii="Newsreader" w:hAnsi="Newsreader" w:cs="Newsreader"/>
          <w:b w:val="0"/>
          <w:i w:val="0"/>
          <w:color w:val="161412"/>
        </w:rPr>
        <w:t>Función del evento dentro de la gramática: no el fragmento más pequeño, sino la unidad desde la que se analiza qué cambió para el usuario.</w:t>
      </w:r>
    </w:p>
    <w:p>
      <w:pPr>
        <w:spacing w:after="120" w:line="320" w:lineRule="auto"/>
        <w:jc w:val="both"/>
      </w:pPr>
      <w:r>
        <w:rPr>
          <w:rFonts w:ascii="Newsreader" w:hAnsi="Newsreader" w:cs="Newsreader"/>
          <w:b/>
          <w:i w:val="0"/>
          <w:color w:val="161412"/>
        </w:rPr>
        <w:t xml:space="preserve">Gramática de eventos: </w:t>
      </w:r>
      <w:r>
        <w:rPr>
          <w:rFonts w:ascii="Newsreader" w:hAnsi="Newsreader" w:cs="Newsreader"/>
          <w:b w:val="0"/>
          <w:i w:val="0"/>
          <w:color w:val="161412"/>
        </w:rPr>
        <w:t>Sistema de diferencias, relaciones y reglas de composición que permite hacer reconocibles clases significativas de cambio.</w:t>
      </w:r>
    </w:p>
    <w:p>
      <w:pPr>
        <w:spacing w:after="120" w:line="320" w:lineRule="auto"/>
        <w:jc w:val="both"/>
      </w:pPr>
      <w:r>
        <w:rPr>
          <w:rFonts w:ascii="Newsreader" w:hAnsi="Newsreader" w:cs="Newsreader"/>
          <w:b/>
          <w:i w:val="0"/>
          <w:color w:val="161412"/>
        </w:rPr>
        <w:t xml:space="preserve">Familia semántica: </w:t>
      </w:r>
      <w:r>
        <w:rPr>
          <w:rFonts w:ascii="Newsreader" w:hAnsi="Newsreader" w:cs="Newsreader"/>
          <w:b w:val="0"/>
          <w:i w:val="0"/>
          <w:color w:val="161412"/>
        </w:rPr>
        <w:t>Clase recurrente de evento que responde a una pregunta estable del usuario.</w:t>
      </w:r>
    </w:p>
    <w:p>
      <w:pPr>
        <w:spacing w:after="120" w:line="320" w:lineRule="auto"/>
        <w:jc w:val="both"/>
      </w:pPr>
      <w:r>
        <w:rPr>
          <w:rFonts w:ascii="Newsreader" w:hAnsi="Newsreader" w:cs="Newsreader"/>
          <w:b/>
          <w:i w:val="0"/>
          <w:color w:val="161412"/>
        </w:rPr>
        <w:t xml:space="preserve">Interacción semántica: </w:t>
      </w:r>
      <w:r>
        <w:rPr>
          <w:rFonts w:ascii="Newsreader" w:hAnsi="Newsreader" w:cs="Newsreader"/>
          <w:b w:val="0"/>
          <w:i w:val="0"/>
          <w:color w:val="161412"/>
        </w:rPr>
        <w:t>Forma recurrente con la que una interfaz hace reconocible una familia de evento.</w:t>
      </w:r>
    </w:p>
    <w:p>
      <w:pPr>
        <w:spacing w:after="120" w:line="320" w:lineRule="auto"/>
        <w:jc w:val="both"/>
      </w:pPr>
      <w:r>
        <w:rPr>
          <w:rFonts w:ascii="Newsreader" w:hAnsi="Newsreader" w:cs="Newsreader"/>
          <w:b/>
          <w:i w:val="0"/>
          <w:color w:val="161412"/>
        </w:rPr>
        <w:t xml:space="preserve">Firma de expresión: </w:t>
      </w:r>
      <w:r>
        <w:rPr>
          <w:rFonts w:ascii="Newsreader" w:hAnsi="Newsreader" w:cs="Newsreader"/>
          <w:b w:val="0"/>
          <w:i w:val="0"/>
          <w:color w:val="161412"/>
        </w:rPr>
        <w:t>Configuración concreta de canales, intensidad, duración, persistencia y huella con la que se expresa un evento.</w:t>
      </w:r>
    </w:p>
    <w:p>
      <w:pPr>
        <w:spacing w:after="120" w:line="320" w:lineRule="auto"/>
        <w:jc w:val="both"/>
      </w:pPr>
      <w:r>
        <w:rPr>
          <w:rFonts w:ascii="Newsreader" w:hAnsi="Newsreader" w:cs="Newsreader"/>
          <w:b/>
          <w:i w:val="0"/>
          <w:color w:val="161412"/>
        </w:rPr>
        <w:t xml:space="preserve">Intent: </w:t>
      </w:r>
      <w:r>
        <w:rPr>
          <w:rFonts w:ascii="Newsreader" w:hAnsi="Newsreader" w:cs="Newsreader"/>
          <w:b w:val="0"/>
          <w:i w:val="0"/>
          <w:color w:val="161412"/>
        </w:rPr>
        <w:t>Valoración que declara un evento sobre cómo debe percibirse: neutral, affirm, fulfill, risk, threat o loss.</w:t>
      </w:r>
    </w:p>
    <w:p>
      <w:pPr>
        <w:spacing w:after="120" w:line="320" w:lineRule="auto"/>
        <w:jc w:val="both"/>
      </w:pPr>
      <w:r>
        <w:rPr>
          <w:rFonts w:ascii="Newsreader" w:hAnsi="Newsreader" w:cs="Newsreader"/>
          <w:b/>
          <w:i w:val="0"/>
          <w:color w:val="161412"/>
        </w:rPr>
        <w:t xml:space="preserve">Canales de expresión: </w:t>
      </w:r>
      <w:r>
        <w:rPr>
          <w:rFonts w:ascii="Newsreader" w:hAnsi="Newsreader" w:cs="Newsreader"/>
          <w:b w:val="0"/>
          <w:i w:val="0"/>
          <w:color w:val="161412"/>
        </w:rPr>
        <w:t>Vías por las que un evento se hace perceptible: tiempo, motion, presencia, profundidad, forma, color, sonido y háptica.</w:t>
      </w:r>
    </w:p>
    <w:p>
      <w:pPr>
        <w:spacing w:after="120" w:line="320" w:lineRule="auto"/>
        <w:jc w:val="both"/>
      </w:pPr>
      <w:r>
        <w:rPr>
          <w:rFonts w:ascii="Newsreader" w:hAnsi="Newsreader" w:cs="Newsreader"/>
          <w:b/>
          <w:i w:val="0"/>
          <w:color w:val="161412"/>
        </w:rPr>
        <w:t xml:space="preserve">Contact: </w:t>
      </w:r>
      <w:r>
        <w:rPr>
          <w:rFonts w:ascii="Newsreader" w:hAnsi="Newsreader" w:cs="Newsreader"/>
          <w:b w:val="0"/>
          <w:i w:val="0"/>
          <w:color w:val="161412"/>
        </w:rPr>
        <w:t>Familia que comunica que el sistema ha sentido una acción.</w:t>
      </w:r>
    </w:p>
    <w:p>
      <w:pPr>
        <w:spacing w:after="120" w:line="320" w:lineRule="auto"/>
        <w:jc w:val="both"/>
      </w:pPr>
      <w:r>
        <w:rPr>
          <w:rFonts w:ascii="Newsreader" w:hAnsi="Newsreader" w:cs="Newsreader"/>
          <w:b/>
          <w:i w:val="0"/>
          <w:color w:val="161412"/>
        </w:rPr>
        <w:t xml:space="preserve">Commit: </w:t>
      </w:r>
      <w:r>
        <w:rPr>
          <w:rFonts w:ascii="Newsreader" w:hAnsi="Newsreader" w:cs="Newsreader"/>
          <w:b w:val="0"/>
          <w:i w:val="0"/>
          <w:color w:val="161412"/>
        </w:rPr>
        <w:t>Familia que comunica que un resultado se ha aplicado, fallado, completado o perdido.</w:t>
      </w:r>
    </w:p>
    <w:p>
      <w:pPr>
        <w:spacing w:after="120" w:line="320" w:lineRule="auto"/>
        <w:jc w:val="both"/>
      </w:pPr>
      <w:r>
        <w:rPr>
          <w:rFonts w:ascii="Newsreader" w:hAnsi="Newsreader" w:cs="Newsreader"/>
          <w:b/>
          <w:i w:val="0"/>
          <w:color w:val="161412"/>
        </w:rPr>
        <w:t xml:space="preserve">Signal: </w:t>
      </w:r>
      <w:r>
        <w:rPr>
          <w:rFonts w:ascii="Newsreader" w:hAnsi="Newsreader" w:cs="Newsreader"/>
          <w:b w:val="0"/>
          <w:i w:val="0"/>
          <w:color w:val="161412"/>
        </w:rPr>
        <w:t>Familia que reclama atención.</w:t>
      </w:r>
    </w:p>
    <w:p>
      <w:pPr>
        <w:spacing w:after="120" w:line="320" w:lineRule="auto"/>
        <w:jc w:val="both"/>
      </w:pPr>
      <w:r>
        <w:rPr>
          <w:rFonts w:ascii="Newsreader" w:hAnsi="Newsreader" w:cs="Newsreader"/>
          <w:b/>
          <w:i w:val="0"/>
          <w:color w:val="161412"/>
        </w:rPr>
        <w:t xml:space="preserve">Handle: </w:t>
      </w:r>
      <w:r>
        <w:rPr>
          <w:rFonts w:ascii="Newsreader" w:hAnsi="Newsreader" w:cs="Newsreader"/>
          <w:b w:val="0"/>
          <w:i w:val="0"/>
          <w:color w:val="161412"/>
        </w:rPr>
        <w:t>Familia de manipulación directa.</w:t>
      </w:r>
    </w:p>
    <w:p>
      <w:pPr>
        <w:spacing w:after="120" w:line="320" w:lineRule="auto"/>
        <w:jc w:val="both"/>
      </w:pPr>
      <w:r>
        <w:rPr>
          <w:rFonts w:ascii="Newsreader" w:hAnsi="Newsreader" w:cs="Newsreader"/>
          <w:b/>
          <w:i w:val="0"/>
          <w:color w:val="161412"/>
        </w:rPr>
        <w:t xml:space="preserve">Emerge: </w:t>
      </w:r>
      <w:r>
        <w:rPr>
          <w:rFonts w:ascii="Newsreader" w:hAnsi="Newsreader" w:cs="Newsreader"/>
          <w:b w:val="0"/>
          <w:i w:val="0"/>
          <w:color w:val="161412"/>
        </w:rPr>
        <w:t>Familia de aparición, retirada o disponibilidad.</w:t>
      </w:r>
    </w:p>
    <w:p>
      <w:pPr>
        <w:spacing w:after="120" w:line="320" w:lineRule="auto"/>
        <w:jc w:val="both"/>
      </w:pPr>
      <w:r>
        <w:rPr>
          <w:rFonts w:ascii="Newsreader" w:hAnsi="Newsreader" w:cs="Newsreader"/>
          <w:b/>
          <w:i w:val="0"/>
          <w:color w:val="161412"/>
        </w:rPr>
        <w:t xml:space="preserve">Shift: </w:t>
      </w:r>
      <w:r>
        <w:rPr>
          <w:rFonts w:ascii="Newsreader" w:hAnsi="Newsreader" w:cs="Newsreader"/>
          <w:b w:val="0"/>
          <w:i w:val="0"/>
          <w:color w:val="161412"/>
        </w:rPr>
        <w:t>Familia de cambio de contexto.</w:t>
      </w:r>
    </w:p>
    <w:p>
      <w:pPr>
        <w:spacing w:after="120" w:line="320" w:lineRule="auto"/>
        <w:jc w:val="both"/>
      </w:pPr>
      <w:r>
        <w:rPr>
          <w:rFonts w:ascii="Newsreader" w:hAnsi="Newsreader" w:cs="Newsreader"/>
          <w:b/>
          <w:i w:val="0"/>
          <w:color w:val="161412"/>
        </w:rPr>
        <w:t xml:space="preserve">Sustain: </w:t>
      </w:r>
      <w:r>
        <w:rPr>
          <w:rFonts w:ascii="Newsreader" w:hAnsi="Newsreader" w:cs="Newsreader"/>
          <w:b w:val="0"/>
          <w:i w:val="0"/>
          <w:color w:val="161412"/>
        </w:rPr>
        <w:t>Familia de continuidad o proceso en curso.</w:t>
      </w:r>
    </w:p>
    <w:p>
      <w:pPr>
        <w:spacing w:after="120" w:line="320" w:lineRule="auto"/>
        <w:jc w:val="both"/>
      </w:pPr>
      <w:r>
        <w:rPr>
          <w:rFonts w:ascii="Newsreader" w:hAnsi="Newsreader" w:cs="Newsreader"/>
          <w:b/>
          <w:i w:val="0"/>
          <w:color w:val="161412"/>
        </w:rPr>
        <w:t xml:space="preserve">Delegate: </w:t>
      </w:r>
      <w:r>
        <w:rPr>
          <w:rFonts w:ascii="Newsreader" w:hAnsi="Newsreader" w:cs="Newsreader"/>
          <w:b w:val="0"/>
          <w:i w:val="0"/>
          <w:color w:val="161412"/>
        </w:rPr>
        <w:t>Familia donde cambia quién actúa, quién tiene la iniciativa o quién ejecuta parte de la acción.</w:t>
      </w:r>
    </w:p>
    <w:p>
      <w:pPr>
        <w:spacing w:after="120" w:line="320" w:lineRule="auto"/>
        <w:jc w:val="both"/>
      </w:pPr>
      <w:r>
        <w:rPr>
          <w:rFonts w:ascii="Newsreader" w:hAnsi="Newsreader" w:cs="Newsreader"/>
          <w:b/>
          <w:i w:val="0"/>
          <w:color w:val="161412"/>
        </w:rPr>
        <w:t xml:space="preserve">Neutral: </w:t>
      </w:r>
      <w:r>
        <w:rPr>
          <w:rFonts w:ascii="Newsreader" w:hAnsi="Newsreader" w:cs="Newsreader"/>
          <w:b w:val="0"/>
          <w:i w:val="0"/>
          <w:color w:val="161412"/>
        </w:rPr>
        <w:t>Intent de baja carga: algo debe notarse sin tono fuerte.</w:t>
      </w:r>
    </w:p>
    <w:p>
      <w:pPr>
        <w:spacing w:after="120" w:line="320" w:lineRule="auto"/>
        <w:jc w:val="both"/>
      </w:pPr>
      <w:r>
        <w:rPr>
          <w:rFonts w:ascii="Newsreader" w:hAnsi="Newsreader" w:cs="Newsreader"/>
          <w:b/>
          <w:i w:val="0"/>
          <w:color w:val="161412"/>
        </w:rPr>
        <w:t xml:space="preserve">Affirm: </w:t>
      </w:r>
      <w:r>
        <w:rPr>
          <w:rFonts w:ascii="Newsreader" w:hAnsi="Newsreader" w:cs="Newsreader"/>
          <w:b w:val="0"/>
          <w:i w:val="0"/>
          <w:color w:val="161412"/>
        </w:rPr>
        <w:t>Confirmación positiva suave.</w:t>
      </w:r>
    </w:p>
    <w:p>
      <w:pPr>
        <w:spacing w:after="120" w:line="320" w:lineRule="auto"/>
        <w:jc w:val="both"/>
      </w:pPr>
      <w:r>
        <w:rPr>
          <w:rFonts w:ascii="Newsreader" w:hAnsi="Newsreader" w:cs="Newsreader"/>
          <w:b/>
          <w:i w:val="0"/>
          <w:color w:val="161412"/>
        </w:rPr>
        <w:t xml:space="preserve">Fulfill: </w:t>
      </w:r>
      <w:r>
        <w:rPr>
          <w:rFonts w:ascii="Newsreader" w:hAnsi="Newsreader" w:cs="Newsreader"/>
          <w:b w:val="0"/>
          <w:i w:val="0"/>
          <w:color w:val="161412"/>
        </w:rPr>
        <w:t>Cierre positivo de una tensión u objetivo cumplido.</w:t>
      </w:r>
    </w:p>
    <w:p>
      <w:pPr>
        <w:spacing w:after="120" w:line="320" w:lineRule="auto"/>
        <w:jc w:val="both"/>
      </w:pPr>
      <w:r>
        <w:rPr>
          <w:rFonts w:ascii="Newsreader" w:hAnsi="Newsreader" w:cs="Newsreader"/>
          <w:b/>
          <w:i w:val="0"/>
          <w:color w:val="161412"/>
        </w:rPr>
        <w:t xml:space="preserve">Risk: </w:t>
      </w:r>
      <w:r>
        <w:rPr>
          <w:rFonts w:ascii="Newsreader" w:hAnsi="Newsreader" w:cs="Newsreader"/>
          <w:b w:val="0"/>
          <w:i w:val="0"/>
          <w:color w:val="161412"/>
        </w:rPr>
        <w:t>Problema corregible.</w:t>
      </w:r>
    </w:p>
    <w:p>
      <w:pPr>
        <w:spacing w:after="120" w:line="320" w:lineRule="auto"/>
        <w:jc w:val="both"/>
      </w:pPr>
      <w:r>
        <w:rPr>
          <w:rFonts w:ascii="Newsreader" w:hAnsi="Newsreader" w:cs="Newsreader"/>
          <w:b/>
          <w:i w:val="0"/>
          <w:color w:val="161412"/>
        </w:rPr>
        <w:t xml:space="preserve">Threat: </w:t>
      </w:r>
      <w:r>
        <w:rPr>
          <w:rFonts w:ascii="Newsreader" w:hAnsi="Newsreader" w:cs="Newsreader"/>
          <w:b w:val="0"/>
          <w:i w:val="0"/>
          <w:color w:val="161412"/>
        </w:rPr>
        <w:t>Amenaza activa que todavía puede evitarse.</w:t>
      </w:r>
    </w:p>
    <w:p>
      <w:pPr>
        <w:spacing w:after="120" w:line="320" w:lineRule="auto"/>
        <w:jc w:val="both"/>
      </w:pPr>
      <w:r>
        <w:rPr>
          <w:rFonts w:ascii="Newsreader" w:hAnsi="Newsreader" w:cs="Newsreader"/>
          <w:b/>
          <w:i w:val="0"/>
          <w:color w:val="161412"/>
        </w:rPr>
        <w:t xml:space="preserve">Loss: </w:t>
      </w:r>
      <w:r>
        <w:rPr>
          <w:rFonts w:ascii="Newsreader" w:hAnsi="Newsreader" w:cs="Newsreader"/>
          <w:b w:val="0"/>
          <w:i w:val="0"/>
          <w:color w:val="161412"/>
        </w:rPr>
        <w:t>Pérdida ya producida o disponibilidad perdida.</w:t>
      </w:r>
    </w:p>
    <w:p>
      <w:pPr>
        <w:spacing w:after="120" w:line="320" w:lineRule="auto"/>
        <w:jc w:val="both"/>
      </w:pPr>
      <w:r>
        <w:rPr>
          <w:rFonts w:ascii="Newsreader" w:hAnsi="Newsreader" w:cs="Newsreader"/>
          <w:b/>
          <w:i w:val="0"/>
          <w:color w:val="161412"/>
        </w:rPr>
        <w:t xml:space="preserve">Huella: </w:t>
      </w:r>
      <w:r>
        <w:rPr>
          <w:rFonts w:ascii="Newsreader" w:hAnsi="Newsreader" w:cs="Newsreader"/>
          <w:b w:val="0"/>
          <w:i w:val="0"/>
          <w:color w:val="161412"/>
        </w:rPr>
        <w:t>Modo en que un evento sigue importando después de su expresión visible.</w:t>
      </w:r>
    </w:p>
    <w:p>
      <w:pPr>
        <w:spacing w:after="120" w:line="320" w:lineRule="auto"/>
        <w:jc w:val="both"/>
      </w:pPr>
      <w:r>
        <w:rPr>
          <w:rFonts w:ascii="Newsreader" w:hAnsi="Newsreader" w:cs="Newsreader"/>
          <w:b/>
          <w:i w:val="0"/>
          <w:color w:val="161412"/>
        </w:rPr>
        <w:t xml:space="preserve">Migración de significado: </w:t>
      </w:r>
      <w:r>
        <w:rPr>
          <w:rFonts w:ascii="Newsreader" w:hAnsi="Newsreader" w:cs="Newsreader"/>
          <w:b w:val="0"/>
          <w:i w:val="0"/>
          <w:color w:val="161412"/>
        </w:rPr>
        <w:t>Traslado de una lectura a otros canales cuando un canal se reduce, falla o no está disponible.</w:t>
      </w:r>
    </w:p>
    <w:p>
      <w:r>
        <w:br w:type="page"/>
      </w:r>
    </w:p>
    <w:p>
      <w:pPr>
        <w:spacing w:after="60" w:line="240" w:lineRule="auto"/>
      </w:pPr>
      <w:r>
        <w:rPr>
          <w:rFonts w:ascii="Newsreader" w:hAnsi="Newsreader" w:cs="Newsreader"/>
          <w:color w:val="161412"/>
          <w:sz w:val="60"/>
        </w:rPr>
        <w:t>Índice analítico</w:t>
      </w:r>
    </w:p>
    <w:p>
      <w:pPr>
        <w:pBdr>
          <w:bottom w:val="single" w:sz="4" w:space="4" w:color="1F3A5F"/>
        </w:pBdr>
      </w:pPr>
    </w:p>
    <w:p>
      <w:pPr>
        <w:spacing w:after="120" w:line="320" w:lineRule="auto"/>
        <w:jc w:val="both"/>
      </w:pPr>
      <w:r>
        <w:rPr>
          <w:rFonts w:ascii="Newsreader" w:hAnsi="Newsreader" w:cs="Newsreader"/>
          <w:b/>
          <w:i w:val="0"/>
          <w:color w:val="161412"/>
        </w:rPr>
        <w:t xml:space="preserve">acción delegada: </w:t>
      </w:r>
      <w:r>
        <w:rPr>
          <w:rFonts w:ascii="Newsreader" w:hAnsi="Newsreader" w:cs="Newsreader"/>
          <w:b w:val="0"/>
          <w:i w:val="0"/>
          <w:color w:val="161412"/>
        </w:rPr>
        <w:t>delegate; capítulos 8, 29, 36; apéndice C</w:t>
      </w:r>
    </w:p>
    <w:p>
      <w:pPr>
        <w:spacing w:after="120" w:line="320" w:lineRule="auto"/>
        <w:jc w:val="both"/>
      </w:pPr>
      <w:r>
        <w:rPr>
          <w:rFonts w:ascii="Newsreader" w:hAnsi="Newsreader" w:cs="Newsreader"/>
          <w:b/>
          <w:i w:val="0"/>
          <w:color w:val="161412"/>
        </w:rPr>
        <w:t xml:space="preserve">accesibilidad: </w:t>
      </w:r>
      <w:r>
        <w:rPr>
          <w:rFonts w:ascii="Newsreader" w:hAnsi="Newsreader" w:cs="Newsreader"/>
          <w:b w:val="0"/>
          <w:i w:val="0"/>
          <w:color w:val="161412"/>
        </w:rPr>
        <w:t>capítulos 3, 19, 33; apéndice B</w:t>
      </w:r>
    </w:p>
    <w:p>
      <w:pPr>
        <w:spacing w:after="120" w:line="320" w:lineRule="auto"/>
        <w:jc w:val="both"/>
      </w:pPr>
      <w:r>
        <w:rPr>
          <w:rFonts w:ascii="Newsreader" w:hAnsi="Newsreader" w:cs="Newsreader"/>
          <w:b/>
          <w:i w:val="0"/>
          <w:color w:val="161412"/>
        </w:rPr>
        <w:t xml:space="preserve">canales de expresión: </w:t>
      </w:r>
      <w:r>
        <w:rPr>
          <w:rFonts w:ascii="Newsreader" w:hAnsi="Newsreader" w:cs="Newsreader"/>
          <w:b w:val="0"/>
          <w:i w:val="0"/>
          <w:color w:val="161412"/>
        </w:rPr>
        <w:t>parte II; capítulos 11-20</w:t>
      </w:r>
    </w:p>
    <w:p>
      <w:pPr>
        <w:spacing w:after="120" w:line="320" w:lineRule="auto"/>
        <w:jc w:val="both"/>
      </w:pPr>
      <w:r>
        <w:rPr>
          <w:rFonts w:ascii="Newsreader" w:hAnsi="Newsreader" w:cs="Newsreader"/>
          <w:b/>
          <w:i w:val="0"/>
          <w:color w:val="161412"/>
        </w:rPr>
        <w:t xml:space="preserve">commit: </w:t>
      </w:r>
      <w:r>
        <w:rPr>
          <w:rFonts w:ascii="Newsreader" w:hAnsi="Newsreader" w:cs="Newsreader"/>
          <w:b w:val="0"/>
          <w:i w:val="0"/>
          <w:color w:val="161412"/>
        </w:rPr>
        <w:t>capítulos 8, 23</w:t>
      </w:r>
    </w:p>
    <w:p>
      <w:pPr>
        <w:spacing w:after="120" w:line="320" w:lineRule="auto"/>
        <w:jc w:val="both"/>
      </w:pPr>
      <w:r>
        <w:rPr>
          <w:rFonts w:ascii="Newsreader" w:hAnsi="Newsreader" w:cs="Newsreader"/>
          <w:b/>
          <w:i w:val="0"/>
          <w:color w:val="161412"/>
        </w:rPr>
        <w:t xml:space="preserve">contact: </w:t>
      </w:r>
      <w:r>
        <w:rPr>
          <w:rFonts w:ascii="Newsreader" w:hAnsi="Newsreader" w:cs="Newsreader"/>
          <w:b w:val="0"/>
          <w:i w:val="0"/>
          <w:color w:val="161412"/>
        </w:rPr>
        <w:t>capítulos 8, 22</w:t>
      </w:r>
    </w:p>
    <w:p>
      <w:pPr>
        <w:spacing w:after="120" w:line="320" w:lineRule="auto"/>
        <w:jc w:val="both"/>
      </w:pPr>
      <w:r>
        <w:rPr>
          <w:rFonts w:ascii="Newsreader" w:hAnsi="Newsreader" w:cs="Newsreader"/>
          <w:b/>
          <w:i w:val="0"/>
          <w:color w:val="161412"/>
        </w:rPr>
        <w:t xml:space="preserve">contexto operativo: </w:t>
      </w:r>
      <w:r>
        <w:rPr>
          <w:rFonts w:ascii="Newsreader" w:hAnsi="Newsreader" w:cs="Newsreader"/>
          <w:b w:val="0"/>
          <w:i w:val="0"/>
          <w:color w:val="161412"/>
        </w:rPr>
        <w:t>capítulos 1, 4</w:t>
      </w:r>
    </w:p>
    <w:p>
      <w:pPr>
        <w:spacing w:after="120" w:line="320" w:lineRule="auto"/>
        <w:jc w:val="both"/>
      </w:pPr>
      <w:r>
        <w:rPr>
          <w:rFonts w:ascii="Newsreader" w:hAnsi="Newsreader" w:cs="Newsreader"/>
          <w:b/>
          <w:i w:val="0"/>
          <w:color w:val="161412"/>
        </w:rPr>
        <w:t xml:space="preserve">delegate: </w:t>
      </w:r>
      <w:r>
        <w:rPr>
          <w:rFonts w:ascii="Newsreader" w:hAnsi="Newsreader" w:cs="Newsreader"/>
          <w:b w:val="0"/>
          <w:i w:val="0"/>
          <w:color w:val="161412"/>
        </w:rPr>
        <w:t>capítulos 8, 29, 36; apéndice C</w:t>
      </w:r>
    </w:p>
    <w:p>
      <w:pPr>
        <w:spacing w:after="120" w:line="320" w:lineRule="auto"/>
        <w:jc w:val="both"/>
      </w:pPr>
      <w:r>
        <w:rPr>
          <w:rFonts w:ascii="Newsreader" w:hAnsi="Newsreader" w:cs="Newsreader"/>
          <w:b/>
          <w:i w:val="0"/>
          <w:color w:val="161412"/>
        </w:rPr>
        <w:t xml:space="preserve">evento: </w:t>
      </w:r>
      <w:r>
        <w:rPr>
          <w:rFonts w:ascii="Newsreader" w:hAnsi="Newsreader" w:cs="Newsreader"/>
          <w:b w:val="0"/>
          <w:i w:val="0"/>
          <w:color w:val="161412"/>
        </w:rPr>
        <w:t>capítulos 1, 4, 5</w:t>
      </w:r>
    </w:p>
    <w:p>
      <w:pPr>
        <w:spacing w:after="120" w:line="320" w:lineRule="auto"/>
        <w:jc w:val="both"/>
      </w:pPr>
      <w:r>
        <w:rPr>
          <w:rFonts w:ascii="Newsreader" w:hAnsi="Newsreader" w:cs="Newsreader"/>
          <w:b/>
          <w:i w:val="0"/>
          <w:color w:val="161412"/>
        </w:rPr>
        <w:t xml:space="preserve">firma de expresión: </w:t>
      </w:r>
      <w:r>
        <w:rPr>
          <w:rFonts w:ascii="Newsreader" w:hAnsi="Newsreader" w:cs="Newsreader"/>
          <w:b w:val="0"/>
          <w:i w:val="0"/>
          <w:color w:val="161412"/>
        </w:rPr>
        <w:t>apéndice B; capítulo 36</w:t>
      </w:r>
    </w:p>
    <w:p>
      <w:pPr>
        <w:spacing w:after="120" w:line="320" w:lineRule="auto"/>
        <w:jc w:val="both"/>
      </w:pPr>
      <w:r>
        <w:rPr>
          <w:rFonts w:ascii="Newsreader" w:hAnsi="Newsreader" w:cs="Newsreader"/>
          <w:b/>
          <w:i w:val="0"/>
          <w:color w:val="161412"/>
        </w:rPr>
        <w:t xml:space="preserve">handle: </w:t>
      </w:r>
      <w:r>
        <w:rPr>
          <w:rFonts w:ascii="Newsreader" w:hAnsi="Newsreader" w:cs="Newsreader"/>
          <w:b w:val="0"/>
          <w:i w:val="0"/>
          <w:color w:val="161412"/>
        </w:rPr>
        <w:t>capítulos 8, 25</w:t>
      </w:r>
    </w:p>
    <w:p>
      <w:pPr>
        <w:spacing w:after="120" w:line="320" w:lineRule="auto"/>
        <w:jc w:val="both"/>
      </w:pPr>
      <w:r>
        <w:rPr>
          <w:rFonts w:ascii="Newsreader" w:hAnsi="Newsreader" w:cs="Newsreader"/>
          <w:b/>
          <w:i w:val="0"/>
          <w:color w:val="161412"/>
        </w:rPr>
        <w:t xml:space="preserve">intent: </w:t>
      </w:r>
      <w:r>
        <w:rPr>
          <w:rFonts w:ascii="Newsreader" w:hAnsi="Newsreader" w:cs="Newsreader"/>
          <w:b w:val="0"/>
          <w:i w:val="0"/>
          <w:color w:val="161412"/>
        </w:rPr>
        <w:t>capítulos 9, 10</w:t>
      </w:r>
    </w:p>
    <w:p>
      <w:pPr>
        <w:spacing w:after="120" w:line="320" w:lineRule="auto"/>
        <w:jc w:val="both"/>
      </w:pPr>
      <w:r>
        <w:rPr>
          <w:rFonts w:ascii="Newsreader" w:hAnsi="Newsreader" w:cs="Newsreader"/>
          <w:b/>
          <w:i w:val="0"/>
          <w:color w:val="161412"/>
        </w:rPr>
        <w:t xml:space="preserve">loss: </w:t>
      </w:r>
      <w:r>
        <w:rPr>
          <w:rFonts w:ascii="Newsreader" w:hAnsi="Newsreader" w:cs="Newsreader"/>
          <w:b w:val="0"/>
          <w:i w:val="0"/>
          <w:color w:val="161412"/>
        </w:rPr>
        <w:t>capítulo 10</w:t>
      </w:r>
    </w:p>
    <w:p>
      <w:pPr>
        <w:spacing w:after="120" w:line="320" w:lineRule="auto"/>
        <w:jc w:val="both"/>
      </w:pPr>
      <w:r>
        <w:rPr>
          <w:rFonts w:ascii="Newsreader" w:hAnsi="Newsreader" w:cs="Newsreader"/>
          <w:b/>
          <w:i w:val="0"/>
          <w:color w:val="161412"/>
        </w:rPr>
        <w:t xml:space="preserve">migración de significado: </w:t>
      </w:r>
      <w:r>
        <w:rPr>
          <w:rFonts w:ascii="Newsreader" w:hAnsi="Newsreader" w:cs="Newsreader"/>
          <w:b w:val="0"/>
          <w:i w:val="0"/>
          <w:color w:val="161412"/>
        </w:rPr>
        <w:t>capítulos 19, 33</w:t>
      </w:r>
    </w:p>
    <w:p>
      <w:pPr>
        <w:spacing w:after="120" w:line="320" w:lineRule="auto"/>
        <w:jc w:val="both"/>
      </w:pPr>
      <w:r>
        <w:rPr>
          <w:rFonts w:ascii="Newsreader" w:hAnsi="Newsreader" w:cs="Newsreader"/>
          <w:b/>
          <w:i w:val="0"/>
          <w:color w:val="161412"/>
        </w:rPr>
        <w:t xml:space="preserve">risk: </w:t>
      </w:r>
      <w:r>
        <w:rPr>
          <w:rFonts w:ascii="Newsreader" w:hAnsi="Newsreader" w:cs="Newsreader"/>
          <w:b w:val="0"/>
          <w:i w:val="0"/>
          <w:color w:val="161412"/>
        </w:rPr>
        <w:t>capítulo 10</w:t>
      </w:r>
    </w:p>
    <w:p>
      <w:pPr>
        <w:spacing w:after="120" w:line="320" w:lineRule="auto"/>
        <w:jc w:val="both"/>
      </w:pPr>
      <w:r>
        <w:rPr>
          <w:rFonts w:ascii="Newsreader" w:hAnsi="Newsreader" w:cs="Newsreader"/>
          <w:b/>
          <w:i w:val="0"/>
          <w:color w:val="161412"/>
        </w:rPr>
        <w:t xml:space="preserve">shift: </w:t>
      </w:r>
      <w:r>
        <w:rPr>
          <w:rFonts w:ascii="Newsreader" w:hAnsi="Newsreader" w:cs="Newsreader"/>
          <w:b w:val="0"/>
          <w:i w:val="0"/>
          <w:color w:val="161412"/>
        </w:rPr>
        <w:t>capítulos 8, 27</w:t>
      </w:r>
    </w:p>
    <w:p>
      <w:pPr>
        <w:spacing w:after="120" w:line="320" w:lineRule="auto"/>
        <w:jc w:val="both"/>
      </w:pPr>
      <w:r>
        <w:rPr>
          <w:rFonts w:ascii="Newsreader" w:hAnsi="Newsreader" w:cs="Newsreader"/>
          <w:b/>
          <w:i w:val="0"/>
          <w:color w:val="161412"/>
        </w:rPr>
        <w:t xml:space="preserve">signal: </w:t>
      </w:r>
      <w:r>
        <w:rPr>
          <w:rFonts w:ascii="Newsreader" w:hAnsi="Newsreader" w:cs="Newsreader"/>
          <w:b w:val="0"/>
          <w:i w:val="0"/>
          <w:color w:val="161412"/>
        </w:rPr>
        <w:t>capítulos 8, 24</w:t>
      </w:r>
    </w:p>
    <w:p>
      <w:pPr>
        <w:spacing w:after="120" w:line="320" w:lineRule="auto"/>
        <w:jc w:val="both"/>
      </w:pPr>
      <w:r>
        <w:rPr>
          <w:rFonts w:ascii="Newsreader" w:hAnsi="Newsreader" w:cs="Newsreader"/>
          <w:b/>
          <w:i w:val="0"/>
          <w:color w:val="161412"/>
        </w:rPr>
        <w:t xml:space="preserve">sustain: </w:t>
      </w:r>
      <w:r>
        <w:rPr>
          <w:rFonts w:ascii="Newsreader" w:hAnsi="Newsreader" w:cs="Newsreader"/>
          <w:b w:val="0"/>
          <w:i w:val="0"/>
          <w:color w:val="161412"/>
        </w:rPr>
        <w:t>capítulos 8, 28</w:t>
      </w:r>
    </w:p>
    <w:p>
      <w:pPr>
        <w:spacing w:after="120" w:line="320" w:lineRule="auto"/>
        <w:jc w:val="both"/>
      </w:pPr>
      <w:r>
        <w:rPr>
          <w:rFonts w:ascii="Newsreader" w:hAnsi="Newsreader" w:cs="Newsreader"/>
          <w:b/>
          <w:i w:val="0"/>
          <w:color w:val="161412"/>
        </w:rPr>
        <w:t xml:space="preserve">threat: </w:t>
      </w:r>
      <w:r>
        <w:rPr>
          <w:rFonts w:ascii="Newsreader" w:hAnsi="Newsreader" w:cs="Newsreader"/>
          <w:b w:val="0"/>
          <w:i w:val="0"/>
          <w:color w:val="161412"/>
        </w:rPr>
        <w:t>capítulo 10</w:t>
      </w:r>
    </w:p>
    <w:p>
      <w:pPr>
        <w:spacing w:after="120" w:line="320" w:lineRule="auto"/>
        <w:jc w:val="both"/>
      </w:pPr>
      <w:r>
        <w:rPr>
          <w:rFonts w:ascii="Newsreader" w:hAnsi="Newsreader" w:cs="Newsreader"/>
          <w:b/>
          <w:i w:val="0"/>
          <w:color w:val="161412"/>
        </w:rPr>
        <w:t xml:space="preserve">unidad básica de cambio: </w:t>
      </w:r>
      <w:r>
        <w:rPr>
          <w:rFonts w:ascii="Newsreader" w:hAnsi="Newsreader" w:cs="Newsreader"/>
          <w:b w:val="0"/>
          <w:i w:val="0"/>
          <w:color w:val="161412"/>
        </w:rPr>
        <w:t>capítulo 4</w:t>
      </w:r>
    </w:p>
    <w:p>
      <w:r>
        <w:br w:type="page"/>
      </w:r>
    </w:p>
    <w:p>
      <w:pPr>
        <w:spacing w:after="60" w:line="240" w:lineRule="auto"/>
      </w:pPr>
      <w:r>
        <w:rPr>
          <w:rFonts w:ascii="Newsreader" w:hAnsi="Newsreader" w:cs="Newsreader"/>
          <w:color w:val="161412"/>
          <w:sz w:val="60"/>
        </w:rPr>
        <w:t>Referencias bibliográficas</w:t>
      </w:r>
    </w:p>
    <w:p>
      <w:pPr>
        <w:spacing w:after="280"/>
      </w:pPr>
      <w:r>
        <w:rPr>
          <w:rFonts w:ascii="IBM Plex Sans" w:hAnsi="IBM Plex Sans" w:cs="IBM Plex Sans"/>
          <w:color w:val="6A635A"/>
          <w:sz w:val="26"/>
        </w:rPr>
        <w:t>Amershi, S., Weld, D., Vorvoreanu, M., et al. (2019). Guidelines for Human-AI Interaction. Proceedings of CHI 2019.</w:t>
      </w:r>
    </w:p>
    <w:p>
      <w:pPr>
        <w:pBdr>
          <w:bottom w:val="single" w:sz="4" w:space="4" w:color="1F3A5F"/>
        </w:pBdr>
      </w:pPr>
    </w:p>
    <w:p>
      <w:pPr>
        <w:spacing w:after="120" w:line="320" w:lineRule="auto"/>
        <w:jc w:val="both"/>
      </w:pPr>
      <w:r>
        <w:rPr>
          <w:rFonts w:ascii="Newsreader" w:hAnsi="Newsreader" w:cs="Newsreader"/>
          <w:b w:val="0"/>
          <w:i w:val="0"/>
          <w:color w:val="161412"/>
        </w:rPr>
        <w:t>Arthur, W. B. (1994). Increasing Returns and Path Dependence in the Economy. University of Michigan Press.</w:t>
      </w:r>
    </w:p>
    <w:p>
      <w:pPr>
        <w:spacing w:after="120" w:line="320" w:lineRule="auto"/>
        <w:jc w:val="both"/>
      </w:pPr>
      <w:r>
        <w:rPr>
          <w:rFonts w:ascii="Newsreader" w:hAnsi="Newsreader" w:cs="Newsreader"/>
          <w:b w:val="0"/>
          <w:i w:val="0"/>
          <w:color w:val="161412"/>
        </w:rPr>
        <w:t>Bilgic, M. &amp; Mooney, R. J. (2005). Explaining Recommendations: Satisfaction vs. Promotion. Beyond Personalization Workshop, IUI 2005.</w:t>
      </w:r>
    </w:p>
    <w:p>
      <w:pPr>
        <w:spacing w:after="120" w:line="320" w:lineRule="auto"/>
        <w:jc w:val="both"/>
      </w:pPr>
      <w:r>
        <w:rPr>
          <w:rFonts w:ascii="Newsreader" w:hAnsi="Newsreader" w:cs="Newsreader"/>
          <w:b w:val="0"/>
          <w:i w:val="0"/>
          <w:color w:val="161412"/>
        </w:rPr>
        <w:t>Chalmers, M. &amp; MacColl, I. (2003). Seamful and Seamless Design in Ubiquitous Computing. Workshop «At the Crossroads», UbiComp 2003.</w:t>
      </w:r>
    </w:p>
    <w:p>
      <w:pPr>
        <w:spacing w:after="120" w:line="320" w:lineRule="auto"/>
        <w:jc w:val="both"/>
      </w:pPr>
      <w:r>
        <w:rPr>
          <w:rFonts w:ascii="Newsreader" w:hAnsi="Newsreader" w:cs="Newsreader"/>
          <w:b w:val="0"/>
          <w:i w:val="0"/>
          <w:color w:val="161412"/>
        </w:rPr>
        <w:t>Cunningham, W. (1992). The WyCash Portfolio Management System. OOPSLA '92.</w:t>
      </w:r>
    </w:p>
    <w:p>
      <w:pPr>
        <w:spacing w:after="120" w:line="320" w:lineRule="auto"/>
        <w:jc w:val="both"/>
      </w:pPr>
      <w:r>
        <w:rPr>
          <w:rFonts w:ascii="Newsreader" w:hAnsi="Newsreader" w:cs="Newsreader"/>
          <w:b w:val="0"/>
          <w:i w:val="0"/>
          <w:color w:val="161412"/>
        </w:rPr>
        <w:t>David, P. A. (1985). Clio and the Economics of QWERTY. American Economic Review, 75(2).</w:t>
      </w:r>
    </w:p>
    <w:p>
      <w:pPr>
        <w:spacing w:after="120" w:line="320" w:lineRule="auto"/>
        <w:jc w:val="both"/>
      </w:pPr>
      <w:r>
        <w:rPr>
          <w:rFonts w:ascii="Newsreader" w:hAnsi="Newsreader" w:cs="Newsreader"/>
          <w:b w:val="0"/>
          <w:i w:val="0"/>
          <w:color w:val="161412"/>
        </w:rPr>
        <w:t>de Souza, C. S. (2005). The Semiotic Engineering of Human-Computer Interaction. MIT Press.</w:t>
      </w:r>
    </w:p>
    <w:p>
      <w:pPr>
        <w:spacing w:after="120" w:line="320" w:lineRule="auto"/>
        <w:jc w:val="both"/>
      </w:pPr>
      <w:r>
        <w:rPr>
          <w:rFonts w:ascii="Newsreader" w:hAnsi="Newsreader" w:cs="Newsreader"/>
          <w:b w:val="0"/>
          <w:i w:val="0"/>
          <w:color w:val="161412"/>
        </w:rPr>
        <w:t>Ehsan, U., Liao, Q. V., Passi, S., Riedl, M. O. &amp; Daumé, H. (2024). Seamful XAI: Operationalizing Seamful Design in Explainable AI. Proceedings of the ACM on Human-Computer Interaction (CSCW).</w:t>
      </w:r>
    </w:p>
    <w:p>
      <w:pPr>
        <w:spacing w:after="120" w:line="320" w:lineRule="auto"/>
        <w:jc w:val="both"/>
      </w:pPr>
      <w:r>
        <w:rPr>
          <w:rFonts w:ascii="Newsreader" w:hAnsi="Newsreader" w:cs="Newsreader"/>
          <w:b w:val="0"/>
          <w:i w:val="0"/>
          <w:color w:val="161412"/>
        </w:rPr>
        <w:t>Eslami, M., Rickman, A., Vaccaro, K., et al. (2015). «I always assumed that I wasn't really that close to [her]»: Reasoning about Invisible Algorithms in News Feeds. Proceedings of CHI 2015.</w:t>
      </w:r>
    </w:p>
    <w:p>
      <w:pPr>
        <w:spacing w:after="120" w:line="320" w:lineRule="auto"/>
        <w:jc w:val="both"/>
      </w:pPr>
      <w:r>
        <w:rPr>
          <w:rFonts w:ascii="Newsreader" w:hAnsi="Newsreader" w:cs="Newsreader"/>
          <w:b w:val="0"/>
          <w:i w:val="0"/>
          <w:color w:val="161412"/>
        </w:rPr>
        <w:t>Gibson, J. J. (1979). The Ecological Approach to Visual Perception. Houghton Mifflin.</w:t>
      </w:r>
    </w:p>
    <w:p>
      <w:pPr>
        <w:spacing w:after="120" w:line="320" w:lineRule="auto"/>
        <w:jc w:val="both"/>
      </w:pPr>
      <w:r>
        <w:rPr>
          <w:rFonts w:ascii="Newsreader" w:hAnsi="Newsreader" w:cs="Newsreader"/>
          <w:b w:val="0"/>
          <w:i w:val="0"/>
          <w:color w:val="161412"/>
        </w:rPr>
        <w:t>Heider, F. &amp; Simmel, M. (1944). An Experimental Study of Apparent Behavior. The American Journal of Psychology.</w:t>
      </w:r>
    </w:p>
    <w:p>
      <w:pPr>
        <w:spacing w:after="120" w:line="320" w:lineRule="auto"/>
        <w:jc w:val="both"/>
      </w:pPr>
      <w:r>
        <w:rPr>
          <w:rFonts w:ascii="Newsreader" w:hAnsi="Newsreader" w:cs="Newsreader"/>
          <w:b w:val="0"/>
          <w:i w:val="0"/>
          <w:color w:val="161412"/>
        </w:rPr>
        <w:t>Horvitz, E. (1999). Principles of Mixed-Initiative User Interfaces. Proceedings of CHI 1999.</w:t>
      </w:r>
    </w:p>
    <w:p>
      <w:pPr>
        <w:spacing w:after="120" w:line="320" w:lineRule="auto"/>
        <w:jc w:val="both"/>
      </w:pPr>
      <w:r>
        <w:rPr>
          <w:rFonts w:ascii="Newsreader" w:hAnsi="Newsreader" w:cs="Newsreader"/>
          <w:b w:val="0"/>
          <w:i w:val="0"/>
          <w:color w:val="161412"/>
        </w:rPr>
        <w:t>Hutchins, E., Hollan, J. &amp; Norman, D. (1985). Direct Manipulation Interfaces. Human-Computer Interaction.</w:t>
      </w:r>
    </w:p>
    <w:p>
      <w:pPr>
        <w:spacing w:after="120" w:line="320" w:lineRule="auto"/>
        <w:jc w:val="both"/>
      </w:pPr>
      <w:r>
        <w:rPr>
          <w:rFonts w:ascii="Newsreader" w:hAnsi="Newsreader" w:cs="Newsreader"/>
          <w:b w:val="0"/>
          <w:i w:val="0"/>
          <w:color w:val="161412"/>
        </w:rPr>
        <w:t>Kuhn, T. S. (1962). The Structure of Scientific Revolutions. University of Chicago Press.</w:t>
      </w:r>
    </w:p>
    <w:p>
      <w:pPr>
        <w:spacing w:after="120" w:line="320" w:lineRule="auto"/>
        <w:jc w:val="both"/>
      </w:pPr>
      <w:r>
        <w:rPr>
          <w:rFonts w:ascii="Newsreader" w:hAnsi="Newsreader" w:cs="Newsreader"/>
          <w:b w:val="0"/>
          <w:i w:val="0"/>
          <w:color w:val="161412"/>
        </w:rPr>
        <w:t>LeDoux, J. (1996). The Emotional Brain. Simon &amp; Schuster.</w:t>
      </w:r>
    </w:p>
    <w:p>
      <w:pPr>
        <w:spacing w:after="120" w:line="320" w:lineRule="auto"/>
        <w:jc w:val="both"/>
      </w:pPr>
      <w:r>
        <w:rPr>
          <w:rFonts w:ascii="Newsreader" w:hAnsi="Newsreader" w:cs="Newsreader"/>
          <w:b w:val="0"/>
          <w:i w:val="0"/>
          <w:color w:val="161412"/>
        </w:rPr>
        <w:t>Liebowitz, S. J. &amp; Margolis, S. E. (1990). The Fable of the Keys. Journal of Law and Economics, 33(1).</w:t>
      </w:r>
    </w:p>
    <w:p>
      <w:pPr>
        <w:spacing w:after="120" w:line="320" w:lineRule="auto"/>
        <w:jc w:val="both"/>
      </w:pPr>
      <w:r>
        <w:rPr>
          <w:rFonts w:ascii="Newsreader" w:hAnsi="Newsreader" w:cs="Newsreader"/>
          <w:b w:val="0"/>
          <w:i w:val="0"/>
          <w:color w:val="161412"/>
        </w:rPr>
        <w:t>Maes, P. (1994). Agents that Reduce Work and Information Overload. Communications of the ACM, 37(7).</w:t>
      </w:r>
    </w:p>
    <w:p>
      <w:pPr>
        <w:spacing w:after="120" w:line="320" w:lineRule="auto"/>
        <w:jc w:val="both"/>
      </w:pPr>
      <w:r>
        <w:rPr>
          <w:rFonts w:ascii="Newsreader" w:hAnsi="Newsreader" w:cs="Newsreader"/>
          <w:b w:val="0"/>
          <w:i w:val="0"/>
          <w:color w:val="161412"/>
        </w:rPr>
        <w:t>Michotte, A. (1946). The Perception of Causality.</w:t>
      </w:r>
    </w:p>
    <w:p>
      <w:pPr>
        <w:spacing w:after="120" w:line="320" w:lineRule="auto"/>
        <w:jc w:val="both"/>
      </w:pPr>
      <w:r>
        <w:rPr>
          <w:rFonts w:ascii="Newsreader" w:hAnsi="Newsreader" w:cs="Newsreader"/>
          <w:b w:val="0"/>
          <w:i w:val="0"/>
          <w:color w:val="161412"/>
        </w:rPr>
        <w:t>Miller, R. B. (1968). Response time in man-computer conversational transactions. AFIPS Fall Joint Computer Conference.</w:t>
      </w:r>
    </w:p>
    <w:p>
      <w:pPr>
        <w:spacing w:after="120" w:line="320" w:lineRule="auto"/>
        <w:jc w:val="both"/>
      </w:pPr>
      <w:r>
        <w:rPr>
          <w:rFonts w:ascii="Newsreader" w:hAnsi="Newsreader" w:cs="Newsreader"/>
          <w:b w:val="0"/>
          <w:i w:val="0"/>
          <w:color w:val="161412"/>
        </w:rPr>
        <w:t>Nielsen, J. (1993). Usability Engineering. Morgan Kaufmann.</w:t>
      </w:r>
    </w:p>
    <w:p>
      <w:pPr>
        <w:spacing w:after="120" w:line="320" w:lineRule="auto"/>
        <w:jc w:val="both"/>
      </w:pPr>
      <w:r>
        <w:rPr>
          <w:rFonts w:ascii="Newsreader" w:hAnsi="Newsreader" w:cs="Newsreader"/>
          <w:b w:val="0"/>
          <w:i w:val="0"/>
          <w:color w:val="161412"/>
        </w:rPr>
        <w:t>Norman, D. A. (2013). The Design of Everyday Things. Basic Books.</w:t>
      </w:r>
    </w:p>
    <w:p>
      <w:pPr>
        <w:spacing w:after="120" w:line="320" w:lineRule="auto"/>
        <w:jc w:val="both"/>
      </w:pPr>
      <w:r>
        <w:rPr>
          <w:rFonts w:ascii="Newsreader" w:hAnsi="Newsreader" w:cs="Newsreader"/>
          <w:b w:val="0"/>
          <w:i w:val="0"/>
          <w:color w:val="161412"/>
        </w:rPr>
        <w:t>Parasuraman, R. &amp; Manzey, D. H. (2010). Complacency and Bias in Human Use of Automation: An Attentional Integration. Human Factors.</w:t>
      </w:r>
    </w:p>
    <w:p>
      <w:pPr>
        <w:spacing w:after="120" w:line="320" w:lineRule="auto"/>
        <w:jc w:val="both"/>
      </w:pPr>
      <w:r>
        <w:rPr>
          <w:rFonts w:ascii="Newsreader" w:hAnsi="Newsreader" w:cs="Newsreader"/>
          <w:b w:val="0"/>
          <w:i w:val="0"/>
          <w:color w:val="161412"/>
        </w:rPr>
        <w:t>Pariser, E. (2011). The Filter Bubble: What the Internet Is Hiding from You. Penguin Press.</w:t>
      </w:r>
    </w:p>
    <w:p>
      <w:pPr>
        <w:spacing w:after="120" w:line="320" w:lineRule="auto"/>
        <w:jc w:val="both"/>
      </w:pPr>
      <w:r>
        <w:rPr>
          <w:rFonts w:ascii="Newsreader" w:hAnsi="Newsreader" w:cs="Newsreader"/>
          <w:b w:val="0"/>
          <w:i w:val="0"/>
          <w:color w:val="161412"/>
        </w:rPr>
        <w:t>Posner, M. I. (1980). Orienting of Attention. Quarterly Journal of Experimental Psychology.</w:t>
      </w:r>
    </w:p>
    <w:p>
      <w:pPr>
        <w:spacing w:after="120" w:line="320" w:lineRule="auto"/>
        <w:jc w:val="both"/>
      </w:pPr>
      <w:r>
        <w:rPr>
          <w:rFonts w:ascii="Newsreader" w:hAnsi="Newsreader" w:cs="Newsreader"/>
          <w:b w:val="0"/>
          <w:i w:val="0"/>
          <w:color w:val="161412"/>
        </w:rPr>
        <w:t>Russell, J. A. (1980). A Circumplex Model of Affect. Journal of Personality and Social Psychology.</w:t>
      </w:r>
    </w:p>
    <w:p>
      <w:pPr>
        <w:spacing w:after="120" w:line="320" w:lineRule="auto"/>
        <w:jc w:val="both"/>
      </w:pPr>
      <w:r>
        <w:rPr>
          <w:rFonts w:ascii="Newsreader" w:hAnsi="Newsreader" w:cs="Newsreader"/>
          <w:b w:val="0"/>
          <w:i w:val="0"/>
          <w:color w:val="161412"/>
        </w:rPr>
        <w:t>Scherer, K. R. (2005). What are emotions? And how can they be measured? Social Science Information.</w:t>
      </w:r>
    </w:p>
    <w:p>
      <w:pPr>
        <w:spacing w:after="120" w:line="320" w:lineRule="auto"/>
        <w:jc w:val="both"/>
      </w:pPr>
      <w:r>
        <w:rPr>
          <w:rFonts w:ascii="Newsreader" w:hAnsi="Newsreader" w:cs="Newsreader"/>
          <w:b w:val="0"/>
          <w:i w:val="0"/>
          <w:color w:val="161412"/>
        </w:rPr>
        <w:t>Shneiderman, B. (1983). Direct Manipulation: A Step Beyond Programming Languages. IEEE Computer.</w:t>
      </w:r>
    </w:p>
    <w:p>
      <w:pPr>
        <w:spacing w:after="120" w:line="320" w:lineRule="auto"/>
        <w:jc w:val="both"/>
      </w:pPr>
      <w:r>
        <w:rPr>
          <w:rFonts w:ascii="Newsreader" w:hAnsi="Newsreader" w:cs="Newsreader"/>
          <w:b w:val="0"/>
          <w:i w:val="0"/>
          <w:color w:val="161412"/>
        </w:rPr>
        <w:t>Spence, C. (2011). Crossmodal correspondences: A tutorial review. Attention, Perception, &amp; Psychophysics.</w:t>
      </w:r>
    </w:p>
    <w:p>
      <w:pPr>
        <w:spacing w:after="120" w:line="320" w:lineRule="auto"/>
        <w:jc w:val="both"/>
      </w:pPr>
      <w:r>
        <w:rPr>
          <w:rFonts w:ascii="Newsreader" w:hAnsi="Newsreader" w:cs="Newsreader"/>
          <w:b w:val="0"/>
          <w:i w:val="0"/>
          <w:color w:val="161412"/>
        </w:rPr>
        <w:t>Synofzik, M., Vosgerau, G. &amp; Newen, A. (2008). Beyond the comparator model: A multifactorial two-step account of agency. Consciousness and Cognition.</w:t>
      </w:r>
    </w:p>
    <w:p>
      <w:pPr>
        <w:spacing w:after="120" w:line="320" w:lineRule="auto"/>
        <w:jc w:val="both"/>
      </w:pPr>
      <w:r>
        <w:rPr>
          <w:rFonts w:ascii="Newsreader" w:hAnsi="Newsreader" w:cs="Newsreader"/>
          <w:b w:val="0"/>
          <w:i w:val="0"/>
          <w:color w:val="161412"/>
        </w:rPr>
        <w:t>Tintarev, N. &amp; Masthoff, J. (2007). A Survey of Explanations in Recommender Systems. IEEE 23rd International Conference on Data Engineering Workshop (ICDE).</w:t>
      </w:r>
    </w:p>
    <w:p>
      <w:pPr>
        <w:spacing w:after="120" w:line="320" w:lineRule="auto"/>
        <w:jc w:val="both"/>
      </w:pPr>
      <w:r>
        <w:rPr>
          <w:rFonts w:ascii="Newsreader" w:hAnsi="Newsreader" w:cs="Newsreader"/>
          <w:b w:val="0"/>
          <w:i w:val="0"/>
          <w:color w:val="161412"/>
        </w:rPr>
        <w:t>Wallace, M. T. &amp; Stevenson, R. A. (2014). The construct of the multisensory temporal binding window and its dysregulation in developmental disabilities. Neuropsychologia.</w:t>
      </w:r>
    </w:p>
    <w:p>
      <w:pPr>
        <w:spacing w:after="120" w:line="320" w:lineRule="auto"/>
        <w:jc w:val="both"/>
      </w:pPr>
      <w:r>
        <w:rPr>
          <w:rFonts w:ascii="Newsreader" w:hAnsi="Newsreader" w:cs="Newsreader"/>
          <w:b w:val="0"/>
          <w:i w:val="0"/>
          <w:color w:val="161412"/>
        </w:rPr>
        <w:t>W3C. Web Content Accessibility Guidelines (WCAG) 2.2.</w:t>
      </w:r>
    </w:p>
    <w:p>
      <w:pPr>
        <w:spacing w:after="120" w:line="320" w:lineRule="auto"/>
        <w:jc w:val="both"/>
      </w:pPr>
      <w:r>
        <w:rPr>
          <w:rFonts w:ascii="Newsreader" w:hAnsi="Newsreader" w:cs="Newsreader"/>
          <w:b w:val="0"/>
          <w:i w:val="0"/>
          <w:color w:val="161412"/>
        </w:rPr>
        <w:t>W3C. WAI-ARIA Authoring Practices Guide.</w:t>
      </w:r>
    </w:p>
    <w:p>
      <w:pPr>
        <w:spacing w:after="120" w:line="320" w:lineRule="auto"/>
        <w:jc w:val="both"/>
      </w:pPr>
      <w:r>
        <w:rPr>
          <w:rFonts w:ascii="Newsreader" w:hAnsi="Newsreader" w:cs="Newsreader"/>
          <w:b w:val="0"/>
          <w:i w:val="0"/>
          <w:color w:val="161412"/>
        </w:rPr>
        <w:t>W3C Design Tokens Community Group. Design Tokens Format Module.</w:t>
      </w:r>
    </w:p>
    <w:p>
      <w:pPr>
        <w:spacing w:after="120" w:line="320" w:lineRule="auto"/>
        <w:jc w:val="both"/>
      </w:pPr>
      <w:r>
        <w:rPr>
          <w:rFonts w:ascii="Newsreader" w:hAnsi="Newsreader" w:cs="Newsreader"/>
          <w:b w:val="0"/>
          <w:i w:val="0"/>
          <w:color w:val="161412"/>
        </w:rPr>
        <w:t>Wagemans, J., Elder, J. H., Kubovy, M., et al. (2012). A century of Gestalt psychology in visual perception. Psychological Bulletin.</w:t>
      </w:r>
    </w:p>
    <w:p>
      <w:pPr>
        <w:spacing w:after="120" w:line="320" w:lineRule="auto"/>
        <w:jc w:val="both"/>
      </w:pPr>
      <w:r>
        <w:rPr>
          <w:rFonts w:ascii="Newsreader" w:hAnsi="Newsreader" w:cs="Newsreader"/>
          <w:b w:val="0"/>
          <w:i w:val="0"/>
          <w:color w:val="161412"/>
        </w:rPr>
        <w:t>Weiser, M. (1991). The Computer for the 21st Century. Scientific American, 265(3).</w:t>
      </w:r>
    </w:p>
    <w:p>
      <w:pPr>
        <w:spacing w:before="240" w:after="100"/>
      </w:pPr>
      <w:r>
        <w:rPr>
          <w:rFonts w:ascii="Newsreader" w:hAnsi="Newsreader" w:cs="Newsreader"/>
          <w:i/>
          <w:color w:val="1F3A5F"/>
          <w:sz w:val="28"/>
        </w:rPr>
        <w:t xml:space="preserve">Lecturas complementarias</w:t>
      </w:r>
    </w:p>
    <w:p>
      <w:pPr>
        <w:spacing w:after="120" w:line="320" w:lineRule="auto"/>
        <w:jc w:val="both"/>
      </w:pPr>
      <w:r>
        <w:rPr>
          <w:rFonts w:ascii="Newsreader" w:hAnsi="Newsreader" w:cs="Newsreader"/>
          <w:b w:val="0"/>
          <w:i w:val="0"/>
          <w:color w:val="161412"/>
        </w:rPr>
        <w:t xml:space="preserve">Obras consultadas que informan el marco del libro sin ser citadas directamente en el cuerpo.</w:t>
      </w:r>
    </w:p>
    <w:p>
      <w:pPr>
        <w:spacing w:after="120" w:line="320" w:lineRule="auto"/>
        <w:jc w:val="both"/>
      </w:pPr>
      <w:r>
        <w:rPr>
          <w:rFonts w:ascii="Newsreader" w:hAnsi="Newsreader" w:cs="Newsreader"/>
          <w:b w:val="0"/>
          <w:i w:val="0"/>
          <w:color w:val="161412"/>
        </w:rPr>
        <w:t>Brewster, S. &amp; Brown, L. M. (2004). Tactons: Structured Tactile Messages for Non-Visual Information Display.</w:t>
      </w:r>
    </w:p>
    <w:p>
      <w:pPr>
        <w:spacing w:after="120" w:line="320" w:lineRule="auto"/>
        <w:jc w:val="both"/>
      </w:pPr>
      <w:r>
        <w:rPr>
          <w:rFonts w:ascii="Newsreader" w:hAnsi="Newsreader" w:cs="Newsreader"/>
          <w:b w:val="0"/>
          <w:i w:val="0"/>
          <w:color w:val="161412"/>
        </w:rPr>
        <w:t>Kaptelinin, V. &amp; Nardi, B. (2006). Acting with Technology: Activity Theory and Interaction Design. MIT Press.</w:t>
      </w:r>
    </w:p>
    <w:p>
      <w:pPr>
        <w:spacing w:after="120" w:line="320" w:lineRule="auto"/>
        <w:jc w:val="both"/>
      </w:pPr>
      <w:r>
        <w:rPr>
          <w:rFonts w:ascii="Newsreader" w:hAnsi="Newsreader" w:cs="Newsreader"/>
          <w:b w:val="0"/>
          <w:i w:val="0"/>
          <w:color w:val="161412"/>
        </w:rPr>
        <w:t>Merleau-Ponty, M. (1945). Phenomenology of Perception.</w:t>
      </w:r>
    </w:p>
    <w:p>
      <w:pPr>
        <w:spacing w:after="120" w:line="320" w:lineRule="auto"/>
        <w:jc w:val="both"/>
      </w:pPr>
      <w:r>
        <w:rPr>
          <w:rFonts w:ascii="Newsreader" w:hAnsi="Newsreader" w:cs="Newsreader"/>
          <w:b w:val="0"/>
          <w:i w:val="0"/>
          <w:color w:val="161412"/>
        </w:rPr>
        <w:t>Rasmussen, J. &amp; Vicente, K. J. (1989). Coping with human errors through system design: implications for ecological interface design.</w:t>
      </w:r>
    </w:p>
    <w:p>
      <w:pPr>
        <w:spacing w:after="120" w:line="320" w:lineRule="auto"/>
        <w:jc w:val="both"/>
      </w:pPr>
      <w:r>
        <w:rPr>
          <w:rFonts w:ascii="Newsreader" w:hAnsi="Newsreader" w:cs="Newsreader"/>
          <w:b w:val="0"/>
          <w:i w:val="0"/>
          <w:color w:val="161412"/>
        </w:rPr>
        <w:t>Suchman, L. (1987). Plans and Situated Actions. Cambridge University Press.</w:t>
      </w:r>
    </w:p>
    <w:p>
      <w:pPr>
        <w:spacing w:after="120" w:line="320" w:lineRule="auto"/>
        <w:jc w:val="both"/>
      </w:pPr>
      <w:r>
        <w:rPr>
          <w:rFonts w:ascii="Newsreader" w:hAnsi="Newsreader" w:cs="Newsreader"/>
          <w:b w:val="0"/>
          <w:i w:val="0"/>
          <w:color w:val="161412"/>
        </w:rPr>
        <w:t>Vicente, K. J. (2002). Ecological Interface Design: Progress and Challenges. Human Factors.</w:t>
      </w:r>
    </w:p>
    <w:p>
      <w:r>
        <w:br w:type="page"/>
      </w:r>
    </w:p>
    <w:p>
      <w:pPr>
        <w:spacing w:after="60" w:line="240" w:lineRule="auto"/>
      </w:pPr>
      <w:r>
        <w:rPr>
          <w:rFonts w:ascii="Newsreader" w:hAnsi="Newsreader" w:cs="Newsreader"/>
          <w:color w:val="161412"/>
          <w:sz w:val="60"/>
        </w:rPr>
        <w:t xml:space="preserve">Sobre el autor</w:t>
      </w:r>
    </w:p>
    <w:p>
      <w:pPr>
        <w:pBdr>
          <w:bottom w:val="single" w:sz="4" w:space="4" w:color="1F3A5F"/>
        </w:pBdr>
      </w:pPr>
    </w:p>
    <w:p>
      <w:pPr>
        <w:spacing w:after="120" w:line="320" w:lineRule="auto"/>
        <w:jc w:val="both"/>
      </w:pPr>
      <w:r>
        <w:rPr>
          <w:rFonts w:ascii="Newsreader" w:hAnsi="Newsreader" w:cs="Newsreader"/>
          <w:b w:val="0"/>
          <w:i w:val="0"/>
          <w:color w:val="161412"/>
        </w:rPr>
        <w:t xml:space="preserve">Juan V. Navarro Leal escribió su primera línea de código hace cuarenta años — este año se cumplen cuatro décadas de su primer ordenador — y no ha dejado de escribirlas desde entonces. Su carrera, autodidacta y guiada por la curiosidad, ha recorrido buena parte de la historia práctica de la programación. Los lenguajes de inferencia, como Lisp y Prolog; los académicos, como Pascal, Modula-2 y Ada; y los que tocan la máquina, el ensamblador y C.</w:t>
      </w:r>
    </w:p>
    <w:p>
      <w:pPr>
        <w:spacing w:after="120" w:line="320" w:lineRule="auto"/>
        <w:jc w:val="both"/>
      </w:pPr>
      <w:r>
        <w:rPr>
          <w:rFonts w:ascii="Newsreader" w:hAnsi="Newsreader" w:cs="Newsreader"/>
          <w:b w:val="0"/>
          <w:i w:val="0"/>
          <w:color w:val="161412"/>
        </w:rPr>
        <w:t xml:space="preserve">Ese recorrido desembocó en el front-end, donde nacieron las preguntas de este libro. «Diseñando lo que ocurre» es su destilación: la sospecha, convertida en gramática, de que a las interfaces les faltaba un lenguaje para lo que ocurre.</w:t>
      </w:r>
    </w:p>
    <w:sectPr w:rsidR="00FC693F" w:rsidRPr="0006063C" w:rsidSect="00034616">
      <w:footerReference w:type="default" r:id="rId920"/>
      <w:footerReference w:type="first" r:id="rId921"/>
      <w:pgSz w:w="10620" w:h="13140"/>
      <w:pgMar w:top="1224" w:right="1080" w:bottom="1224" w:left="122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xmlns:r="http://schemas.openxmlformats.org/officeDocument/2006/relationships">
  <w:p>
    <w:pPr>
      <w:jc w:val="center"/>
    </w:pPr>
    <w:r>
      <w:rPr>
        <w:rFonts w:ascii="IBM Plex Sans" w:hAnsi="IBM Plex Sans" w:cs="IBM Plex Sans"/>
        <w:color w:val="6A635A"/>
        <w:sz w:val="17"/>
      </w:rPr>
      <w:fldChar w:fldCharType="begin"/>
    </w:r>
    <w:r>
      <w:rPr>
        <w:rFonts w:ascii="IBM Plex Sans" w:hAnsi="IBM Plex Sans" w:cs="IBM Plex Sans"/>
        <w:color w:val="6A635A"/>
        <w:sz w:val="17"/>
      </w:rPr>
      <w:instrText xml:space="preserve"> PAGE </w:instrText>
    </w:r>
    <w:r>
      <w:rPr>
        <w:rFonts w:ascii="IBM Plex Sans" w:hAnsi="IBM Plex Sans" w:cs="IBM Plex Sans"/>
        <w:color w:val="6A635A"/>
        <w:sz w:val="17"/>
      </w:rPr>
      <w:fldChar w:fldCharType="end"/>
    </w:r>
  </w:p>
</w:ftr>
</file>

<file path=word/footer2.xml><?xml version="1.0" encoding="utf-8"?>
<w:ftr xmlns:w="http://schemas.openxmlformats.org/wordprocessingml/2006/main">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ewsreader" w:hAnsi="Newsreader"/>
      <w:color w:val="16141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image" Target="media/image87.png"/><Relationship Id="rId96" Type="http://schemas.openxmlformats.org/officeDocument/2006/relationships/image" Target="media/image88.png"/><Relationship Id="rId97" Type="http://schemas.openxmlformats.org/officeDocument/2006/relationships/image" Target="media/image89.png"/><Relationship Id="rId900" Type="http://schemas.openxmlformats.org/officeDocument/2006/relationships/image" Target="media/fig12_1.png"/><Relationship Id="rId901" Type="http://schemas.openxmlformats.org/officeDocument/2006/relationships/image" Target="media/fig13_1.png"/><Relationship Id="rId902" Type="http://schemas.openxmlformats.org/officeDocument/2006/relationships/image" Target="media/fig16_1.png"/><Relationship Id="rId903" Type="http://schemas.openxmlformats.org/officeDocument/2006/relationships/image" Target="media/fig17_1.png"/><Relationship Id="rId904" Type="http://schemas.openxmlformats.org/officeDocument/2006/relationships/image" Target="media/fig18_1.png"/><Relationship Id="rId905" Type="http://schemas.openxmlformats.org/officeDocument/2006/relationships/image" Target="media/fig19_1.png"/><Relationship Id="rId906" Type="http://schemas.openxmlformats.org/officeDocument/2006/relationships/image" Target="media/fig20_1.png"/><Relationship Id="rId907" Type="http://schemas.openxmlformats.org/officeDocument/2006/relationships/image" Target="media/fig22_1.png"/><Relationship Id="rId908" Type="http://schemas.openxmlformats.org/officeDocument/2006/relationships/image" Target="media/fig23_1.png"/><Relationship Id="rId909" Type="http://schemas.openxmlformats.org/officeDocument/2006/relationships/image" Target="media/fig24_1.png"/><Relationship Id="rId910" Type="http://schemas.openxmlformats.org/officeDocument/2006/relationships/image" Target="media/fig25_1.png"/><Relationship Id="rId911" Type="http://schemas.openxmlformats.org/officeDocument/2006/relationships/image" Target="media/fig26_1.png"/><Relationship Id="rId912" Type="http://schemas.openxmlformats.org/officeDocument/2006/relationships/image" Target="media/fig27_1.png"/><Relationship Id="rId913" Type="http://schemas.openxmlformats.org/officeDocument/2006/relationships/image" Target="media/fig28_1.png"/><Relationship Id="rId914" Type="http://schemas.openxmlformats.org/officeDocument/2006/relationships/image" Target="media/figD_1.png"/><Relationship Id="rId920" Type="http://schemas.openxmlformats.org/officeDocument/2006/relationships/footer" Target="footer1.xml"/><Relationship Id="rId92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